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564" w:right="416" w:hanging="1138"/>
        <w:spacing w:before="140" w:line="294" w:lineRule="auto"/>
        <w:outlineLvl w:val="0"/>
        <w:rPr>
          <w:rFonts w:ascii="SimHei" w:hAnsi="SimHei" w:eastAsia="SimHei" w:cs="SimHei"/>
          <w:sz w:val="43"/>
          <w:szCs w:val="43"/>
        </w:rPr>
      </w:pPr>
      <w:r>
        <w:rPr>
          <w:rFonts w:ascii="SimHei" w:hAnsi="SimHei" w:eastAsia="SimHei" w:cs="SimHei"/>
          <w:sz w:val="43"/>
          <w:szCs w:val="43"/>
          <w:b/>
          <w:bCs/>
          <w:spacing w:val="6"/>
        </w:rPr>
        <w:t>锡林郭勒盟牧林农机服务有限责任公司</w:t>
      </w:r>
      <w:r>
        <w:rPr>
          <w:rFonts w:ascii="SimHei" w:hAnsi="SimHei" w:eastAsia="SimHei" w:cs="SimHei"/>
          <w:sz w:val="43"/>
          <w:szCs w:val="43"/>
          <w:b/>
          <w:bCs/>
          <w:spacing w:val="2"/>
        </w:rPr>
        <w:t>肉牛育肥养殖基地建设项目</w:t>
      </w:r>
    </w:p>
    <w:p>
      <w:pPr>
        <w:pStyle w:val="BodyText"/>
        <w:spacing w:line="432" w:lineRule="auto"/>
        <w:rPr/>
      </w:pPr>
      <w:r/>
    </w:p>
    <w:p>
      <w:pPr>
        <w:ind w:left="1259"/>
        <w:spacing w:before="273" w:line="219" w:lineRule="auto"/>
        <w:outlineLvl w:val="0"/>
        <w:rPr>
          <w:rFonts w:ascii="SimHei" w:hAnsi="SimHei" w:eastAsia="SimHei" w:cs="SimHei"/>
          <w:sz w:val="84"/>
          <w:szCs w:val="84"/>
        </w:rPr>
      </w:pPr>
      <w:r>
        <w:rPr>
          <w:rFonts w:ascii="SimHei" w:hAnsi="SimHei" w:eastAsia="SimHei" w:cs="SimHei"/>
          <w:sz w:val="84"/>
          <w:szCs w:val="84"/>
          <w:spacing w:val="-5"/>
        </w:rPr>
        <w:t>环境影响报告书</w:t>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771"/>
        <w:spacing w:before="98" w:line="219" w:lineRule="auto"/>
        <w:rPr>
          <w:rFonts w:ascii="SimSun" w:hAnsi="SimSun" w:eastAsia="SimSun" w:cs="SimSun"/>
          <w:sz w:val="30"/>
          <w:szCs w:val="30"/>
        </w:rPr>
      </w:pPr>
      <w:r>
        <w:rPr>
          <w:rFonts w:ascii="SimSun" w:hAnsi="SimSun" w:eastAsia="SimSun" w:cs="SimSun"/>
          <w:sz w:val="30"/>
          <w:szCs w:val="30"/>
          <w:b/>
          <w:bCs/>
          <w:spacing w:val="12"/>
        </w:rPr>
        <w:t>建设单位：</w:t>
      </w:r>
      <w:r>
        <w:rPr>
          <w:rFonts w:ascii="SimSun" w:hAnsi="SimSun" w:eastAsia="SimSun" w:cs="SimSun"/>
          <w:sz w:val="30"/>
          <w:szCs w:val="30"/>
          <w:spacing w:val="69"/>
        </w:rPr>
        <w:t xml:space="preserve"> </w:t>
      </w:r>
      <w:r>
        <w:rPr>
          <w:rFonts w:ascii="SimSun" w:hAnsi="SimSun" w:eastAsia="SimSun" w:cs="SimSun"/>
          <w:sz w:val="30"/>
          <w:szCs w:val="30"/>
          <w:b/>
          <w:bCs/>
          <w:spacing w:val="12"/>
        </w:rPr>
        <w:t>锡林</w:t>
      </w:r>
      <w:r>
        <w:rPr>
          <w:rFonts w:ascii="SimSun" w:hAnsi="SimSun" w:eastAsia="SimSun" w:cs="SimSun"/>
          <w:sz w:val="30"/>
          <w:szCs w:val="30"/>
          <w:spacing w:val="-90"/>
        </w:rPr>
        <w:t xml:space="preserve"> </w:t>
      </w:r>
      <w:r>
        <w:rPr>
          <w:rFonts w:ascii="SimSun" w:hAnsi="SimSun" w:eastAsia="SimSun" w:cs="SimSun"/>
          <w:sz w:val="30"/>
          <w:szCs w:val="30"/>
          <w:b/>
          <w:bCs/>
          <w:spacing w:val="12"/>
        </w:rPr>
        <w:t>郭勒盟牧林农机服务有</w:t>
      </w:r>
      <w:r>
        <w:rPr>
          <w:rFonts w:ascii="SimSun" w:hAnsi="SimSun" w:eastAsia="SimSun" w:cs="SimSun"/>
          <w:sz w:val="30"/>
          <w:szCs w:val="30"/>
          <w:spacing w:val="-77"/>
        </w:rPr>
        <w:t xml:space="preserve"> </w:t>
      </w:r>
      <w:r>
        <w:rPr>
          <w:rFonts w:ascii="SimSun" w:hAnsi="SimSun" w:eastAsia="SimSun" w:cs="SimSun"/>
          <w:sz w:val="30"/>
          <w:szCs w:val="30"/>
          <w:b/>
          <w:bCs/>
          <w:spacing w:val="12"/>
        </w:rPr>
        <w:t>限</w:t>
      </w:r>
      <w:r>
        <w:rPr>
          <w:rFonts w:ascii="SimSun" w:hAnsi="SimSun" w:eastAsia="SimSun" w:cs="SimSun"/>
          <w:sz w:val="30"/>
          <w:szCs w:val="30"/>
          <w:spacing w:val="-87"/>
        </w:rPr>
        <w:t xml:space="preserve"> </w:t>
      </w:r>
      <w:r>
        <w:rPr>
          <w:rFonts w:ascii="SimSun" w:hAnsi="SimSun" w:eastAsia="SimSun" w:cs="SimSun"/>
          <w:sz w:val="30"/>
          <w:szCs w:val="30"/>
          <w:b/>
          <w:bCs/>
          <w:spacing w:val="12"/>
        </w:rPr>
        <w:t>责任</w:t>
      </w:r>
      <w:r>
        <w:rPr>
          <w:rFonts w:ascii="SimSun" w:hAnsi="SimSun" w:eastAsia="SimSun" w:cs="SimSun"/>
          <w:sz w:val="30"/>
          <w:szCs w:val="30"/>
          <w:spacing w:val="-89"/>
        </w:rPr>
        <w:t xml:space="preserve"> </w:t>
      </w:r>
      <w:r>
        <w:rPr>
          <w:rFonts w:ascii="SimSun" w:hAnsi="SimSun" w:eastAsia="SimSun" w:cs="SimSun"/>
          <w:sz w:val="30"/>
          <w:szCs w:val="30"/>
          <w:b/>
          <w:bCs/>
          <w:spacing w:val="12"/>
        </w:rPr>
        <w:t>公</w:t>
      </w:r>
      <w:r>
        <w:rPr>
          <w:rFonts w:ascii="SimSun" w:hAnsi="SimSun" w:eastAsia="SimSun" w:cs="SimSun"/>
          <w:sz w:val="30"/>
          <w:szCs w:val="30"/>
          <w:spacing w:val="-86"/>
        </w:rPr>
        <w:t xml:space="preserve"> </w:t>
      </w:r>
      <w:r>
        <w:rPr>
          <w:rFonts w:ascii="SimSun" w:hAnsi="SimSun" w:eastAsia="SimSun" w:cs="SimSun"/>
          <w:sz w:val="30"/>
          <w:szCs w:val="30"/>
          <w:b/>
          <w:bCs/>
          <w:spacing w:val="12"/>
        </w:rPr>
        <w:t>司</w:t>
      </w:r>
    </w:p>
    <w:p>
      <w:pPr>
        <w:ind w:left="770"/>
        <w:spacing w:before="269" w:line="233" w:lineRule="auto"/>
        <w:rPr>
          <w:rFonts w:ascii="SimSun" w:hAnsi="SimSun" w:eastAsia="SimSun" w:cs="SimSun"/>
          <w:sz w:val="30"/>
          <w:szCs w:val="30"/>
        </w:rPr>
      </w:pPr>
      <w:r>
        <w:rPr>
          <w:rFonts w:ascii="SimSun" w:hAnsi="SimSun" w:eastAsia="SimSun" w:cs="SimSun"/>
          <w:sz w:val="30"/>
          <w:szCs w:val="30"/>
          <w:b/>
          <w:bCs/>
          <w:spacing w:val="-1"/>
        </w:rPr>
        <w:t>编制时间：</w:t>
      </w:r>
      <w:r>
        <w:rPr>
          <w:rFonts w:ascii="SimSun" w:hAnsi="SimSun" w:eastAsia="SimSun" w:cs="SimSun"/>
          <w:sz w:val="30"/>
          <w:szCs w:val="30"/>
          <w:spacing w:val="68"/>
        </w:rPr>
        <w:t xml:space="preserve"> </w:t>
      </w:r>
      <w:r>
        <w:rPr>
          <w:rFonts w:ascii="Times New Roman" w:hAnsi="Times New Roman" w:eastAsia="Times New Roman" w:cs="Times New Roman"/>
          <w:sz w:val="30"/>
          <w:szCs w:val="30"/>
          <w:b/>
          <w:bCs/>
          <w:spacing w:val="-1"/>
        </w:rPr>
        <w:t>2025</w:t>
      </w:r>
      <w:r>
        <w:rPr>
          <w:rFonts w:ascii="Times New Roman" w:hAnsi="Times New Roman" w:eastAsia="Times New Roman" w:cs="Times New Roman"/>
          <w:sz w:val="30"/>
          <w:szCs w:val="30"/>
          <w:b/>
          <w:bCs/>
          <w:spacing w:val="44"/>
          <w:w w:val="101"/>
        </w:rPr>
        <w:t xml:space="preserve"> </w:t>
      </w:r>
      <w:r>
        <w:rPr>
          <w:rFonts w:ascii="SimSun" w:hAnsi="SimSun" w:eastAsia="SimSun" w:cs="SimSun"/>
          <w:sz w:val="30"/>
          <w:szCs w:val="30"/>
          <w:b/>
          <w:bCs/>
          <w:spacing w:val="-1"/>
        </w:rPr>
        <w:t>年</w:t>
      </w:r>
      <w:r>
        <w:rPr>
          <w:rFonts w:ascii="SimSun" w:hAnsi="SimSun" w:eastAsia="SimSun" w:cs="SimSun"/>
          <w:sz w:val="30"/>
          <w:szCs w:val="30"/>
          <w:spacing w:val="-1"/>
        </w:rPr>
        <w:t xml:space="preserve"> </w:t>
      </w:r>
      <w:r>
        <w:rPr>
          <w:rFonts w:ascii="Times New Roman" w:hAnsi="Times New Roman" w:eastAsia="Times New Roman" w:cs="Times New Roman"/>
          <w:sz w:val="30"/>
          <w:szCs w:val="30"/>
          <w:b/>
          <w:bCs/>
          <w:spacing w:val="-1"/>
        </w:rPr>
        <w:t>11</w:t>
      </w:r>
      <w:r>
        <w:rPr>
          <w:rFonts w:ascii="Times New Roman" w:hAnsi="Times New Roman" w:eastAsia="Times New Roman" w:cs="Times New Roman"/>
          <w:sz w:val="30"/>
          <w:szCs w:val="30"/>
          <w:b/>
          <w:bCs/>
          <w:spacing w:val="50"/>
          <w:w w:val="101"/>
        </w:rPr>
        <w:t xml:space="preserve"> </w:t>
      </w:r>
      <w:r>
        <w:rPr>
          <w:rFonts w:ascii="SimSun" w:hAnsi="SimSun" w:eastAsia="SimSun" w:cs="SimSun"/>
          <w:sz w:val="30"/>
          <w:szCs w:val="30"/>
          <w:b/>
          <w:bCs/>
          <w:spacing w:val="-1"/>
        </w:rPr>
        <w:t>月</w:t>
      </w:r>
    </w:p>
    <w:p>
      <w:pPr>
        <w:spacing w:line="233" w:lineRule="auto"/>
        <w:sectPr>
          <w:pgSz w:w="11907" w:h="16839"/>
          <w:pgMar w:top="1431" w:right="1785" w:bottom="0" w:left="1785" w:header="0" w:footer="0" w:gutter="0"/>
        </w:sectPr>
        <w:rPr>
          <w:rFonts w:ascii="SimSun" w:hAnsi="SimSun" w:eastAsia="SimSun" w:cs="SimSun"/>
          <w:sz w:val="30"/>
          <w:szCs w:val="30"/>
        </w:rPr>
      </w:pPr>
    </w:p>
    <w:p>
      <w:pPr>
        <w:pStyle w:val="BodyText"/>
        <w:rPr/>
      </w:pPr>
      <w:r/>
    </w:p>
    <w:p>
      <w:pPr>
        <w:sectPr>
          <w:headerReference w:type="default" r:id="rId1"/>
          <w:footerReference w:type="default" r:id="rId2"/>
          <w:pgSz w:w="11907" w:h="16839"/>
          <w:pgMar w:top="0" w:right="0" w:bottom="0" w:left="0" w:header="0" w:footer="0" w:gutter="0"/>
        </w:sectPr>
        <w:rPr/>
      </w:pPr>
    </w:p>
    <w:p>
      <w:pPr>
        <w:pStyle w:val="BodyText"/>
        <w:spacing w:line="274" w:lineRule="auto"/>
        <w:rPr/>
      </w:pPr>
      <w:r/>
    </w:p>
    <w:p>
      <w:pPr>
        <w:pStyle w:val="BodyText"/>
        <w:spacing w:line="275" w:lineRule="auto"/>
        <w:rPr/>
      </w:pPr>
      <w:r/>
    </w:p>
    <w:p>
      <w:pPr>
        <w:pStyle w:val="BodyText"/>
        <w:spacing w:line="275" w:lineRule="auto"/>
        <w:rPr/>
      </w:pPr>
      <w:r/>
    </w:p>
    <w:p>
      <w:pPr>
        <w:pStyle w:val="BodyText"/>
        <w:spacing w:line="275" w:lineRule="auto"/>
        <w:rPr/>
      </w:pPr>
      <w:r/>
    </w:p>
    <w:p>
      <w:pPr>
        <w:pStyle w:val="BodyText"/>
        <w:spacing w:line="275" w:lineRule="auto"/>
        <w:rPr/>
      </w:pPr>
      <w:r/>
    </w:p>
    <w:sdt>
      <w:sdtPr>
        <w:rPr>
          <w:rFonts w:ascii="SimSun" w:hAnsi="SimSun" w:eastAsia="SimSun" w:cs="SimSun"/>
          <w:sz w:val="28"/>
          <w:szCs w:val="28"/>
        </w:rPr>
        <w:docPartObj>
          <w:docPartGallery w:val="Table of Contents"/>
          <w:docPartUnique/>
        </w:docPartObj>
      </w:sdtPr>
      <w:sdtEndPr>
        <w:rPr>
          <w:rFonts w:ascii="Times New Roman" w:hAnsi="Times New Roman" w:eastAsia="Times New Roman" w:cs="Times New Roman"/>
          <w:sz w:val="24"/>
          <w:szCs w:val="24"/>
        </w:rPr>
      </w:sdtEndPr>
      <w:sdtContent>
        <w:p>
          <w:pPr>
            <w:ind w:left="3820"/>
            <w:spacing w:before="91" w:line="222" w:lineRule="auto"/>
            <w:rPr>
              <w:rFonts w:ascii="SimSun" w:hAnsi="SimSun" w:eastAsia="SimSun" w:cs="SimSun"/>
              <w:sz w:val="28"/>
              <w:szCs w:val="28"/>
            </w:rPr>
          </w:pPr>
          <w:bookmarkStart w:name="bookmark1" w:id="1"/>
          <w:bookmarkEnd w:id="1"/>
          <w:r>
            <w:rPr>
              <w:rFonts w:ascii="SimSun" w:hAnsi="SimSun" w:eastAsia="SimSun" w:cs="SimSun"/>
              <w:sz w:val="28"/>
              <w:szCs w:val="28"/>
              <w:b/>
              <w:bCs/>
              <w:spacing w:val="-35"/>
            </w:rPr>
            <w:t>目</w:t>
          </w:r>
          <w:r>
            <w:rPr>
              <w:rFonts w:ascii="SimSun" w:hAnsi="SimSun" w:eastAsia="SimSun" w:cs="SimSun"/>
              <w:sz w:val="28"/>
              <w:szCs w:val="28"/>
              <w:spacing w:val="4"/>
            </w:rPr>
            <w:t xml:space="preserve">   </w:t>
          </w:r>
          <w:r>
            <w:rPr>
              <w:rFonts w:ascii="SimSun" w:hAnsi="SimSun" w:eastAsia="SimSun" w:cs="SimSun"/>
              <w:sz w:val="28"/>
              <w:szCs w:val="28"/>
              <w:b/>
              <w:bCs/>
              <w:spacing w:val="-35"/>
            </w:rPr>
            <w:t>录</w:t>
          </w:r>
        </w:p>
        <w:p>
          <w:pPr>
            <w:pStyle w:val="BodyText"/>
            <w:spacing w:line="269" w:lineRule="auto"/>
            <w:rPr/>
          </w:pPr>
          <w:r/>
        </w:p>
        <w:p>
          <w:pPr>
            <w:ind w:left="11"/>
            <w:spacing w:before="78" w:line="198" w:lineRule="auto"/>
            <w:tabs>
              <w:tab w:val="right" w:leader="dot" w:pos="8500"/>
            </w:tabs>
            <w:rPr>
              <w:rFonts w:ascii="Times New Roman" w:hAnsi="Times New Roman" w:eastAsia="Times New Roman" w:cs="Times New Roman"/>
              <w:sz w:val="24"/>
              <w:szCs w:val="24"/>
            </w:rPr>
          </w:pPr>
          <w:hyperlink w:history="true" w:anchor="bookmark2">
            <w:r>
              <w:rPr>
                <w:rFonts w:ascii="Times New Roman" w:hAnsi="Times New Roman" w:eastAsia="Times New Roman" w:cs="Times New Roman"/>
                <w:sz w:val="24"/>
                <w:szCs w:val="24"/>
                <w:b/>
                <w:bCs/>
                <w:spacing w:val="-5"/>
              </w:rPr>
              <w:t>1.</w:t>
            </w:r>
            <w:r>
              <w:rPr>
                <w:rFonts w:ascii="SimSun" w:hAnsi="SimSun" w:eastAsia="SimSun" w:cs="SimSun"/>
                <w:sz w:val="24"/>
                <w:szCs w:val="24"/>
                <w:b/>
                <w:bCs/>
                <w:spacing w:val="-5"/>
              </w:rPr>
              <w:t>概述</w:t>
            </w:r>
            <w:r>
              <w:rPr>
                <w:rFonts w:ascii="SimSun" w:hAnsi="SimSun" w:eastAsia="SimSun" w:cs="SimSun"/>
                <w:sz w:val="24"/>
                <w:szCs w:val="24"/>
                <w:spacing w:val="-73"/>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5"/>
              </w:rPr>
              <w:t>1</w:t>
            </w:r>
          </w:hyperlink>
        </w:p>
        <w:p>
          <w:pPr>
            <w:pStyle w:val="BodyText"/>
            <w:spacing w:line="251" w:lineRule="auto"/>
            <w:rPr/>
          </w:pPr>
          <w:r/>
        </w:p>
        <w:p>
          <w:pPr>
            <w:ind w:left="235"/>
            <w:spacing w:before="78" w:line="198" w:lineRule="auto"/>
            <w:tabs>
              <w:tab w:val="right" w:leader="dot" w:pos="8500"/>
            </w:tabs>
            <w:rPr>
              <w:rFonts w:ascii="Times New Roman" w:hAnsi="Times New Roman" w:eastAsia="Times New Roman" w:cs="Times New Roman"/>
              <w:sz w:val="24"/>
              <w:szCs w:val="24"/>
            </w:rPr>
          </w:pPr>
          <w:hyperlink w:history="true" w:anchor="bookmark3">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6"/>
              </w:rPr>
              <w:t>项目由来</w:t>
            </w:r>
            <w:r>
              <w:rPr>
                <w:rFonts w:ascii="SimSun" w:hAnsi="SimSun" w:eastAsia="SimSun" w:cs="SimSun"/>
                <w:sz w:val="24"/>
                <w:szCs w:val="24"/>
              </w:rPr>
              <w:tab/>
            </w:r>
            <w:r>
              <w:rPr>
                <w:rFonts w:ascii="Times New Roman" w:hAnsi="Times New Roman" w:eastAsia="Times New Roman" w:cs="Times New Roman"/>
                <w:sz w:val="24"/>
                <w:szCs w:val="24"/>
                <w:spacing w:val="5"/>
              </w:rPr>
              <w:t>1</w:t>
            </w:r>
          </w:hyperlink>
        </w:p>
        <w:p>
          <w:pPr>
            <w:ind w:left="235"/>
            <w:spacing w:before="210" w:line="198" w:lineRule="auto"/>
            <w:tabs>
              <w:tab w:val="right" w:leader="dot" w:pos="8500"/>
            </w:tabs>
            <w:rPr>
              <w:rFonts w:ascii="Times New Roman" w:hAnsi="Times New Roman" w:eastAsia="Times New Roman" w:cs="Times New Roman"/>
              <w:sz w:val="24"/>
              <w:szCs w:val="24"/>
            </w:rPr>
          </w:pPr>
          <w:hyperlink w:history="true" w:anchor="bookmark4">
            <w:r>
              <w:rPr>
                <w:rFonts w:ascii="Times New Roman" w:hAnsi="Times New Roman" w:eastAsia="Times New Roman" w:cs="Times New Roman"/>
                <w:sz w:val="24"/>
                <w:szCs w:val="24"/>
                <w:spacing w:val="-3"/>
              </w:rPr>
              <w:t>1.2 </w:t>
            </w:r>
            <w:r>
              <w:rPr>
                <w:rFonts w:ascii="SimSun" w:hAnsi="SimSun" w:eastAsia="SimSun" w:cs="SimSun"/>
                <w:sz w:val="24"/>
                <w:szCs w:val="24"/>
                <w:spacing w:val="-3"/>
              </w:rPr>
              <w:t>项目主要特点</w:t>
            </w:r>
            <w:r>
              <w:rPr>
                <w:rFonts w:ascii="SimSun" w:hAnsi="SimSun" w:eastAsia="SimSun" w:cs="SimSun"/>
                <w:sz w:val="24"/>
                <w:szCs w:val="24"/>
              </w:rPr>
              <w:tab/>
            </w:r>
            <w:r>
              <w:rPr>
                <w:rFonts w:ascii="Times New Roman" w:hAnsi="Times New Roman" w:eastAsia="Times New Roman" w:cs="Times New Roman"/>
                <w:sz w:val="24"/>
                <w:szCs w:val="24"/>
                <w:spacing w:val="5"/>
              </w:rPr>
              <w:t>1</w:t>
            </w:r>
          </w:hyperlink>
        </w:p>
        <w:p>
          <w:pPr>
            <w:ind w:left="235"/>
            <w:spacing w:before="210" w:line="198" w:lineRule="auto"/>
            <w:tabs>
              <w:tab w:val="right" w:leader="dot" w:pos="8500"/>
            </w:tabs>
            <w:rPr>
              <w:rFonts w:ascii="Times New Roman" w:hAnsi="Times New Roman" w:eastAsia="Times New Roman" w:cs="Times New Roman"/>
              <w:sz w:val="24"/>
              <w:szCs w:val="24"/>
            </w:rPr>
          </w:pPr>
          <w:hyperlink w:history="true" w:anchor="bookmark5">
            <w:r>
              <w:rPr>
                <w:rFonts w:ascii="Times New Roman" w:hAnsi="Times New Roman" w:eastAsia="Times New Roman" w:cs="Times New Roman"/>
                <w:sz w:val="24"/>
                <w:szCs w:val="24"/>
                <w:spacing w:val="-3"/>
              </w:rPr>
              <w:t>1.3 </w:t>
            </w:r>
            <w:r>
              <w:rPr>
                <w:rFonts w:ascii="SimSun" w:hAnsi="SimSun" w:eastAsia="SimSun" w:cs="SimSun"/>
                <w:sz w:val="24"/>
                <w:szCs w:val="24"/>
                <w:spacing w:val="-3"/>
              </w:rPr>
              <w:t>环境影响评价工作过程</w:t>
            </w:r>
            <w:r>
              <w:rPr>
                <w:rFonts w:ascii="SimSun" w:hAnsi="SimSun" w:eastAsia="SimSun" w:cs="SimSun"/>
                <w:sz w:val="24"/>
                <w:szCs w:val="24"/>
              </w:rPr>
              <w:tab/>
            </w:r>
            <w:r>
              <w:rPr>
                <w:rFonts w:ascii="Times New Roman" w:hAnsi="Times New Roman" w:eastAsia="Times New Roman" w:cs="Times New Roman"/>
                <w:sz w:val="24"/>
                <w:szCs w:val="24"/>
                <w:spacing w:val="5"/>
              </w:rPr>
              <w:t>2</w:t>
            </w:r>
          </w:hyperlink>
        </w:p>
        <w:p>
          <w:pPr>
            <w:ind w:left="235"/>
            <w:spacing w:before="210" w:line="198" w:lineRule="auto"/>
            <w:tabs>
              <w:tab w:val="right" w:leader="dot" w:pos="8500"/>
            </w:tabs>
            <w:rPr>
              <w:rFonts w:ascii="Times New Roman" w:hAnsi="Times New Roman" w:eastAsia="Times New Roman" w:cs="Times New Roman"/>
              <w:sz w:val="24"/>
              <w:szCs w:val="24"/>
            </w:rPr>
          </w:pPr>
          <w:hyperlink w:history="true" w:anchor="bookmark6">
            <w:r>
              <w:rPr>
                <w:rFonts w:ascii="Times New Roman" w:hAnsi="Times New Roman" w:eastAsia="Times New Roman" w:cs="Times New Roman"/>
                <w:sz w:val="24"/>
                <w:szCs w:val="24"/>
                <w:spacing w:val="-3"/>
              </w:rPr>
              <w:t>1.4 </w:t>
            </w:r>
            <w:r>
              <w:rPr>
                <w:rFonts w:ascii="SimSun" w:hAnsi="SimSun" w:eastAsia="SimSun" w:cs="SimSun"/>
                <w:sz w:val="24"/>
                <w:szCs w:val="24"/>
                <w:spacing w:val="-3"/>
              </w:rPr>
              <w:t>分析判定相关情况</w:t>
            </w:r>
            <w:r>
              <w:rPr>
                <w:rFonts w:ascii="SimSun" w:hAnsi="SimSun" w:eastAsia="SimSun" w:cs="SimSun"/>
                <w:sz w:val="24"/>
                <w:szCs w:val="24"/>
              </w:rPr>
              <w:tab/>
            </w:r>
            <w:r>
              <w:rPr>
                <w:rFonts w:ascii="Times New Roman" w:hAnsi="Times New Roman" w:eastAsia="Times New Roman" w:cs="Times New Roman"/>
                <w:sz w:val="24"/>
                <w:szCs w:val="24"/>
                <w:spacing w:val="5"/>
              </w:rPr>
              <w:t>3</w:t>
            </w:r>
          </w:hyperlink>
        </w:p>
        <w:p>
          <w:pPr>
            <w:ind w:left="235"/>
            <w:spacing w:before="211" w:line="198" w:lineRule="auto"/>
            <w:tabs>
              <w:tab w:val="right" w:leader="dot" w:pos="8500"/>
            </w:tabs>
            <w:rPr>
              <w:rFonts w:ascii="Times New Roman" w:hAnsi="Times New Roman" w:eastAsia="Times New Roman" w:cs="Times New Roman"/>
              <w:sz w:val="24"/>
              <w:szCs w:val="24"/>
            </w:rPr>
          </w:pPr>
          <w:hyperlink w:history="true" w:anchor="bookmark7">
            <w:r>
              <w:rPr>
                <w:rFonts w:ascii="Times New Roman" w:hAnsi="Times New Roman" w:eastAsia="Times New Roman" w:cs="Times New Roman"/>
                <w:sz w:val="24"/>
                <w:szCs w:val="24"/>
                <w:spacing w:val="-2"/>
              </w:rPr>
              <w:t>1.5 </w:t>
            </w:r>
            <w:r>
              <w:rPr>
                <w:rFonts w:ascii="SimSun" w:hAnsi="SimSun" w:eastAsia="SimSun" w:cs="SimSun"/>
                <w:sz w:val="24"/>
                <w:szCs w:val="24"/>
                <w:spacing w:val="-2"/>
              </w:rPr>
              <w:t>环境影响评价的主要结论</w:t>
            </w:r>
            <w:r>
              <w:rPr>
                <w:rFonts w:ascii="SimSun" w:hAnsi="SimSun" w:eastAsia="SimSun" w:cs="SimSun"/>
                <w:sz w:val="24"/>
                <w:szCs w:val="24"/>
              </w:rPr>
              <w:tab/>
            </w:r>
            <w:r>
              <w:rPr>
                <w:rFonts w:ascii="Times New Roman" w:hAnsi="Times New Roman" w:eastAsia="Times New Roman" w:cs="Times New Roman"/>
                <w:sz w:val="24"/>
                <w:szCs w:val="24"/>
                <w:spacing w:val="2"/>
              </w:rPr>
              <w:t>18</w:t>
            </w:r>
          </w:hyperlink>
        </w:p>
        <w:p>
          <w:pPr>
            <w:pStyle w:val="BodyText"/>
            <w:spacing w:line="251" w:lineRule="auto"/>
            <w:rPr/>
          </w:pPr>
          <w:r/>
        </w:p>
        <w:p>
          <w:pPr>
            <w:ind w:left="1"/>
            <w:spacing w:before="78" w:line="198" w:lineRule="auto"/>
            <w:tabs>
              <w:tab w:val="right" w:leader="dot" w:pos="8500"/>
            </w:tabs>
            <w:rPr>
              <w:rFonts w:ascii="Times New Roman" w:hAnsi="Times New Roman" w:eastAsia="Times New Roman" w:cs="Times New Roman"/>
              <w:sz w:val="24"/>
              <w:szCs w:val="24"/>
            </w:rPr>
          </w:pPr>
          <w:hyperlink w:history="true" w:anchor="bookmark8">
            <w:r>
              <w:rPr>
                <w:rFonts w:ascii="Times New Roman" w:hAnsi="Times New Roman" w:eastAsia="Times New Roman" w:cs="Times New Roman"/>
                <w:sz w:val="24"/>
                <w:szCs w:val="24"/>
                <w:b/>
                <w:bCs/>
                <w:spacing w:val="-3"/>
              </w:rPr>
              <w:t>2.</w:t>
            </w:r>
            <w:r>
              <w:rPr>
                <w:rFonts w:ascii="SimSun" w:hAnsi="SimSun" w:eastAsia="SimSun" w:cs="SimSun"/>
                <w:sz w:val="24"/>
                <w:szCs w:val="24"/>
                <w:b/>
                <w:bCs/>
                <w:spacing w:val="-3"/>
              </w:rPr>
              <w:t>总则</w:t>
            </w:r>
            <w:r>
              <w:rPr>
                <w:rFonts w:ascii="SimSun" w:hAnsi="SimSun" w:eastAsia="SimSun" w:cs="SimSun"/>
                <w:sz w:val="24"/>
                <w:szCs w:val="24"/>
                <w:spacing w:val="-71"/>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
              </w:rPr>
              <w:t>19</w:t>
            </w:r>
          </w:hyperlink>
        </w:p>
        <w:p>
          <w:pPr>
            <w:pStyle w:val="BodyText"/>
            <w:spacing w:line="251" w:lineRule="auto"/>
            <w:rPr/>
          </w:pPr>
          <w:r/>
        </w:p>
        <w:p>
          <w:pPr>
            <w:ind w:left="212"/>
            <w:spacing w:before="78" w:line="198" w:lineRule="auto"/>
            <w:tabs>
              <w:tab w:val="right" w:leader="dot" w:pos="8500"/>
            </w:tabs>
            <w:rPr>
              <w:rFonts w:ascii="Times New Roman" w:hAnsi="Times New Roman" w:eastAsia="Times New Roman" w:cs="Times New Roman"/>
              <w:sz w:val="24"/>
              <w:szCs w:val="24"/>
            </w:rPr>
          </w:pPr>
          <w:hyperlink w:history="true" w:anchor="bookmark9">
            <w:r>
              <w:rPr>
                <w:rFonts w:ascii="Times New Roman" w:hAnsi="Times New Roman" w:eastAsia="Times New Roman" w:cs="Times New Roman"/>
                <w:sz w:val="24"/>
                <w:szCs w:val="24"/>
                <w:spacing w:val="-3"/>
              </w:rPr>
              <w:t>2.1</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3"/>
              </w:rPr>
              <w:t>编制依据</w:t>
            </w:r>
            <w:r>
              <w:rPr>
                <w:rFonts w:ascii="SimSun" w:hAnsi="SimSun" w:eastAsia="SimSun" w:cs="SimSun"/>
                <w:sz w:val="24"/>
                <w:szCs w:val="24"/>
              </w:rPr>
              <w:tab/>
            </w:r>
            <w:r>
              <w:rPr>
                <w:rFonts w:ascii="Times New Roman" w:hAnsi="Times New Roman" w:eastAsia="Times New Roman" w:cs="Times New Roman"/>
                <w:sz w:val="24"/>
                <w:szCs w:val="24"/>
                <w:spacing w:val="2"/>
              </w:rPr>
              <w:t>19</w:t>
            </w:r>
          </w:hyperlink>
        </w:p>
        <w:p>
          <w:pPr>
            <w:ind w:left="212"/>
            <w:spacing w:before="211" w:line="198" w:lineRule="auto"/>
            <w:tabs>
              <w:tab w:val="right" w:leader="dot" w:pos="8500"/>
            </w:tabs>
            <w:rPr>
              <w:rFonts w:ascii="Times New Roman" w:hAnsi="Times New Roman" w:eastAsia="Times New Roman" w:cs="Times New Roman"/>
              <w:sz w:val="24"/>
              <w:szCs w:val="24"/>
            </w:rPr>
          </w:pPr>
          <w:hyperlink w:history="true" w:anchor="bookmark10">
            <w:r>
              <w:rPr>
                <w:rFonts w:ascii="Times New Roman" w:hAnsi="Times New Roman" w:eastAsia="Times New Roman" w:cs="Times New Roman"/>
                <w:sz w:val="24"/>
                <w:szCs w:val="24"/>
                <w:spacing w:val="-1"/>
              </w:rPr>
              <w:t>2.2 </w:t>
            </w:r>
            <w:r>
              <w:rPr>
                <w:rFonts w:ascii="SimSun" w:hAnsi="SimSun" w:eastAsia="SimSun" w:cs="SimSun"/>
                <w:sz w:val="24"/>
                <w:szCs w:val="24"/>
                <w:spacing w:val="-1"/>
              </w:rPr>
              <w:t>评价目的与评价原则</w:t>
            </w:r>
            <w:r>
              <w:rPr>
                <w:rFonts w:ascii="SimSun" w:hAnsi="SimSun" w:eastAsia="SimSun" w:cs="SimSun"/>
                <w:sz w:val="24"/>
                <w:szCs w:val="24"/>
              </w:rPr>
              <w:tab/>
            </w:r>
            <w:r>
              <w:rPr>
                <w:rFonts w:ascii="Times New Roman" w:hAnsi="Times New Roman" w:eastAsia="Times New Roman" w:cs="Times New Roman"/>
                <w:sz w:val="24"/>
                <w:szCs w:val="24"/>
                <w:spacing w:val="2"/>
              </w:rPr>
              <w:t>23</w:t>
            </w:r>
          </w:hyperlink>
        </w:p>
        <w:p>
          <w:pPr>
            <w:ind w:left="212"/>
            <w:spacing w:before="211" w:line="198" w:lineRule="auto"/>
            <w:tabs>
              <w:tab w:val="right" w:leader="dot" w:pos="8500"/>
            </w:tabs>
            <w:rPr>
              <w:rFonts w:ascii="Times New Roman" w:hAnsi="Times New Roman" w:eastAsia="Times New Roman" w:cs="Times New Roman"/>
              <w:sz w:val="24"/>
              <w:szCs w:val="24"/>
            </w:rPr>
          </w:pPr>
          <w:hyperlink w:history="true" w:anchor="bookmark11">
            <w:r>
              <w:rPr>
                <w:rFonts w:ascii="Times New Roman" w:hAnsi="Times New Roman" w:eastAsia="Times New Roman" w:cs="Times New Roman"/>
                <w:sz w:val="24"/>
                <w:szCs w:val="24"/>
                <w:spacing w:val="-1"/>
              </w:rPr>
              <w:t>2.3 </w:t>
            </w:r>
            <w:r>
              <w:rPr>
                <w:rFonts w:ascii="SimSun" w:hAnsi="SimSun" w:eastAsia="SimSun" w:cs="SimSun"/>
                <w:sz w:val="24"/>
                <w:szCs w:val="24"/>
                <w:spacing w:val="-1"/>
              </w:rPr>
              <w:t>评价时段</w:t>
            </w:r>
            <w:r>
              <w:rPr>
                <w:rFonts w:ascii="SimSun" w:hAnsi="SimSun" w:eastAsia="SimSun" w:cs="SimSun"/>
                <w:sz w:val="24"/>
                <w:szCs w:val="24"/>
              </w:rPr>
              <w:tab/>
            </w:r>
            <w:r>
              <w:rPr>
                <w:rFonts w:ascii="Times New Roman" w:hAnsi="Times New Roman" w:eastAsia="Times New Roman" w:cs="Times New Roman"/>
                <w:sz w:val="24"/>
                <w:szCs w:val="24"/>
                <w:spacing w:val="2"/>
              </w:rPr>
              <w:t>24</w:t>
            </w:r>
          </w:hyperlink>
        </w:p>
        <w:p>
          <w:pPr>
            <w:ind w:left="212"/>
            <w:spacing w:before="210" w:line="198" w:lineRule="auto"/>
            <w:tabs>
              <w:tab w:val="right" w:leader="dot" w:pos="8500"/>
            </w:tabs>
            <w:rPr>
              <w:rFonts w:ascii="Times New Roman" w:hAnsi="Times New Roman" w:eastAsia="Times New Roman" w:cs="Times New Roman"/>
              <w:sz w:val="24"/>
              <w:szCs w:val="24"/>
            </w:rPr>
          </w:pPr>
          <w:hyperlink w:history="true" w:anchor="bookmark12">
            <w:r>
              <w:rPr>
                <w:rFonts w:ascii="Times New Roman" w:hAnsi="Times New Roman" w:eastAsia="Times New Roman" w:cs="Times New Roman"/>
                <w:sz w:val="24"/>
                <w:szCs w:val="24"/>
                <w:spacing w:val="-1"/>
              </w:rPr>
              <w:t>2.4 </w:t>
            </w:r>
            <w:r>
              <w:rPr>
                <w:rFonts w:ascii="SimSun" w:hAnsi="SimSun" w:eastAsia="SimSun" w:cs="SimSun"/>
                <w:sz w:val="24"/>
                <w:szCs w:val="24"/>
                <w:spacing w:val="-1"/>
              </w:rPr>
              <w:t>环境影响因素识别及评价因子筛选</w:t>
            </w:r>
            <w:r>
              <w:rPr>
                <w:rFonts w:ascii="SimSun" w:hAnsi="SimSun" w:eastAsia="SimSun" w:cs="SimSun"/>
                <w:sz w:val="24"/>
                <w:szCs w:val="24"/>
              </w:rPr>
              <w:tab/>
            </w:r>
            <w:r>
              <w:rPr>
                <w:rFonts w:ascii="Times New Roman" w:hAnsi="Times New Roman" w:eastAsia="Times New Roman" w:cs="Times New Roman"/>
                <w:sz w:val="24"/>
                <w:szCs w:val="24"/>
                <w:spacing w:val="2"/>
              </w:rPr>
              <w:t>24</w:t>
            </w:r>
          </w:hyperlink>
        </w:p>
        <w:p>
          <w:pPr>
            <w:ind w:left="212"/>
            <w:spacing w:before="211" w:line="198" w:lineRule="auto"/>
            <w:tabs>
              <w:tab w:val="right" w:leader="dot" w:pos="8500"/>
            </w:tabs>
            <w:rPr>
              <w:rFonts w:ascii="Times New Roman" w:hAnsi="Times New Roman" w:eastAsia="Times New Roman" w:cs="Times New Roman"/>
              <w:sz w:val="24"/>
              <w:szCs w:val="24"/>
            </w:rPr>
          </w:pPr>
          <w:hyperlink w:history="true" w:anchor="bookmark13">
            <w:r>
              <w:rPr>
                <w:rFonts w:ascii="Times New Roman" w:hAnsi="Times New Roman" w:eastAsia="Times New Roman" w:cs="Times New Roman"/>
                <w:sz w:val="24"/>
                <w:szCs w:val="24"/>
                <w:spacing w:val="-1"/>
              </w:rPr>
              <w:t>2.5 </w:t>
            </w:r>
            <w:r>
              <w:rPr>
                <w:rFonts w:ascii="SimSun" w:hAnsi="SimSun" w:eastAsia="SimSun" w:cs="SimSun"/>
                <w:sz w:val="24"/>
                <w:szCs w:val="24"/>
                <w:spacing w:val="-1"/>
              </w:rPr>
              <w:t>环境功能区划</w:t>
            </w:r>
            <w:r>
              <w:rPr>
                <w:rFonts w:ascii="SimSun" w:hAnsi="SimSun" w:eastAsia="SimSun" w:cs="SimSun"/>
                <w:sz w:val="24"/>
                <w:szCs w:val="24"/>
              </w:rPr>
              <w:tab/>
            </w:r>
            <w:r>
              <w:rPr>
                <w:rFonts w:ascii="Times New Roman" w:hAnsi="Times New Roman" w:eastAsia="Times New Roman" w:cs="Times New Roman"/>
                <w:sz w:val="24"/>
                <w:szCs w:val="24"/>
                <w:spacing w:val="2"/>
              </w:rPr>
              <w:t>25</w:t>
            </w:r>
          </w:hyperlink>
        </w:p>
        <w:p>
          <w:pPr>
            <w:ind w:left="212"/>
            <w:spacing w:before="211" w:line="198" w:lineRule="auto"/>
            <w:tabs>
              <w:tab w:val="right" w:leader="dot" w:pos="8500"/>
            </w:tabs>
            <w:rPr>
              <w:rFonts w:ascii="Times New Roman" w:hAnsi="Times New Roman" w:eastAsia="Times New Roman" w:cs="Times New Roman"/>
              <w:sz w:val="24"/>
              <w:szCs w:val="24"/>
            </w:rPr>
          </w:pPr>
          <w:hyperlink w:history="true" w:anchor="bookmark14">
            <w:r>
              <w:rPr>
                <w:rFonts w:ascii="Times New Roman" w:hAnsi="Times New Roman" w:eastAsia="Times New Roman" w:cs="Times New Roman"/>
                <w:sz w:val="24"/>
                <w:szCs w:val="24"/>
                <w:spacing w:val="-1"/>
              </w:rPr>
              <w:t>2.6 </w:t>
            </w:r>
            <w:r>
              <w:rPr>
                <w:rFonts w:ascii="SimSun" w:hAnsi="SimSun" w:eastAsia="SimSun" w:cs="SimSun"/>
                <w:sz w:val="24"/>
                <w:szCs w:val="24"/>
                <w:spacing w:val="-1"/>
              </w:rPr>
              <w:t>评价标准</w:t>
            </w:r>
            <w:r>
              <w:rPr>
                <w:rFonts w:ascii="SimSun" w:hAnsi="SimSun" w:eastAsia="SimSun" w:cs="SimSun"/>
                <w:sz w:val="24"/>
                <w:szCs w:val="24"/>
              </w:rPr>
              <w:tab/>
            </w:r>
            <w:r>
              <w:rPr>
                <w:rFonts w:ascii="Times New Roman" w:hAnsi="Times New Roman" w:eastAsia="Times New Roman" w:cs="Times New Roman"/>
                <w:sz w:val="24"/>
                <w:szCs w:val="24"/>
                <w:spacing w:val="2"/>
              </w:rPr>
              <w:t>26</w:t>
            </w:r>
          </w:hyperlink>
        </w:p>
        <w:p>
          <w:pPr>
            <w:ind w:left="212"/>
            <w:spacing w:before="210" w:line="198" w:lineRule="auto"/>
            <w:tabs>
              <w:tab w:val="right" w:leader="dot" w:pos="8500"/>
            </w:tabs>
            <w:rPr>
              <w:rFonts w:ascii="Times New Roman" w:hAnsi="Times New Roman" w:eastAsia="Times New Roman" w:cs="Times New Roman"/>
              <w:sz w:val="24"/>
              <w:szCs w:val="24"/>
            </w:rPr>
          </w:pPr>
          <w:hyperlink w:history="true" w:anchor="bookmark15">
            <w:r>
              <w:rPr>
                <w:rFonts w:ascii="Times New Roman" w:hAnsi="Times New Roman" w:eastAsia="Times New Roman" w:cs="Times New Roman"/>
                <w:sz w:val="24"/>
                <w:szCs w:val="24"/>
                <w:spacing w:val="-1"/>
              </w:rPr>
              <w:t>2.7 </w:t>
            </w:r>
            <w:r>
              <w:rPr>
                <w:rFonts w:ascii="SimSun" w:hAnsi="SimSun" w:eastAsia="SimSun" w:cs="SimSun"/>
                <w:sz w:val="24"/>
                <w:szCs w:val="24"/>
                <w:spacing w:val="-1"/>
              </w:rPr>
              <w:t>评价等级和评价范围</w:t>
            </w:r>
            <w:r>
              <w:rPr>
                <w:rFonts w:ascii="SimSun" w:hAnsi="SimSun" w:eastAsia="SimSun" w:cs="SimSun"/>
                <w:sz w:val="24"/>
                <w:szCs w:val="24"/>
              </w:rPr>
              <w:tab/>
            </w:r>
            <w:r>
              <w:rPr>
                <w:rFonts w:ascii="Times New Roman" w:hAnsi="Times New Roman" w:eastAsia="Times New Roman" w:cs="Times New Roman"/>
                <w:sz w:val="24"/>
                <w:szCs w:val="24"/>
                <w:spacing w:val="2"/>
              </w:rPr>
              <w:t>30</w:t>
            </w:r>
          </w:hyperlink>
        </w:p>
        <w:p>
          <w:pPr>
            <w:ind w:left="212"/>
            <w:spacing w:before="211" w:line="198" w:lineRule="auto"/>
            <w:tabs>
              <w:tab w:val="right" w:leader="dot" w:pos="8500"/>
            </w:tabs>
            <w:rPr>
              <w:rFonts w:ascii="Times New Roman" w:hAnsi="Times New Roman" w:eastAsia="Times New Roman" w:cs="Times New Roman"/>
              <w:sz w:val="24"/>
              <w:szCs w:val="24"/>
            </w:rPr>
          </w:pPr>
          <w:hyperlink w:history="true" w:anchor="bookmark16">
            <w:r>
              <w:rPr>
                <w:rFonts w:ascii="Times New Roman" w:hAnsi="Times New Roman" w:eastAsia="Times New Roman" w:cs="Times New Roman"/>
                <w:sz w:val="24"/>
                <w:szCs w:val="24"/>
                <w:spacing w:val="-1"/>
              </w:rPr>
              <w:t>2.8 </w:t>
            </w:r>
            <w:r>
              <w:rPr>
                <w:rFonts w:ascii="SimSun" w:hAnsi="SimSun" w:eastAsia="SimSun" w:cs="SimSun"/>
                <w:sz w:val="24"/>
                <w:szCs w:val="24"/>
                <w:spacing w:val="-1"/>
              </w:rPr>
              <w:t>环境保护目标</w:t>
            </w:r>
            <w:r>
              <w:rPr>
                <w:rFonts w:ascii="SimSun" w:hAnsi="SimSun" w:eastAsia="SimSun" w:cs="SimSun"/>
                <w:sz w:val="24"/>
                <w:szCs w:val="24"/>
              </w:rPr>
              <w:tab/>
            </w:r>
            <w:r>
              <w:rPr>
                <w:rFonts w:ascii="Times New Roman" w:hAnsi="Times New Roman" w:eastAsia="Times New Roman" w:cs="Times New Roman"/>
                <w:sz w:val="24"/>
                <w:szCs w:val="24"/>
                <w:spacing w:val="2"/>
              </w:rPr>
              <w:t>37</w:t>
            </w:r>
          </w:hyperlink>
        </w:p>
        <w:p>
          <w:pPr>
            <w:pStyle w:val="BodyText"/>
            <w:spacing w:line="251" w:lineRule="auto"/>
            <w:rPr/>
          </w:pPr>
          <w:r/>
        </w:p>
        <w:p>
          <w:pPr>
            <w:spacing w:before="78" w:line="198" w:lineRule="auto"/>
            <w:tabs>
              <w:tab w:val="right" w:leader="dot" w:pos="8500"/>
            </w:tabs>
            <w:rPr>
              <w:rFonts w:ascii="Times New Roman" w:hAnsi="Times New Roman" w:eastAsia="Times New Roman" w:cs="Times New Roman"/>
              <w:sz w:val="24"/>
              <w:szCs w:val="24"/>
            </w:rPr>
          </w:pPr>
          <w:hyperlink w:history="true" w:anchor="bookmark17">
            <w:r>
              <w:rPr>
                <w:rFonts w:ascii="Times New Roman" w:hAnsi="Times New Roman" w:eastAsia="Times New Roman" w:cs="Times New Roman"/>
                <w:sz w:val="24"/>
                <w:szCs w:val="24"/>
                <w:b/>
                <w:bCs/>
                <w:spacing w:val="-2"/>
              </w:rPr>
              <w:t>3.</w:t>
            </w:r>
            <w:r>
              <w:rPr>
                <w:rFonts w:ascii="SimSun" w:hAnsi="SimSun" w:eastAsia="SimSun" w:cs="SimSun"/>
                <w:sz w:val="24"/>
                <w:szCs w:val="24"/>
                <w:b/>
                <w:bCs/>
                <w:spacing w:val="-2"/>
              </w:rPr>
              <w:t>建设项目概况与工程分析</w:t>
            </w:r>
            <w:r>
              <w:rPr>
                <w:rFonts w:ascii="SimSun" w:hAnsi="SimSun" w:eastAsia="SimSun" w:cs="SimSun"/>
                <w:sz w:val="24"/>
                <w:szCs w:val="24"/>
                <w:spacing w:val="-78"/>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
              </w:rPr>
              <w:t>39</w:t>
            </w:r>
          </w:hyperlink>
        </w:p>
        <w:p>
          <w:pPr>
            <w:pStyle w:val="BodyText"/>
            <w:spacing w:line="251" w:lineRule="auto"/>
            <w:rPr/>
          </w:pPr>
          <w:r/>
        </w:p>
        <w:p>
          <w:pPr>
            <w:ind w:left="217"/>
            <w:spacing w:before="78" w:line="198" w:lineRule="auto"/>
            <w:tabs>
              <w:tab w:val="right" w:leader="dot" w:pos="8500"/>
            </w:tabs>
            <w:rPr>
              <w:rFonts w:ascii="Times New Roman" w:hAnsi="Times New Roman" w:eastAsia="Times New Roman" w:cs="Times New Roman"/>
              <w:sz w:val="24"/>
              <w:szCs w:val="24"/>
            </w:rPr>
          </w:pPr>
          <w:hyperlink w:history="true" w:anchor="bookmark18">
            <w:r>
              <w:rPr>
                <w:rFonts w:ascii="Times New Roman" w:hAnsi="Times New Roman" w:eastAsia="Times New Roman" w:cs="Times New Roman"/>
                <w:sz w:val="24"/>
                <w:szCs w:val="24"/>
                <w:spacing w:val="-1"/>
              </w:rPr>
              <w:t>3.1 </w:t>
            </w:r>
            <w:r>
              <w:rPr>
                <w:rFonts w:ascii="SimSun" w:hAnsi="SimSun" w:eastAsia="SimSun" w:cs="SimSun"/>
                <w:sz w:val="24"/>
                <w:szCs w:val="24"/>
                <w:spacing w:val="-1"/>
              </w:rPr>
              <w:t>建设项目概况</w:t>
            </w:r>
            <w:r>
              <w:rPr>
                <w:rFonts w:ascii="SimSun" w:hAnsi="SimSun" w:eastAsia="SimSun" w:cs="SimSun"/>
                <w:sz w:val="24"/>
                <w:szCs w:val="24"/>
              </w:rPr>
              <w:tab/>
            </w:r>
            <w:r>
              <w:rPr>
                <w:rFonts w:ascii="Times New Roman" w:hAnsi="Times New Roman" w:eastAsia="Times New Roman" w:cs="Times New Roman"/>
                <w:sz w:val="24"/>
                <w:szCs w:val="24"/>
                <w:spacing w:val="2"/>
              </w:rPr>
              <w:t>39</w:t>
            </w:r>
          </w:hyperlink>
        </w:p>
        <w:p>
          <w:pPr>
            <w:ind w:left="217"/>
            <w:spacing w:before="211" w:line="198" w:lineRule="auto"/>
            <w:tabs>
              <w:tab w:val="right" w:leader="dot" w:pos="8500"/>
            </w:tabs>
            <w:rPr>
              <w:rFonts w:ascii="Times New Roman" w:hAnsi="Times New Roman" w:eastAsia="Times New Roman" w:cs="Times New Roman"/>
              <w:sz w:val="24"/>
              <w:szCs w:val="24"/>
            </w:rPr>
          </w:pPr>
          <w:hyperlink w:history="true" w:anchor="bookmark19">
            <w:r>
              <w:rPr>
                <w:rFonts w:ascii="Times New Roman" w:hAnsi="Times New Roman" w:eastAsia="Times New Roman" w:cs="Times New Roman"/>
                <w:sz w:val="24"/>
                <w:szCs w:val="24"/>
                <w:spacing w:val="-4"/>
              </w:rPr>
              <w:t>3.2</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4"/>
              </w:rPr>
              <w:t>工程分析</w:t>
            </w:r>
            <w:r>
              <w:rPr>
                <w:rFonts w:ascii="SimSun" w:hAnsi="SimSun" w:eastAsia="SimSun" w:cs="SimSun"/>
                <w:sz w:val="24"/>
                <w:szCs w:val="24"/>
              </w:rPr>
              <w:tab/>
            </w:r>
            <w:r>
              <w:rPr>
                <w:rFonts w:ascii="Times New Roman" w:hAnsi="Times New Roman" w:eastAsia="Times New Roman" w:cs="Times New Roman"/>
                <w:sz w:val="24"/>
                <w:szCs w:val="24"/>
                <w:spacing w:val="2"/>
              </w:rPr>
              <w:t>45</w:t>
            </w:r>
          </w:hyperlink>
        </w:p>
        <w:p>
          <w:pPr>
            <w:ind w:left="217"/>
            <w:spacing w:before="210" w:line="198" w:lineRule="auto"/>
            <w:tabs>
              <w:tab w:val="right" w:leader="dot" w:pos="8500"/>
            </w:tabs>
            <w:rPr>
              <w:rFonts w:ascii="Times New Roman" w:hAnsi="Times New Roman" w:eastAsia="Times New Roman" w:cs="Times New Roman"/>
              <w:sz w:val="24"/>
              <w:szCs w:val="24"/>
            </w:rPr>
          </w:pPr>
          <w:hyperlink w:history="true" w:anchor="bookmark20">
            <w:r>
              <w:rPr>
                <w:rFonts w:ascii="Times New Roman" w:hAnsi="Times New Roman" w:eastAsia="Times New Roman" w:cs="Times New Roman"/>
                <w:sz w:val="24"/>
                <w:szCs w:val="24"/>
                <w:spacing w:val="-1"/>
              </w:rPr>
              <w:t>3.3 </w:t>
            </w:r>
            <w:r>
              <w:rPr>
                <w:rFonts w:ascii="SimSun" w:hAnsi="SimSun" w:eastAsia="SimSun" w:cs="SimSun"/>
                <w:sz w:val="24"/>
                <w:szCs w:val="24"/>
                <w:spacing w:val="-1"/>
              </w:rPr>
              <w:t>污染因素分析及采取的治理措施</w:t>
            </w:r>
            <w:r>
              <w:rPr>
                <w:rFonts w:ascii="SimSun" w:hAnsi="SimSun" w:eastAsia="SimSun" w:cs="SimSun"/>
                <w:sz w:val="24"/>
                <w:szCs w:val="24"/>
              </w:rPr>
              <w:tab/>
            </w:r>
            <w:r>
              <w:rPr>
                <w:rFonts w:ascii="Times New Roman" w:hAnsi="Times New Roman" w:eastAsia="Times New Roman" w:cs="Times New Roman"/>
                <w:sz w:val="24"/>
                <w:szCs w:val="24"/>
                <w:spacing w:val="2"/>
              </w:rPr>
              <w:t>48</w:t>
            </w:r>
          </w:hyperlink>
        </w:p>
        <w:p>
          <w:pPr>
            <w:ind w:left="217"/>
            <w:spacing w:before="212" w:line="198" w:lineRule="auto"/>
            <w:tabs>
              <w:tab w:val="right" w:leader="dot" w:pos="8500"/>
            </w:tabs>
            <w:rPr>
              <w:rFonts w:ascii="Times New Roman" w:hAnsi="Times New Roman" w:eastAsia="Times New Roman" w:cs="Times New Roman"/>
              <w:sz w:val="24"/>
              <w:szCs w:val="24"/>
            </w:rPr>
          </w:pPr>
          <w:hyperlink w:history="true" w:anchor="bookmark21">
            <w:r>
              <w:rPr>
                <w:rFonts w:ascii="Times New Roman" w:hAnsi="Times New Roman" w:eastAsia="Times New Roman" w:cs="Times New Roman"/>
                <w:sz w:val="24"/>
                <w:szCs w:val="24"/>
                <w:spacing w:val="-1"/>
              </w:rPr>
              <w:t>3.4 </w:t>
            </w:r>
            <w:r>
              <w:rPr>
                <w:rFonts w:ascii="SimSun" w:hAnsi="SimSun" w:eastAsia="SimSun" w:cs="SimSun"/>
                <w:sz w:val="24"/>
                <w:szCs w:val="24"/>
                <w:spacing w:val="-1"/>
              </w:rPr>
              <w:t>清洁生产分析</w:t>
            </w:r>
            <w:r>
              <w:rPr>
                <w:rFonts w:ascii="SimSun" w:hAnsi="SimSun" w:eastAsia="SimSun" w:cs="SimSun"/>
                <w:sz w:val="24"/>
                <w:szCs w:val="24"/>
              </w:rPr>
              <w:tab/>
            </w:r>
            <w:r>
              <w:rPr>
                <w:rFonts w:ascii="Times New Roman" w:hAnsi="Times New Roman" w:eastAsia="Times New Roman" w:cs="Times New Roman"/>
                <w:sz w:val="24"/>
                <w:szCs w:val="24"/>
                <w:spacing w:val="2"/>
              </w:rPr>
              <w:t>59</w:t>
            </w:r>
          </w:hyperlink>
        </w:p>
        <w:p>
          <w:pPr>
            <w:ind w:left="217"/>
            <w:spacing w:before="210" w:line="198" w:lineRule="auto"/>
            <w:tabs>
              <w:tab w:val="right" w:leader="dot" w:pos="8500"/>
            </w:tabs>
            <w:rPr>
              <w:rFonts w:ascii="Times New Roman" w:hAnsi="Times New Roman" w:eastAsia="Times New Roman" w:cs="Times New Roman"/>
              <w:sz w:val="24"/>
              <w:szCs w:val="24"/>
            </w:rPr>
          </w:pPr>
          <w:hyperlink w:history="true" w:anchor="bookmark22">
            <w:r>
              <w:rPr>
                <w:rFonts w:ascii="Times New Roman" w:hAnsi="Times New Roman" w:eastAsia="Times New Roman" w:cs="Times New Roman"/>
                <w:sz w:val="24"/>
                <w:szCs w:val="24"/>
                <w:spacing w:val="-3"/>
              </w:rPr>
              <w:t>3.5</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3"/>
              </w:rPr>
              <w:t>总量控制方案分析</w:t>
            </w:r>
            <w:r>
              <w:rPr>
                <w:rFonts w:ascii="SimSun" w:hAnsi="SimSun" w:eastAsia="SimSun" w:cs="SimSun"/>
                <w:sz w:val="24"/>
                <w:szCs w:val="24"/>
              </w:rPr>
              <w:tab/>
            </w:r>
            <w:r>
              <w:rPr>
                <w:rFonts w:ascii="Times New Roman" w:hAnsi="Times New Roman" w:eastAsia="Times New Roman" w:cs="Times New Roman"/>
                <w:sz w:val="24"/>
                <w:szCs w:val="24"/>
                <w:spacing w:val="2"/>
              </w:rPr>
              <w:t>61</w:t>
            </w:r>
          </w:hyperlink>
        </w:p>
        <w:p>
          <w:pPr>
            <w:pStyle w:val="BodyText"/>
            <w:spacing w:line="251" w:lineRule="auto"/>
            <w:rPr/>
          </w:pPr>
          <w:r/>
        </w:p>
        <w:p>
          <w:pPr>
            <w:ind w:left="2"/>
            <w:spacing w:before="78" w:line="198" w:lineRule="auto"/>
            <w:tabs>
              <w:tab w:val="right" w:leader="dot" w:pos="8500"/>
            </w:tabs>
            <w:rPr>
              <w:rFonts w:ascii="Times New Roman" w:hAnsi="Times New Roman" w:eastAsia="Times New Roman" w:cs="Times New Roman"/>
              <w:sz w:val="24"/>
              <w:szCs w:val="24"/>
            </w:rPr>
          </w:pPr>
          <w:hyperlink w:history="true" w:anchor="bookmark23">
            <w:r>
              <w:rPr>
                <w:rFonts w:ascii="Times New Roman" w:hAnsi="Times New Roman" w:eastAsia="Times New Roman" w:cs="Times New Roman"/>
                <w:sz w:val="24"/>
                <w:szCs w:val="24"/>
                <w:b/>
                <w:bCs/>
                <w:spacing w:val="-2"/>
              </w:rPr>
              <w:t>4.</w:t>
            </w:r>
            <w:r>
              <w:rPr>
                <w:rFonts w:ascii="SimSun" w:hAnsi="SimSun" w:eastAsia="SimSun" w:cs="SimSun"/>
                <w:sz w:val="24"/>
                <w:szCs w:val="24"/>
                <w:b/>
                <w:bCs/>
                <w:spacing w:val="-2"/>
              </w:rPr>
              <w:t>环境现状调查与评价</w:t>
            </w:r>
            <w:r>
              <w:rPr>
                <w:rFonts w:ascii="SimSun" w:hAnsi="SimSun" w:eastAsia="SimSun" w:cs="SimSun"/>
                <w:sz w:val="24"/>
                <w:szCs w:val="24"/>
                <w:spacing w:val="-7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
              </w:rPr>
              <w:t>62</w:t>
            </w:r>
          </w:hyperlink>
        </w:p>
        <w:p>
          <w:pPr>
            <w:pStyle w:val="BodyText"/>
            <w:spacing w:line="251" w:lineRule="auto"/>
            <w:rPr/>
          </w:pPr>
          <w:r/>
        </w:p>
        <w:p>
          <w:pPr>
            <w:ind w:left="211"/>
            <w:spacing w:before="78" w:line="198" w:lineRule="auto"/>
            <w:tabs>
              <w:tab w:val="right" w:leader="dot" w:pos="8500"/>
            </w:tabs>
            <w:rPr>
              <w:rFonts w:ascii="Times New Roman" w:hAnsi="Times New Roman" w:eastAsia="Times New Roman" w:cs="Times New Roman"/>
              <w:sz w:val="24"/>
              <w:szCs w:val="24"/>
            </w:rPr>
          </w:pPr>
          <w:hyperlink w:history="true" w:anchor="bookmark24">
            <w:r>
              <w:rPr>
                <w:rFonts w:ascii="Times New Roman" w:hAnsi="Times New Roman" w:eastAsia="Times New Roman" w:cs="Times New Roman"/>
                <w:sz w:val="24"/>
                <w:szCs w:val="24"/>
                <w:spacing w:val="-4"/>
              </w:rPr>
              <w:t>4.1</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4"/>
              </w:rPr>
              <w:t>自然环境现状调查与评价</w:t>
            </w:r>
            <w:r>
              <w:rPr>
                <w:rFonts w:ascii="SimSun" w:hAnsi="SimSun" w:eastAsia="SimSun" w:cs="SimSun"/>
                <w:sz w:val="24"/>
                <w:szCs w:val="24"/>
              </w:rPr>
              <w:tab/>
            </w:r>
            <w:r>
              <w:rPr>
                <w:rFonts w:ascii="Times New Roman" w:hAnsi="Times New Roman" w:eastAsia="Times New Roman" w:cs="Times New Roman"/>
                <w:sz w:val="24"/>
                <w:szCs w:val="24"/>
                <w:spacing w:val="2"/>
              </w:rPr>
              <w:t>62</w:t>
            </w:r>
          </w:hyperlink>
        </w:p>
        <w:p>
          <w:pPr>
            <w:ind w:left="211"/>
            <w:spacing w:before="211" w:line="198" w:lineRule="auto"/>
            <w:tabs>
              <w:tab w:val="right" w:leader="dot" w:pos="8500"/>
            </w:tabs>
            <w:rPr>
              <w:rFonts w:ascii="Times New Roman" w:hAnsi="Times New Roman" w:eastAsia="Times New Roman" w:cs="Times New Roman"/>
              <w:sz w:val="24"/>
              <w:szCs w:val="24"/>
            </w:rPr>
          </w:pPr>
          <w:hyperlink w:history="true" w:anchor="bookmark25">
            <w:r>
              <w:rPr>
                <w:rFonts w:ascii="Times New Roman" w:hAnsi="Times New Roman" w:eastAsia="Times New Roman" w:cs="Times New Roman"/>
                <w:sz w:val="24"/>
                <w:szCs w:val="24"/>
                <w:spacing w:val="-1"/>
              </w:rPr>
              <w:t>4.2 </w:t>
            </w:r>
            <w:r>
              <w:rPr>
                <w:rFonts w:ascii="SimSun" w:hAnsi="SimSun" w:eastAsia="SimSun" w:cs="SimSun"/>
                <w:sz w:val="24"/>
                <w:szCs w:val="24"/>
                <w:spacing w:val="-1"/>
              </w:rPr>
              <w:t>环境质量现状调查与评价</w:t>
            </w:r>
            <w:r>
              <w:rPr>
                <w:rFonts w:ascii="SimSun" w:hAnsi="SimSun" w:eastAsia="SimSun" w:cs="SimSun"/>
                <w:sz w:val="24"/>
                <w:szCs w:val="24"/>
              </w:rPr>
              <w:tab/>
            </w:r>
            <w:r>
              <w:rPr>
                <w:rFonts w:ascii="Times New Roman" w:hAnsi="Times New Roman" w:eastAsia="Times New Roman" w:cs="Times New Roman"/>
                <w:sz w:val="24"/>
                <w:szCs w:val="24"/>
                <w:spacing w:val="2"/>
              </w:rPr>
              <w:t>65</w:t>
            </w:r>
          </w:hyperlink>
        </w:p>
        <w:p>
          <w:pPr>
            <w:pStyle w:val="BodyText"/>
            <w:spacing w:line="250" w:lineRule="auto"/>
            <w:rPr/>
          </w:pPr>
          <w:r/>
        </w:p>
        <w:p>
          <w:pPr>
            <w:ind w:left="4"/>
            <w:spacing w:before="78" w:line="232" w:lineRule="auto"/>
            <w:tabs>
              <w:tab w:val="right" w:leader="dot" w:pos="8500"/>
            </w:tabs>
            <w:rPr>
              <w:rFonts w:ascii="Times New Roman" w:hAnsi="Times New Roman" w:eastAsia="Times New Roman" w:cs="Times New Roman"/>
              <w:sz w:val="24"/>
              <w:szCs w:val="24"/>
            </w:rPr>
          </w:pPr>
          <w:hyperlink w:history="true" w:anchor="bookmark26">
            <w:r>
              <w:rPr>
                <w:rFonts w:ascii="Times New Roman" w:hAnsi="Times New Roman" w:eastAsia="Times New Roman" w:cs="Times New Roman"/>
                <w:sz w:val="24"/>
                <w:szCs w:val="24"/>
                <w:b/>
                <w:bCs/>
                <w:spacing w:val="-3"/>
              </w:rPr>
              <w:t>5.</w:t>
            </w:r>
            <w:r>
              <w:rPr>
                <w:rFonts w:ascii="SimSun" w:hAnsi="SimSun" w:eastAsia="SimSun" w:cs="SimSun"/>
                <w:sz w:val="24"/>
                <w:szCs w:val="24"/>
                <w:b/>
                <w:bCs/>
                <w:spacing w:val="-3"/>
              </w:rPr>
              <w:t>环境影响预测与评价</w:t>
            </w:r>
            <w:r>
              <w:rPr>
                <w:rFonts w:ascii="SimSun" w:hAnsi="SimSun" w:eastAsia="SimSun" w:cs="SimSun"/>
                <w:sz w:val="24"/>
                <w:szCs w:val="24"/>
                <w:spacing w:val="-70"/>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2"/>
              </w:rPr>
              <w:t>79</w:t>
            </w:r>
          </w:hyperlink>
        </w:p>
      </w:sdtContent>
    </w:sdt>
    <w:p>
      <w:pPr>
        <w:spacing w:line="232" w:lineRule="auto"/>
        <w:sectPr>
          <w:pgSz w:w="11907" w:h="16839"/>
          <w:pgMar w:top="400" w:right="1699" w:bottom="400" w:left="1705" w:header="0" w:footer="0" w:gutter="0"/>
        </w:sectPr>
        <w:rPr>
          <w:rFonts w:ascii="Times New Roman" w:hAnsi="Times New Roman" w:eastAsia="Times New Roman" w:cs="Times New Roman"/>
          <w:sz w:val="24"/>
          <w:szCs w:val="24"/>
        </w:rPr>
      </w:pP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215"/>
            <w:spacing w:before="78" w:line="198" w:lineRule="auto"/>
            <w:tabs>
              <w:tab w:val="right" w:leader="dot" w:pos="8497"/>
            </w:tabs>
            <w:rPr>
              <w:rFonts w:ascii="Times New Roman" w:hAnsi="Times New Roman" w:eastAsia="Times New Roman" w:cs="Times New Roman"/>
              <w:sz w:val="24"/>
              <w:szCs w:val="24"/>
            </w:rPr>
          </w:pPr>
          <w:hyperlink w:history="true" w:anchor="bookmark27">
            <w:r>
              <w:rPr>
                <w:rFonts w:ascii="Times New Roman" w:hAnsi="Times New Roman" w:eastAsia="Times New Roman" w:cs="Times New Roman"/>
                <w:sz w:val="24"/>
                <w:szCs w:val="24"/>
                <w:spacing w:val="-1"/>
              </w:rPr>
              <w:t>5.1 </w:t>
            </w:r>
            <w:r>
              <w:rPr>
                <w:rFonts w:ascii="SimSun" w:hAnsi="SimSun" w:eastAsia="SimSun" w:cs="SimSun"/>
                <w:sz w:val="24"/>
                <w:szCs w:val="24"/>
                <w:spacing w:val="-1"/>
              </w:rPr>
              <w:t>施工期环境影响分析与预测</w:t>
            </w:r>
            <w:r>
              <w:rPr>
                <w:rFonts w:ascii="SimSun" w:hAnsi="SimSun" w:eastAsia="SimSun" w:cs="SimSun"/>
                <w:sz w:val="24"/>
                <w:szCs w:val="24"/>
              </w:rPr>
              <w:tab/>
            </w:r>
            <w:r>
              <w:rPr>
                <w:rFonts w:ascii="Times New Roman" w:hAnsi="Times New Roman" w:eastAsia="Times New Roman" w:cs="Times New Roman"/>
                <w:sz w:val="24"/>
                <w:szCs w:val="24"/>
                <w:spacing w:val="2"/>
              </w:rPr>
              <w:t>79</w:t>
            </w:r>
          </w:hyperlink>
        </w:p>
        <w:p>
          <w:pPr>
            <w:ind w:left="215"/>
            <w:spacing w:before="210" w:line="198" w:lineRule="auto"/>
            <w:tabs>
              <w:tab w:val="right" w:leader="dot" w:pos="8497"/>
            </w:tabs>
            <w:rPr>
              <w:rFonts w:ascii="Times New Roman" w:hAnsi="Times New Roman" w:eastAsia="Times New Roman" w:cs="Times New Roman"/>
              <w:sz w:val="24"/>
              <w:szCs w:val="24"/>
            </w:rPr>
          </w:pPr>
          <w:hyperlink w:history="true" w:anchor="bookmark28">
            <w:r>
              <w:rPr>
                <w:rFonts w:ascii="Times New Roman" w:hAnsi="Times New Roman" w:eastAsia="Times New Roman" w:cs="Times New Roman"/>
                <w:sz w:val="24"/>
                <w:szCs w:val="24"/>
                <w:spacing w:val="-2"/>
              </w:rPr>
              <w:t>5.2</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2"/>
              </w:rPr>
              <w:t>营运期环境影响分析与预测</w:t>
            </w:r>
            <w:r>
              <w:rPr>
                <w:rFonts w:ascii="SimSun" w:hAnsi="SimSun" w:eastAsia="SimSun" w:cs="SimSun"/>
                <w:sz w:val="24"/>
                <w:szCs w:val="24"/>
              </w:rPr>
              <w:tab/>
            </w:r>
            <w:r>
              <w:rPr>
                <w:rFonts w:ascii="Times New Roman" w:hAnsi="Times New Roman" w:eastAsia="Times New Roman" w:cs="Times New Roman"/>
                <w:sz w:val="24"/>
                <w:szCs w:val="24"/>
                <w:spacing w:val="2"/>
              </w:rPr>
              <w:t>85</w:t>
            </w:r>
          </w:hyperlink>
        </w:p>
        <w:p>
          <w:pPr>
            <w:ind w:left="215"/>
            <w:spacing w:before="210" w:line="198" w:lineRule="auto"/>
            <w:tabs>
              <w:tab w:val="right" w:leader="dot" w:pos="8497"/>
            </w:tabs>
            <w:rPr>
              <w:rFonts w:ascii="Times New Roman" w:hAnsi="Times New Roman" w:eastAsia="Times New Roman" w:cs="Times New Roman"/>
              <w:sz w:val="24"/>
              <w:szCs w:val="24"/>
            </w:rPr>
          </w:pPr>
          <w:hyperlink w:history="true" w:anchor="bookmark29">
            <w:r>
              <w:rPr>
                <w:rFonts w:ascii="Times New Roman" w:hAnsi="Times New Roman" w:eastAsia="Times New Roman" w:cs="Times New Roman"/>
                <w:sz w:val="24"/>
                <w:szCs w:val="24"/>
                <w:spacing w:val="-2"/>
              </w:rPr>
              <w:t>5.3 </w:t>
            </w:r>
            <w:r>
              <w:rPr>
                <w:rFonts w:ascii="SimSun" w:hAnsi="SimSun" w:eastAsia="SimSun" w:cs="SimSun"/>
                <w:sz w:val="24"/>
                <w:szCs w:val="24"/>
                <w:spacing w:val="-2"/>
              </w:rPr>
              <w:t>环境风险分析</w:t>
            </w:r>
            <w:r>
              <w:rPr>
                <w:rFonts w:ascii="SimSun" w:hAnsi="SimSun" w:eastAsia="SimSun" w:cs="SimSun"/>
                <w:sz w:val="24"/>
                <w:szCs w:val="24"/>
              </w:rPr>
              <w:tab/>
            </w:r>
            <w:r>
              <w:rPr>
                <w:rFonts w:ascii="Times New Roman" w:hAnsi="Times New Roman" w:eastAsia="Times New Roman" w:cs="Times New Roman"/>
                <w:sz w:val="24"/>
                <w:szCs w:val="24"/>
                <w:spacing w:val="1"/>
              </w:rPr>
              <w:t>105</w:t>
            </w:r>
          </w:hyperlink>
        </w:p>
        <w:p>
          <w:pPr>
            <w:pStyle w:val="BodyText"/>
            <w:spacing w:line="251" w:lineRule="auto"/>
            <w:rPr/>
          </w:pPr>
          <w:r/>
        </w:p>
        <w:p>
          <w:pPr>
            <w:ind w:left="1"/>
            <w:spacing w:before="78" w:line="198" w:lineRule="auto"/>
            <w:tabs>
              <w:tab w:val="right" w:leader="dot" w:pos="8497"/>
            </w:tabs>
            <w:rPr>
              <w:rFonts w:ascii="Times New Roman" w:hAnsi="Times New Roman" w:eastAsia="Times New Roman" w:cs="Times New Roman"/>
              <w:sz w:val="24"/>
              <w:szCs w:val="24"/>
            </w:rPr>
          </w:pPr>
          <w:hyperlink w:history="true" w:anchor="bookmark30">
            <w:r>
              <w:rPr>
                <w:rFonts w:ascii="Times New Roman" w:hAnsi="Times New Roman" w:eastAsia="Times New Roman" w:cs="Times New Roman"/>
                <w:sz w:val="24"/>
                <w:szCs w:val="24"/>
                <w:b/>
                <w:bCs/>
                <w:spacing w:val="-2"/>
              </w:rPr>
              <w:t>6.</w:t>
            </w:r>
            <w:r>
              <w:rPr>
                <w:rFonts w:ascii="SimSun" w:hAnsi="SimSun" w:eastAsia="SimSun" w:cs="SimSun"/>
                <w:sz w:val="24"/>
                <w:szCs w:val="24"/>
                <w:b/>
                <w:bCs/>
                <w:spacing w:val="-2"/>
              </w:rPr>
              <w:t>环境保护措施及技术可行性论证</w:t>
            </w:r>
            <w:r>
              <w:rPr>
                <w:rFonts w:ascii="SimSun" w:hAnsi="SimSun" w:eastAsia="SimSun" w:cs="SimSun"/>
                <w:sz w:val="24"/>
                <w:szCs w:val="24"/>
                <w:spacing w:val="-84"/>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
              </w:rPr>
              <w:t>110</w:t>
            </w:r>
          </w:hyperlink>
        </w:p>
        <w:p>
          <w:pPr>
            <w:pStyle w:val="BodyText"/>
            <w:spacing w:line="251" w:lineRule="auto"/>
            <w:rPr/>
          </w:pPr>
          <w:r/>
        </w:p>
        <w:p>
          <w:pPr>
            <w:ind w:left="214"/>
            <w:spacing w:before="78" w:line="198" w:lineRule="auto"/>
            <w:tabs>
              <w:tab w:val="right" w:leader="dot" w:pos="8497"/>
            </w:tabs>
            <w:rPr>
              <w:rFonts w:ascii="Times New Roman" w:hAnsi="Times New Roman" w:eastAsia="Times New Roman" w:cs="Times New Roman"/>
              <w:sz w:val="24"/>
              <w:szCs w:val="24"/>
            </w:rPr>
          </w:pPr>
          <w:hyperlink w:history="true" w:anchor="bookmark31">
            <w:r>
              <w:rPr>
                <w:rFonts w:ascii="Times New Roman" w:hAnsi="Times New Roman" w:eastAsia="Times New Roman" w:cs="Times New Roman"/>
                <w:sz w:val="24"/>
                <w:szCs w:val="24"/>
                <w:spacing w:val="-1"/>
              </w:rPr>
              <w:t>6.1 </w:t>
            </w:r>
            <w:r>
              <w:rPr>
                <w:rFonts w:ascii="SimSun" w:hAnsi="SimSun" w:eastAsia="SimSun" w:cs="SimSun"/>
                <w:sz w:val="24"/>
                <w:szCs w:val="24"/>
                <w:spacing w:val="-1"/>
              </w:rPr>
              <w:t>废水污染防治对策与建议</w:t>
            </w:r>
            <w:r>
              <w:rPr>
                <w:rFonts w:ascii="SimSun" w:hAnsi="SimSun" w:eastAsia="SimSun" w:cs="SimSun"/>
                <w:sz w:val="24"/>
                <w:szCs w:val="24"/>
              </w:rPr>
              <w:tab/>
            </w:r>
            <w:r>
              <w:rPr>
                <w:rFonts w:ascii="Times New Roman" w:hAnsi="Times New Roman" w:eastAsia="Times New Roman" w:cs="Times New Roman"/>
                <w:sz w:val="24"/>
                <w:szCs w:val="24"/>
                <w:spacing w:val="1"/>
              </w:rPr>
              <w:t>110</w:t>
            </w:r>
          </w:hyperlink>
        </w:p>
        <w:p>
          <w:pPr>
            <w:ind w:left="214"/>
            <w:spacing w:before="210" w:line="198" w:lineRule="auto"/>
            <w:tabs>
              <w:tab w:val="right" w:leader="dot" w:pos="8495"/>
            </w:tabs>
            <w:rPr>
              <w:rFonts w:ascii="Times New Roman" w:hAnsi="Times New Roman" w:eastAsia="Times New Roman" w:cs="Times New Roman"/>
              <w:sz w:val="24"/>
              <w:szCs w:val="24"/>
            </w:rPr>
          </w:pPr>
          <w:hyperlink w:history="true" w:anchor="bookmark32">
            <w:r>
              <w:rPr>
                <w:rFonts w:ascii="Times New Roman" w:hAnsi="Times New Roman" w:eastAsia="Times New Roman" w:cs="Times New Roman"/>
                <w:sz w:val="24"/>
                <w:szCs w:val="24"/>
                <w:spacing w:val="-1"/>
              </w:rPr>
              <w:t>6.2 </w:t>
            </w:r>
            <w:r>
              <w:rPr>
                <w:rFonts w:ascii="SimSun" w:hAnsi="SimSun" w:eastAsia="SimSun" w:cs="SimSun"/>
                <w:sz w:val="24"/>
                <w:szCs w:val="24"/>
                <w:spacing w:val="-1"/>
              </w:rPr>
              <w:t>地下水污染防治措施</w:t>
            </w:r>
            <w:r>
              <w:rPr>
                <w:rFonts w:ascii="SimSun" w:hAnsi="SimSun" w:eastAsia="SimSun" w:cs="SimSun"/>
                <w:sz w:val="24"/>
                <w:szCs w:val="24"/>
              </w:rPr>
              <w:tab/>
            </w:r>
            <w:r>
              <w:rPr>
                <w:rFonts w:ascii="Times New Roman" w:hAnsi="Times New Roman" w:eastAsia="Times New Roman" w:cs="Times New Roman"/>
                <w:sz w:val="24"/>
                <w:szCs w:val="24"/>
                <w:spacing w:val="1"/>
              </w:rPr>
              <w:t>111</w:t>
            </w:r>
          </w:hyperlink>
        </w:p>
        <w:p>
          <w:pPr>
            <w:ind w:left="214"/>
            <w:spacing w:before="210" w:line="198" w:lineRule="auto"/>
            <w:tabs>
              <w:tab w:val="right" w:leader="dot" w:pos="8497"/>
            </w:tabs>
            <w:rPr>
              <w:rFonts w:ascii="Times New Roman" w:hAnsi="Times New Roman" w:eastAsia="Times New Roman" w:cs="Times New Roman"/>
              <w:sz w:val="24"/>
              <w:szCs w:val="24"/>
            </w:rPr>
          </w:pPr>
          <w:hyperlink w:history="true" w:anchor="bookmark33">
            <w:r>
              <w:rPr>
                <w:rFonts w:ascii="Times New Roman" w:hAnsi="Times New Roman" w:eastAsia="Times New Roman" w:cs="Times New Roman"/>
                <w:sz w:val="24"/>
                <w:szCs w:val="24"/>
                <w:spacing w:val="-1"/>
              </w:rPr>
              <w:t>6.3 </w:t>
            </w:r>
            <w:r>
              <w:rPr>
                <w:rFonts w:ascii="SimSun" w:hAnsi="SimSun" w:eastAsia="SimSun" w:cs="SimSun"/>
                <w:sz w:val="24"/>
                <w:szCs w:val="24"/>
                <w:spacing w:val="-1"/>
              </w:rPr>
              <w:t>废气污染防治对策与建议</w:t>
            </w:r>
            <w:r>
              <w:rPr>
                <w:rFonts w:ascii="SimSun" w:hAnsi="SimSun" w:eastAsia="SimSun" w:cs="SimSun"/>
                <w:sz w:val="24"/>
                <w:szCs w:val="24"/>
              </w:rPr>
              <w:tab/>
            </w:r>
            <w:r>
              <w:rPr>
                <w:rFonts w:ascii="Times New Roman" w:hAnsi="Times New Roman" w:eastAsia="Times New Roman" w:cs="Times New Roman"/>
                <w:sz w:val="24"/>
                <w:szCs w:val="24"/>
                <w:spacing w:val="1"/>
              </w:rPr>
              <w:t>113</w:t>
            </w:r>
          </w:hyperlink>
        </w:p>
        <w:p>
          <w:pPr>
            <w:ind w:left="214"/>
            <w:spacing w:before="212" w:line="198" w:lineRule="auto"/>
            <w:tabs>
              <w:tab w:val="right" w:leader="dot" w:pos="8497"/>
            </w:tabs>
            <w:rPr>
              <w:rFonts w:ascii="Times New Roman" w:hAnsi="Times New Roman" w:eastAsia="Times New Roman" w:cs="Times New Roman"/>
              <w:sz w:val="24"/>
              <w:szCs w:val="24"/>
            </w:rPr>
          </w:pPr>
          <w:hyperlink w:history="true" w:anchor="bookmark34">
            <w:r>
              <w:rPr>
                <w:rFonts w:ascii="Times New Roman" w:hAnsi="Times New Roman" w:eastAsia="Times New Roman" w:cs="Times New Roman"/>
                <w:sz w:val="24"/>
                <w:szCs w:val="24"/>
                <w:spacing w:val="-3"/>
              </w:rPr>
              <w:t>6.4</w:t>
            </w:r>
            <w:r>
              <w:rPr>
                <w:rFonts w:ascii="Times New Roman" w:hAnsi="Times New Roman" w:eastAsia="Times New Roman" w:cs="Times New Roman"/>
                <w:sz w:val="24"/>
                <w:szCs w:val="24"/>
                <w:spacing w:val="30"/>
                <w:w w:val="101"/>
              </w:rPr>
              <w:t xml:space="preserve"> </w:t>
            </w:r>
            <w:r>
              <w:rPr>
                <w:rFonts w:ascii="SimSun" w:hAnsi="SimSun" w:eastAsia="SimSun" w:cs="SimSun"/>
                <w:sz w:val="24"/>
                <w:szCs w:val="24"/>
                <w:spacing w:val="-3"/>
              </w:rPr>
              <w:t>噪声污染防治对策与建议</w:t>
            </w:r>
            <w:r>
              <w:rPr>
                <w:rFonts w:ascii="SimSun" w:hAnsi="SimSun" w:eastAsia="SimSun" w:cs="SimSun"/>
                <w:sz w:val="24"/>
                <w:szCs w:val="24"/>
              </w:rPr>
              <w:tab/>
            </w:r>
            <w:r>
              <w:rPr>
                <w:rFonts w:ascii="Times New Roman" w:hAnsi="Times New Roman" w:eastAsia="Times New Roman" w:cs="Times New Roman"/>
                <w:sz w:val="24"/>
                <w:szCs w:val="24"/>
                <w:spacing w:val="1"/>
              </w:rPr>
              <w:t>115</w:t>
            </w:r>
          </w:hyperlink>
        </w:p>
        <w:p>
          <w:pPr>
            <w:ind w:left="214"/>
            <w:spacing w:before="210" w:line="198" w:lineRule="auto"/>
            <w:tabs>
              <w:tab w:val="right" w:leader="dot" w:pos="8497"/>
            </w:tabs>
            <w:rPr>
              <w:rFonts w:ascii="Times New Roman" w:hAnsi="Times New Roman" w:eastAsia="Times New Roman" w:cs="Times New Roman"/>
              <w:sz w:val="24"/>
              <w:szCs w:val="24"/>
            </w:rPr>
          </w:pPr>
          <w:hyperlink w:history="true" w:anchor="bookmark35">
            <w:r>
              <w:rPr>
                <w:rFonts w:ascii="Times New Roman" w:hAnsi="Times New Roman" w:eastAsia="Times New Roman" w:cs="Times New Roman"/>
                <w:sz w:val="24"/>
                <w:szCs w:val="24"/>
                <w:spacing w:val="-3"/>
              </w:rPr>
              <w:t>6.5</w:t>
            </w:r>
            <w:r>
              <w:rPr>
                <w:rFonts w:ascii="Times New Roman" w:hAnsi="Times New Roman" w:eastAsia="Times New Roman" w:cs="Times New Roman"/>
                <w:sz w:val="24"/>
                <w:szCs w:val="24"/>
                <w:spacing w:val="33"/>
                <w:w w:val="101"/>
              </w:rPr>
              <w:t xml:space="preserve"> </w:t>
            </w:r>
            <w:r>
              <w:rPr>
                <w:rFonts w:ascii="SimSun" w:hAnsi="SimSun" w:eastAsia="SimSun" w:cs="SimSun"/>
                <w:sz w:val="24"/>
                <w:szCs w:val="24"/>
                <w:spacing w:val="-3"/>
              </w:rPr>
              <w:t>固废物污染防治对策与建议</w:t>
            </w:r>
            <w:r>
              <w:rPr>
                <w:rFonts w:ascii="SimSun" w:hAnsi="SimSun" w:eastAsia="SimSun" w:cs="SimSun"/>
                <w:sz w:val="24"/>
                <w:szCs w:val="24"/>
              </w:rPr>
              <w:tab/>
            </w:r>
            <w:r>
              <w:rPr>
                <w:rFonts w:ascii="Times New Roman" w:hAnsi="Times New Roman" w:eastAsia="Times New Roman" w:cs="Times New Roman"/>
                <w:sz w:val="24"/>
                <w:szCs w:val="24"/>
                <w:spacing w:val="1"/>
              </w:rPr>
              <w:t>116</w:t>
            </w:r>
          </w:hyperlink>
        </w:p>
        <w:p>
          <w:pPr>
            <w:ind w:left="214"/>
            <w:spacing w:before="211" w:line="198" w:lineRule="auto"/>
            <w:tabs>
              <w:tab w:val="right" w:leader="dot" w:pos="8497"/>
            </w:tabs>
            <w:rPr>
              <w:rFonts w:ascii="Times New Roman" w:hAnsi="Times New Roman" w:eastAsia="Times New Roman" w:cs="Times New Roman"/>
              <w:sz w:val="24"/>
              <w:szCs w:val="24"/>
            </w:rPr>
          </w:pPr>
          <w:hyperlink w:history="true" w:anchor="bookmark36">
            <w:r>
              <w:rPr>
                <w:rFonts w:ascii="Times New Roman" w:hAnsi="Times New Roman" w:eastAsia="Times New Roman" w:cs="Times New Roman"/>
                <w:sz w:val="24"/>
                <w:szCs w:val="24"/>
                <w:spacing w:val="-1"/>
              </w:rPr>
              <w:t>6.6 </w:t>
            </w:r>
            <w:r>
              <w:rPr>
                <w:rFonts w:ascii="SimSun" w:hAnsi="SimSun" w:eastAsia="SimSun" w:cs="SimSun"/>
                <w:sz w:val="24"/>
                <w:szCs w:val="24"/>
                <w:spacing w:val="-1"/>
              </w:rPr>
              <w:t>土壤污染防治对策与建议</w:t>
            </w:r>
            <w:r>
              <w:rPr>
                <w:rFonts w:ascii="SimSun" w:hAnsi="SimSun" w:eastAsia="SimSun" w:cs="SimSun"/>
                <w:sz w:val="24"/>
                <w:szCs w:val="24"/>
              </w:rPr>
              <w:tab/>
            </w:r>
            <w:r>
              <w:rPr>
                <w:rFonts w:ascii="Times New Roman" w:hAnsi="Times New Roman" w:eastAsia="Times New Roman" w:cs="Times New Roman"/>
                <w:sz w:val="24"/>
                <w:szCs w:val="24"/>
                <w:spacing w:val="1"/>
              </w:rPr>
              <w:t>118</w:t>
            </w:r>
          </w:hyperlink>
        </w:p>
        <w:p>
          <w:pPr>
            <w:ind w:left="214"/>
            <w:spacing w:before="210" w:line="198" w:lineRule="auto"/>
            <w:tabs>
              <w:tab w:val="right" w:leader="dot" w:pos="8497"/>
            </w:tabs>
            <w:rPr>
              <w:rFonts w:ascii="Times New Roman" w:hAnsi="Times New Roman" w:eastAsia="Times New Roman" w:cs="Times New Roman"/>
              <w:sz w:val="24"/>
              <w:szCs w:val="24"/>
            </w:rPr>
          </w:pPr>
          <w:hyperlink w:history="true" w:anchor="bookmark37">
            <w:r>
              <w:rPr>
                <w:rFonts w:ascii="Times New Roman" w:hAnsi="Times New Roman" w:eastAsia="Times New Roman" w:cs="Times New Roman"/>
                <w:sz w:val="24"/>
                <w:szCs w:val="24"/>
                <w:spacing w:val="-1"/>
              </w:rPr>
              <w:t>6.7 </w:t>
            </w:r>
            <w:r>
              <w:rPr>
                <w:rFonts w:ascii="SimSun" w:hAnsi="SimSun" w:eastAsia="SimSun" w:cs="SimSun"/>
                <w:sz w:val="24"/>
                <w:szCs w:val="24"/>
                <w:spacing w:val="-1"/>
              </w:rPr>
              <w:t>生态环境保护与恢复措施</w:t>
            </w:r>
            <w:r>
              <w:rPr>
                <w:rFonts w:ascii="SimSun" w:hAnsi="SimSun" w:eastAsia="SimSun" w:cs="SimSun"/>
                <w:sz w:val="24"/>
                <w:szCs w:val="24"/>
              </w:rPr>
              <w:tab/>
            </w:r>
            <w:r>
              <w:rPr>
                <w:rFonts w:ascii="Times New Roman" w:hAnsi="Times New Roman" w:eastAsia="Times New Roman" w:cs="Times New Roman"/>
                <w:sz w:val="24"/>
                <w:szCs w:val="24"/>
                <w:spacing w:val="1"/>
              </w:rPr>
              <w:t>119</w:t>
            </w:r>
          </w:hyperlink>
        </w:p>
        <w:p>
          <w:pPr>
            <w:ind w:left="214"/>
            <w:spacing w:before="211" w:line="198" w:lineRule="auto"/>
            <w:tabs>
              <w:tab w:val="right" w:leader="dot" w:pos="8497"/>
            </w:tabs>
            <w:rPr>
              <w:rFonts w:ascii="Times New Roman" w:hAnsi="Times New Roman" w:eastAsia="Times New Roman" w:cs="Times New Roman"/>
              <w:sz w:val="24"/>
              <w:szCs w:val="24"/>
            </w:rPr>
          </w:pPr>
          <w:hyperlink w:history="true" w:anchor="bookmark38">
            <w:r>
              <w:rPr>
                <w:rFonts w:ascii="Times New Roman" w:hAnsi="Times New Roman" w:eastAsia="Times New Roman" w:cs="Times New Roman"/>
                <w:sz w:val="24"/>
                <w:szCs w:val="24"/>
                <w:spacing w:val="-2"/>
              </w:rPr>
              <w:t>6.8 </w:t>
            </w:r>
            <w:r>
              <w:rPr>
                <w:rFonts w:ascii="SimSun" w:hAnsi="SimSun" w:eastAsia="SimSun" w:cs="SimSun"/>
                <w:sz w:val="24"/>
                <w:szCs w:val="24"/>
                <w:spacing w:val="-2"/>
              </w:rPr>
              <w:t>环保投资</w:t>
            </w:r>
            <w:r>
              <w:rPr>
                <w:rFonts w:ascii="SimSun" w:hAnsi="SimSun" w:eastAsia="SimSun" w:cs="SimSun"/>
                <w:sz w:val="24"/>
                <w:szCs w:val="24"/>
              </w:rPr>
              <w:tab/>
            </w:r>
            <w:r>
              <w:rPr>
                <w:rFonts w:ascii="Times New Roman" w:hAnsi="Times New Roman" w:eastAsia="Times New Roman" w:cs="Times New Roman"/>
                <w:sz w:val="24"/>
                <w:szCs w:val="24"/>
                <w:spacing w:val="1"/>
              </w:rPr>
              <w:t>120</w:t>
            </w:r>
          </w:hyperlink>
        </w:p>
        <w:p>
          <w:pPr>
            <w:ind w:left="214"/>
            <w:spacing w:before="211" w:line="198" w:lineRule="auto"/>
            <w:tabs>
              <w:tab w:val="right" w:leader="dot" w:pos="8497"/>
            </w:tabs>
            <w:rPr>
              <w:rFonts w:ascii="Times New Roman" w:hAnsi="Times New Roman" w:eastAsia="Times New Roman" w:cs="Times New Roman"/>
              <w:sz w:val="24"/>
              <w:szCs w:val="24"/>
            </w:rPr>
          </w:pPr>
          <w:hyperlink w:history="true" w:anchor="bookmark39">
            <w:r>
              <w:rPr>
                <w:rFonts w:ascii="Times New Roman" w:hAnsi="Times New Roman" w:eastAsia="Times New Roman" w:cs="Times New Roman"/>
                <w:sz w:val="24"/>
                <w:szCs w:val="24"/>
                <w:spacing w:val="-1"/>
              </w:rPr>
              <w:t>6.9 </w:t>
            </w:r>
            <w:r>
              <w:rPr>
                <w:rFonts w:ascii="SimSun" w:hAnsi="SimSun" w:eastAsia="SimSun" w:cs="SimSun"/>
                <w:sz w:val="24"/>
                <w:szCs w:val="24"/>
                <w:spacing w:val="-1"/>
              </w:rPr>
              <w:t>项目竣工“三同时”验收</w:t>
            </w:r>
            <w:r>
              <w:rPr>
                <w:rFonts w:ascii="SimSun" w:hAnsi="SimSun" w:eastAsia="SimSun" w:cs="SimSun"/>
                <w:sz w:val="24"/>
                <w:szCs w:val="24"/>
              </w:rPr>
              <w:tab/>
            </w:r>
            <w:r>
              <w:rPr>
                <w:rFonts w:ascii="Times New Roman" w:hAnsi="Times New Roman" w:eastAsia="Times New Roman" w:cs="Times New Roman"/>
                <w:sz w:val="24"/>
                <w:szCs w:val="24"/>
                <w:spacing w:val="1"/>
              </w:rPr>
              <w:t>121</w:t>
            </w:r>
          </w:hyperlink>
        </w:p>
        <w:p>
          <w:pPr>
            <w:pStyle w:val="BodyText"/>
            <w:spacing w:line="251" w:lineRule="auto"/>
            <w:rPr/>
          </w:pPr>
          <w:r/>
        </w:p>
        <w:p>
          <w:pPr>
            <w:spacing w:before="78" w:line="198" w:lineRule="auto"/>
            <w:tabs>
              <w:tab w:val="right" w:leader="dot" w:pos="8497"/>
            </w:tabs>
            <w:rPr>
              <w:rFonts w:ascii="Times New Roman" w:hAnsi="Times New Roman" w:eastAsia="Times New Roman" w:cs="Times New Roman"/>
              <w:sz w:val="24"/>
              <w:szCs w:val="24"/>
            </w:rPr>
          </w:pPr>
          <w:hyperlink w:history="true" w:anchor="bookmark40">
            <w:r>
              <w:rPr>
                <w:rFonts w:ascii="Times New Roman" w:hAnsi="Times New Roman" w:eastAsia="Times New Roman" w:cs="Times New Roman"/>
                <w:sz w:val="24"/>
                <w:szCs w:val="24"/>
                <w:b/>
                <w:bCs/>
                <w:spacing w:val="-3"/>
              </w:rPr>
              <w:t>7.</w:t>
            </w:r>
            <w:r>
              <w:rPr>
                <w:rFonts w:ascii="SimSun" w:hAnsi="SimSun" w:eastAsia="SimSun" w:cs="SimSun"/>
                <w:sz w:val="24"/>
                <w:szCs w:val="24"/>
                <w:b/>
                <w:bCs/>
                <w:spacing w:val="-3"/>
              </w:rPr>
              <w:t>环境影响经济损益分析</w:t>
            </w:r>
            <w:r>
              <w:rPr>
                <w:rFonts w:ascii="SimSun" w:hAnsi="SimSun" w:eastAsia="SimSun" w:cs="SimSun"/>
                <w:sz w:val="24"/>
                <w:szCs w:val="24"/>
                <w:spacing w:val="-69"/>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
              </w:rPr>
              <w:t>123</w:t>
            </w:r>
          </w:hyperlink>
        </w:p>
        <w:p>
          <w:pPr>
            <w:pStyle w:val="BodyText"/>
            <w:spacing w:line="251" w:lineRule="auto"/>
            <w:rPr/>
          </w:pPr>
          <w:r/>
        </w:p>
        <w:p>
          <w:pPr>
            <w:ind w:left="212"/>
            <w:spacing w:before="78" w:line="198" w:lineRule="auto"/>
            <w:tabs>
              <w:tab w:val="right" w:leader="dot" w:pos="8497"/>
            </w:tabs>
            <w:rPr>
              <w:rFonts w:ascii="Times New Roman" w:hAnsi="Times New Roman" w:eastAsia="Times New Roman" w:cs="Times New Roman"/>
              <w:sz w:val="24"/>
              <w:szCs w:val="24"/>
            </w:rPr>
          </w:pPr>
          <w:hyperlink w:history="true" w:anchor="bookmark41">
            <w:r>
              <w:rPr>
                <w:rFonts w:ascii="Times New Roman" w:hAnsi="Times New Roman" w:eastAsia="Times New Roman" w:cs="Times New Roman"/>
                <w:sz w:val="24"/>
                <w:szCs w:val="24"/>
                <w:spacing w:val="-1"/>
              </w:rPr>
              <w:t>7.1 </w:t>
            </w:r>
            <w:r>
              <w:rPr>
                <w:rFonts w:ascii="SimSun" w:hAnsi="SimSun" w:eastAsia="SimSun" w:cs="SimSun"/>
                <w:sz w:val="24"/>
                <w:szCs w:val="24"/>
                <w:spacing w:val="-1"/>
              </w:rPr>
              <w:t>社会效益分析</w:t>
            </w:r>
            <w:r>
              <w:rPr>
                <w:rFonts w:ascii="SimSun" w:hAnsi="SimSun" w:eastAsia="SimSun" w:cs="SimSun"/>
                <w:sz w:val="24"/>
                <w:szCs w:val="24"/>
              </w:rPr>
              <w:tab/>
            </w:r>
            <w:r>
              <w:rPr>
                <w:rFonts w:ascii="Times New Roman" w:hAnsi="Times New Roman" w:eastAsia="Times New Roman" w:cs="Times New Roman"/>
                <w:sz w:val="24"/>
                <w:szCs w:val="24"/>
                <w:spacing w:val="1"/>
              </w:rPr>
              <w:t>123</w:t>
            </w:r>
          </w:hyperlink>
        </w:p>
        <w:p>
          <w:pPr>
            <w:ind w:left="212"/>
            <w:spacing w:before="211" w:line="198" w:lineRule="auto"/>
            <w:tabs>
              <w:tab w:val="right" w:leader="dot" w:pos="8497"/>
            </w:tabs>
            <w:rPr>
              <w:rFonts w:ascii="Times New Roman" w:hAnsi="Times New Roman" w:eastAsia="Times New Roman" w:cs="Times New Roman"/>
              <w:sz w:val="24"/>
              <w:szCs w:val="24"/>
            </w:rPr>
          </w:pPr>
          <w:hyperlink w:history="true" w:anchor="bookmark42">
            <w:r>
              <w:rPr>
                <w:rFonts w:ascii="Times New Roman" w:hAnsi="Times New Roman" w:eastAsia="Times New Roman" w:cs="Times New Roman"/>
                <w:sz w:val="24"/>
                <w:szCs w:val="24"/>
                <w:spacing w:val="-1"/>
              </w:rPr>
              <w:t>7.2 </w:t>
            </w:r>
            <w:r>
              <w:rPr>
                <w:rFonts w:ascii="SimSun" w:hAnsi="SimSun" w:eastAsia="SimSun" w:cs="SimSun"/>
                <w:sz w:val="24"/>
                <w:szCs w:val="24"/>
                <w:spacing w:val="-1"/>
              </w:rPr>
              <w:t>环境效益分析</w:t>
            </w:r>
            <w:r>
              <w:rPr>
                <w:rFonts w:ascii="SimSun" w:hAnsi="SimSun" w:eastAsia="SimSun" w:cs="SimSun"/>
                <w:sz w:val="24"/>
                <w:szCs w:val="24"/>
              </w:rPr>
              <w:tab/>
            </w:r>
            <w:r>
              <w:rPr>
                <w:rFonts w:ascii="Times New Roman" w:hAnsi="Times New Roman" w:eastAsia="Times New Roman" w:cs="Times New Roman"/>
                <w:sz w:val="24"/>
                <w:szCs w:val="24"/>
                <w:spacing w:val="1"/>
              </w:rPr>
              <w:t>123</w:t>
            </w:r>
          </w:hyperlink>
        </w:p>
        <w:p>
          <w:pPr>
            <w:ind w:left="212"/>
            <w:spacing w:before="210" w:line="198" w:lineRule="auto"/>
            <w:tabs>
              <w:tab w:val="right" w:leader="dot" w:pos="8497"/>
            </w:tabs>
            <w:rPr>
              <w:rFonts w:ascii="Times New Roman" w:hAnsi="Times New Roman" w:eastAsia="Times New Roman" w:cs="Times New Roman"/>
              <w:sz w:val="24"/>
              <w:szCs w:val="24"/>
            </w:rPr>
          </w:pPr>
          <w:hyperlink w:history="true" w:anchor="bookmark43">
            <w:r>
              <w:rPr>
                <w:rFonts w:ascii="Times New Roman" w:hAnsi="Times New Roman" w:eastAsia="Times New Roman" w:cs="Times New Roman"/>
                <w:sz w:val="24"/>
                <w:szCs w:val="24"/>
                <w:spacing w:val="-1"/>
              </w:rPr>
              <w:t>7.3 </w:t>
            </w:r>
            <w:r>
              <w:rPr>
                <w:rFonts w:ascii="SimSun" w:hAnsi="SimSun" w:eastAsia="SimSun" w:cs="SimSun"/>
                <w:sz w:val="24"/>
                <w:szCs w:val="24"/>
                <w:spacing w:val="-1"/>
              </w:rPr>
              <w:t>经济效益分析</w:t>
            </w:r>
            <w:r>
              <w:rPr>
                <w:rFonts w:ascii="SimSun" w:hAnsi="SimSun" w:eastAsia="SimSun" w:cs="SimSun"/>
                <w:sz w:val="24"/>
                <w:szCs w:val="24"/>
              </w:rPr>
              <w:tab/>
            </w:r>
            <w:r>
              <w:rPr>
                <w:rFonts w:ascii="Times New Roman" w:hAnsi="Times New Roman" w:eastAsia="Times New Roman" w:cs="Times New Roman"/>
                <w:sz w:val="24"/>
                <w:szCs w:val="24"/>
                <w:spacing w:val="1"/>
              </w:rPr>
              <w:t>124</w:t>
            </w:r>
          </w:hyperlink>
        </w:p>
        <w:p>
          <w:pPr>
            <w:ind w:left="212"/>
            <w:spacing w:before="211" w:line="198" w:lineRule="auto"/>
            <w:tabs>
              <w:tab w:val="right" w:leader="dot" w:pos="8497"/>
            </w:tabs>
            <w:rPr>
              <w:rFonts w:ascii="Times New Roman" w:hAnsi="Times New Roman" w:eastAsia="Times New Roman" w:cs="Times New Roman"/>
              <w:sz w:val="24"/>
              <w:szCs w:val="24"/>
            </w:rPr>
          </w:pPr>
          <w:hyperlink w:history="true" w:anchor="bookmark44">
            <w:r>
              <w:rPr>
                <w:rFonts w:ascii="Times New Roman" w:hAnsi="Times New Roman" w:eastAsia="Times New Roman" w:cs="Times New Roman"/>
                <w:sz w:val="24"/>
                <w:szCs w:val="24"/>
                <w:spacing w:val="-2"/>
              </w:rPr>
              <w:t>7.4 </w:t>
            </w:r>
            <w:r>
              <w:rPr>
                <w:rFonts w:ascii="SimSun" w:hAnsi="SimSun" w:eastAsia="SimSun" w:cs="SimSun"/>
                <w:sz w:val="24"/>
                <w:szCs w:val="24"/>
                <w:spacing w:val="-2"/>
              </w:rPr>
              <w:t>损益分析</w:t>
            </w:r>
            <w:r>
              <w:rPr>
                <w:rFonts w:ascii="SimSun" w:hAnsi="SimSun" w:eastAsia="SimSun" w:cs="SimSun"/>
                <w:sz w:val="24"/>
                <w:szCs w:val="24"/>
              </w:rPr>
              <w:tab/>
            </w:r>
            <w:r>
              <w:rPr>
                <w:rFonts w:ascii="Times New Roman" w:hAnsi="Times New Roman" w:eastAsia="Times New Roman" w:cs="Times New Roman"/>
                <w:sz w:val="24"/>
                <w:szCs w:val="24"/>
                <w:spacing w:val="1"/>
              </w:rPr>
              <w:t>124</w:t>
            </w:r>
          </w:hyperlink>
        </w:p>
        <w:p>
          <w:pPr>
            <w:pStyle w:val="BodyText"/>
            <w:spacing w:line="251" w:lineRule="auto"/>
            <w:rPr/>
          </w:pPr>
          <w:r/>
        </w:p>
        <w:p>
          <w:pPr>
            <w:spacing w:before="78" w:line="198" w:lineRule="auto"/>
            <w:tabs>
              <w:tab w:val="right" w:leader="dot" w:pos="8497"/>
            </w:tabs>
            <w:rPr>
              <w:rFonts w:ascii="Times New Roman" w:hAnsi="Times New Roman" w:eastAsia="Times New Roman" w:cs="Times New Roman"/>
              <w:sz w:val="24"/>
              <w:szCs w:val="24"/>
            </w:rPr>
          </w:pPr>
          <w:hyperlink w:history="true" w:anchor="bookmark45">
            <w:r>
              <w:rPr>
                <w:rFonts w:ascii="Times New Roman" w:hAnsi="Times New Roman" w:eastAsia="Times New Roman" w:cs="Times New Roman"/>
                <w:sz w:val="24"/>
                <w:szCs w:val="24"/>
                <w:b/>
                <w:bCs/>
                <w:spacing w:val="-3"/>
              </w:rPr>
              <w:t>8.</w:t>
            </w:r>
            <w:r>
              <w:rPr>
                <w:rFonts w:ascii="SimSun" w:hAnsi="SimSun" w:eastAsia="SimSun" w:cs="SimSun"/>
                <w:sz w:val="24"/>
                <w:szCs w:val="24"/>
                <w:b/>
                <w:bCs/>
                <w:spacing w:val="-3"/>
              </w:rPr>
              <w:t>环境管理与监测计划</w:t>
            </w:r>
            <w:r>
              <w:rPr>
                <w:rFonts w:ascii="SimSun" w:hAnsi="SimSun" w:eastAsia="SimSun" w:cs="SimSun"/>
                <w:sz w:val="24"/>
                <w:szCs w:val="24"/>
                <w:spacing w:val="-70"/>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
              </w:rPr>
              <w:t>125</w:t>
            </w:r>
          </w:hyperlink>
        </w:p>
        <w:p>
          <w:pPr>
            <w:pStyle w:val="BodyText"/>
            <w:spacing w:line="251" w:lineRule="auto"/>
            <w:rPr/>
          </w:pPr>
          <w:r/>
        </w:p>
        <w:p>
          <w:pPr>
            <w:ind w:left="218"/>
            <w:spacing w:before="78" w:line="198" w:lineRule="auto"/>
            <w:tabs>
              <w:tab w:val="right" w:leader="dot" w:pos="8497"/>
            </w:tabs>
            <w:rPr>
              <w:rFonts w:ascii="Times New Roman" w:hAnsi="Times New Roman" w:eastAsia="Times New Roman" w:cs="Times New Roman"/>
              <w:sz w:val="24"/>
              <w:szCs w:val="24"/>
            </w:rPr>
          </w:pPr>
          <w:hyperlink w:history="true" w:anchor="bookmark46">
            <w:r>
              <w:rPr>
                <w:rFonts w:ascii="Times New Roman" w:hAnsi="Times New Roman" w:eastAsia="Times New Roman" w:cs="Times New Roman"/>
                <w:sz w:val="24"/>
                <w:szCs w:val="24"/>
                <w:spacing w:val="-2"/>
              </w:rPr>
              <w:t>8.1 </w:t>
            </w:r>
            <w:r>
              <w:rPr>
                <w:rFonts w:ascii="SimSun" w:hAnsi="SimSun" w:eastAsia="SimSun" w:cs="SimSun"/>
                <w:sz w:val="24"/>
                <w:szCs w:val="24"/>
                <w:spacing w:val="-2"/>
              </w:rPr>
              <w:t>环境管理</w:t>
            </w:r>
            <w:r>
              <w:rPr>
                <w:rFonts w:ascii="SimSun" w:hAnsi="SimSun" w:eastAsia="SimSun" w:cs="SimSun"/>
                <w:sz w:val="24"/>
                <w:szCs w:val="24"/>
              </w:rPr>
              <w:tab/>
            </w:r>
            <w:r>
              <w:rPr>
                <w:rFonts w:ascii="Times New Roman" w:hAnsi="Times New Roman" w:eastAsia="Times New Roman" w:cs="Times New Roman"/>
                <w:sz w:val="24"/>
                <w:szCs w:val="24"/>
                <w:spacing w:val="1"/>
              </w:rPr>
              <w:t>125</w:t>
            </w:r>
          </w:hyperlink>
        </w:p>
        <w:p>
          <w:pPr>
            <w:ind w:left="218"/>
            <w:spacing w:before="211" w:line="198" w:lineRule="auto"/>
            <w:tabs>
              <w:tab w:val="right" w:leader="dot" w:pos="8497"/>
            </w:tabs>
            <w:rPr>
              <w:rFonts w:ascii="Times New Roman" w:hAnsi="Times New Roman" w:eastAsia="Times New Roman" w:cs="Times New Roman"/>
              <w:sz w:val="24"/>
              <w:szCs w:val="24"/>
            </w:rPr>
          </w:pPr>
          <w:hyperlink w:history="true" w:anchor="bookmark47">
            <w:r>
              <w:rPr>
                <w:rFonts w:ascii="Times New Roman" w:hAnsi="Times New Roman" w:eastAsia="Times New Roman" w:cs="Times New Roman"/>
                <w:sz w:val="24"/>
                <w:szCs w:val="24"/>
                <w:spacing w:val="-2"/>
              </w:rPr>
              <w:t>8.2 </w:t>
            </w:r>
            <w:r>
              <w:rPr>
                <w:rFonts w:ascii="SimSun" w:hAnsi="SimSun" w:eastAsia="SimSun" w:cs="SimSun"/>
                <w:sz w:val="24"/>
                <w:szCs w:val="24"/>
                <w:spacing w:val="-2"/>
              </w:rPr>
              <w:t>污染物排放清单</w:t>
            </w:r>
            <w:r>
              <w:rPr>
                <w:rFonts w:ascii="SimSun" w:hAnsi="SimSun" w:eastAsia="SimSun" w:cs="SimSun"/>
                <w:sz w:val="24"/>
                <w:szCs w:val="24"/>
              </w:rPr>
              <w:tab/>
            </w:r>
            <w:r>
              <w:rPr>
                <w:rFonts w:ascii="Times New Roman" w:hAnsi="Times New Roman" w:eastAsia="Times New Roman" w:cs="Times New Roman"/>
                <w:sz w:val="24"/>
                <w:szCs w:val="24"/>
                <w:spacing w:val="1"/>
              </w:rPr>
              <w:t>129</w:t>
            </w:r>
          </w:hyperlink>
        </w:p>
        <w:p>
          <w:pPr>
            <w:ind w:left="218"/>
            <w:spacing w:before="211" w:line="198" w:lineRule="auto"/>
            <w:tabs>
              <w:tab w:val="right" w:leader="dot" w:pos="8497"/>
            </w:tabs>
            <w:rPr>
              <w:rFonts w:ascii="Times New Roman" w:hAnsi="Times New Roman" w:eastAsia="Times New Roman" w:cs="Times New Roman"/>
              <w:sz w:val="24"/>
              <w:szCs w:val="24"/>
            </w:rPr>
          </w:pPr>
          <w:hyperlink w:history="true" w:anchor="bookmark48">
            <w:r>
              <w:rPr>
                <w:rFonts w:ascii="Times New Roman" w:hAnsi="Times New Roman" w:eastAsia="Times New Roman" w:cs="Times New Roman"/>
                <w:sz w:val="24"/>
                <w:szCs w:val="24"/>
                <w:spacing w:val="-2"/>
              </w:rPr>
              <w:t>8.3 </w:t>
            </w:r>
            <w:r>
              <w:rPr>
                <w:rFonts w:ascii="SimSun" w:hAnsi="SimSun" w:eastAsia="SimSun" w:cs="SimSun"/>
                <w:sz w:val="24"/>
                <w:szCs w:val="24"/>
                <w:spacing w:val="-2"/>
              </w:rPr>
              <w:t>环境监测</w:t>
            </w:r>
            <w:r>
              <w:rPr>
                <w:rFonts w:ascii="SimSun" w:hAnsi="SimSun" w:eastAsia="SimSun" w:cs="SimSun"/>
                <w:sz w:val="24"/>
                <w:szCs w:val="24"/>
              </w:rPr>
              <w:tab/>
            </w:r>
            <w:r>
              <w:rPr>
                <w:rFonts w:ascii="Times New Roman" w:hAnsi="Times New Roman" w:eastAsia="Times New Roman" w:cs="Times New Roman"/>
                <w:sz w:val="24"/>
                <w:szCs w:val="24"/>
                <w:spacing w:val="1"/>
              </w:rPr>
              <w:t>131</w:t>
            </w:r>
          </w:hyperlink>
        </w:p>
        <w:p>
          <w:pPr>
            <w:ind w:left="218"/>
            <w:spacing w:before="210" w:line="198" w:lineRule="auto"/>
            <w:tabs>
              <w:tab w:val="right" w:leader="dot" w:pos="8497"/>
            </w:tabs>
            <w:rPr>
              <w:rFonts w:ascii="Times New Roman" w:hAnsi="Times New Roman" w:eastAsia="Times New Roman" w:cs="Times New Roman"/>
              <w:sz w:val="24"/>
              <w:szCs w:val="24"/>
            </w:rPr>
          </w:pPr>
          <w:hyperlink w:history="true" w:anchor="bookmark49">
            <w:r>
              <w:rPr>
                <w:rFonts w:ascii="Times New Roman" w:hAnsi="Times New Roman" w:eastAsia="Times New Roman" w:cs="Times New Roman"/>
                <w:sz w:val="24"/>
                <w:szCs w:val="24"/>
                <w:spacing w:val="-2"/>
              </w:rPr>
              <w:t>8.4 </w:t>
            </w:r>
            <w:r>
              <w:rPr>
                <w:rFonts w:ascii="SimSun" w:hAnsi="SimSun" w:eastAsia="SimSun" w:cs="SimSun"/>
                <w:sz w:val="24"/>
                <w:szCs w:val="24"/>
                <w:spacing w:val="-2"/>
              </w:rPr>
              <w:t>排污口规范化</w:t>
            </w:r>
            <w:r>
              <w:rPr>
                <w:rFonts w:ascii="SimSun" w:hAnsi="SimSun" w:eastAsia="SimSun" w:cs="SimSun"/>
                <w:sz w:val="24"/>
                <w:szCs w:val="24"/>
              </w:rPr>
              <w:tab/>
            </w:r>
            <w:r>
              <w:rPr>
                <w:rFonts w:ascii="Times New Roman" w:hAnsi="Times New Roman" w:eastAsia="Times New Roman" w:cs="Times New Roman"/>
                <w:sz w:val="24"/>
                <w:szCs w:val="24"/>
                <w:spacing w:val="1"/>
              </w:rPr>
              <w:t>131</w:t>
            </w:r>
          </w:hyperlink>
        </w:p>
        <w:p>
          <w:pPr>
            <w:ind w:left="218"/>
            <w:spacing w:before="211" w:line="198" w:lineRule="auto"/>
            <w:tabs>
              <w:tab w:val="right" w:leader="dot" w:pos="8497"/>
            </w:tabs>
            <w:rPr>
              <w:rFonts w:ascii="Times New Roman" w:hAnsi="Times New Roman" w:eastAsia="Times New Roman" w:cs="Times New Roman"/>
              <w:sz w:val="24"/>
              <w:szCs w:val="24"/>
            </w:rPr>
          </w:pPr>
          <w:hyperlink w:history="true" w:anchor="bookmark50">
            <w:r>
              <w:rPr>
                <w:rFonts w:ascii="Times New Roman" w:hAnsi="Times New Roman" w:eastAsia="Times New Roman" w:cs="Times New Roman"/>
                <w:sz w:val="24"/>
                <w:szCs w:val="24"/>
                <w:spacing w:val="-2"/>
              </w:rPr>
              <w:t>8.5 </w:t>
            </w:r>
            <w:r>
              <w:rPr>
                <w:rFonts w:ascii="SimSun" w:hAnsi="SimSun" w:eastAsia="SimSun" w:cs="SimSun"/>
                <w:sz w:val="24"/>
                <w:szCs w:val="24"/>
                <w:spacing w:val="-2"/>
              </w:rPr>
              <w:t>企业信息公开</w:t>
            </w:r>
            <w:r>
              <w:rPr>
                <w:rFonts w:ascii="SimSun" w:hAnsi="SimSun" w:eastAsia="SimSun" w:cs="SimSun"/>
                <w:sz w:val="24"/>
                <w:szCs w:val="24"/>
              </w:rPr>
              <w:tab/>
            </w:r>
            <w:r>
              <w:rPr>
                <w:rFonts w:ascii="Times New Roman" w:hAnsi="Times New Roman" w:eastAsia="Times New Roman" w:cs="Times New Roman"/>
                <w:sz w:val="24"/>
                <w:szCs w:val="24"/>
                <w:spacing w:val="1"/>
              </w:rPr>
              <w:t>132</w:t>
            </w:r>
          </w:hyperlink>
        </w:p>
        <w:p>
          <w:pPr>
            <w:pStyle w:val="BodyText"/>
            <w:spacing w:line="251" w:lineRule="auto"/>
            <w:rPr/>
          </w:pPr>
          <w:r/>
        </w:p>
        <w:p>
          <w:pPr>
            <w:spacing w:before="78" w:line="198" w:lineRule="auto"/>
            <w:tabs>
              <w:tab w:val="right" w:leader="dot" w:pos="8497"/>
            </w:tabs>
            <w:rPr>
              <w:rFonts w:ascii="Times New Roman" w:hAnsi="Times New Roman" w:eastAsia="Times New Roman" w:cs="Times New Roman"/>
              <w:sz w:val="24"/>
              <w:szCs w:val="24"/>
            </w:rPr>
          </w:pPr>
          <w:hyperlink w:history="true" w:anchor="bookmark51">
            <w:r>
              <w:rPr>
                <w:rFonts w:ascii="Times New Roman" w:hAnsi="Times New Roman" w:eastAsia="Times New Roman" w:cs="Times New Roman"/>
                <w:sz w:val="24"/>
                <w:szCs w:val="24"/>
                <w:b/>
                <w:bCs/>
                <w:spacing w:val="-3"/>
              </w:rPr>
              <w:t>9.</w:t>
            </w:r>
            <w:r>
              <w:rPr>
                <w:rFonts w:ascii="SimSun" w:hAnsi="SimSun" w:eastAsia="SimSun" w:cs="SimSun"/>
                <w:sz w:val="24"/>
                <w:szCs w:val="24"/>
                <w:b/>
                <w:bCs/>
                <w:spacing w:val="-3"/>
              </w:rPr>
              <w:t>环境影响评价结论</w:t>
            </w:r>
            <w:r>
              <w:rPr>
                <w:rFonts w:ascii="SimSun" w:hAnsi="SimSun" w:eastAsia="SimSun" w:cs="SimSun"/>
                <w:sz w:val="24"/>
                <w:szCs w:val="24"/>
                <w:spacing w:val="-70"/>
              </w:rPr>
              <w:t xml:space="preserve"> </w:t>
            </w:r>
            <w:r>
              <w:rPr>
                <w:rFonts w:ascii="SimSun" w:hAnsi="SimSun" w:eastAsia="SimSun" w:cs="SimSun"/>
                <w:sz w:val="24"/>
                <w:szCs w:val="24"/>
              </w:rPr>
              <w:tab/>
            </w:r>
            <w:r>
              <w:rPr>
                <w:rFonts w:ascii="Times New Roman" w:hAnsi="Times New Roman" w:eastAsia="Times New Roman" w:cs="Times New Roman"/>
                <w:sz w:val="24"/>
                <w:szCs w:val="24"/>
                <w:b/>
                <w:bCs/>
                <w:spacing w:val="1"/>
              </w:rPr>
              <w:t>134</w:t>
            </w:r>
          </w:hyperlink>
        </w:p>
        <w:p>
          <w:pPr>
            <w:pStyle w:val="BodyText"/>
            <w:spacing w:line="250" w:lineRule="auto"/>
            <w:rPr/>
          </w:pPr>
          <w:r/>
        </w:p>
        <w:p>
          <w:pPr>
            <w:ind w:left="213"/>
            <w:spacing w:before="79" w:line="233" w:lineRule="auto"/>
            <w:tabs>
              <w:tab w:val="right" w:leader="dot" w:pos="8497"/>
            </w:tabs>
            <w:rPr>
              <w:rFonts w:ascii="Times New Roman" w:hAnsi="Times New Roman" w:eastAsia="Times New Roman" w:cs="Times New Roman"/>
              <w:sz w:val="24"/>
              <w:szCs w:val="24"/>
            </w:rPr>
          </w:pPr>
          <w:hyperlink w:history="true" w:anchor="bookmark52">
            <w:r>
              <w:rPr>
                <w:rFonts w:ascii="Times New Roman" w:hAnsi="Times New Roman" w:eastAsia="Times New Roman" w:cs="Times New Roman"/>
                <w:sz w:val="24"/>
                <w:szCs w:val="24"/>
                <w:spacing w:val="-1"/>
              </w:rPr>
              <w:t>9.1 </w:t>
            </w:r>
            <w:r>
              <w:rPr>
                <w:rFonts w:ascii="SimSun" w:hAnsi="SimSun" w:eastAsia="SimSun" w:cs="SimSun"/>
                <w:sz w:val="24"/>
                <w:szCs w:val="24"/>
                <w:spacing w:val="-1"/>
              </w:rPr>
              <w:t>建设项目概况</w:t>
            </w:r>
            <w:r>
              <w:rPr>
                <w:rFonts w:ascii="SimSun" w:hAnsi="SimSun" w:eastAsia="SimSun" w:cs="SimSun"/>
                <w:sz w:val="24"/>
                <w:szCs w:val="24"/>
              </w:rPr>
              <w:tab/>
            </w:r>
            <w:r>
              <w:rPr>
                <w:rFonts w:ascii="Times New Roman" w:hAnsi="Times New Roman" w:eastAsia="Times New Roman" w:cs="Times New Roman"/>
                <w:sz w:val="24"/>
                <w:szCs w:val="24"/>
                <w:spacing w:val="1"/>
              </w:rPr>
              <w:t>134</w:t>
            </w:r>
          </w:hyperlink>
        </w:p>
      </w:sdtContent>
    </w:sdt>
    <w:p>
      <w:pPr>
        <w:spacing w:line="233" w:lineRule="auto"/>
        <w:sectPr>
          <w:pgSz w:w="11907" w:h="16839"/>
          <w:pgMar w:top="400" w:right="1699" w:bottom="400" w:left="1709" w:header="0" w:footer="0" w:gutter="0"/>
        </w:sectPr>
        <w:rPr>
          <w:rFonts w:ascii="Times New Roman" w:hAnsi="Times New Roman" w:eastAsia="Times New Roman" w:cs="Times New Roman"/>
          <w:sz w:val="24"/>
          <w:szCs w:val="24"/>
        </w:rPr>
      </w:pP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sdt>
      <w:sdtPr>
        <w:rPr>
          <w:rFonts w:ascii="Times New Roman" w:hAnsi="Times New Roman" w:eastAsia="Times New Roman" w:cs="Times New Roma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ind w:left="136"/>
            <w:spacing w:before="78" w:line="198" w:lineRule="auto"/>
            <w:tabs>
              <w:tab w:val="right" w:leader="dot" w:pos="8420"/>
            </w:tabs>
            <w:rPr>
              <w:rFonts w:ascii="Times New Roman" w:hAnsi="Times New Roman" w:eastAsia="Times New Roman" w:cs="Times New Roman"/>
              <w:sz w:val="24"/>
              <w:szCs w:val="24"/>
            </w:rPr>
          </w:pPr>
          <w:hyperlink w:history="true" w:anchor="bookmark53">
            <w:r>
              <w:rPr>
                <w:rFonts w:ascii="Times New Roman" w:hAnsi="Times New Roman" w:eastAsia="Times New Roman" w:cs="Times New Roman"/>
                <w:sz w:val="24"/>
                <w:szCs w:val="24"/>
                <w:spacing w:val="-1"/>
              </w:rPr>
              <w:t>9.2 </w:t>
            </w:r>
            <w:r>
              <w:rPr>
                <w:rFonts w:ascii="SimSun" w:hAnsi="SimSun" w:eastAsia="SimSun" w:cs="SimSun"/>
                <w:sz w:val="24"/>
                <w:szCs w:val="24"/>
                <w:spacing w:val="-1"/>
              </w:rPr>
              <w:t>环境质量现状</w:t>
            </w:r>
            <w:r>
              <w:rPr>
                <w:rFonts w:ascii="SimSun" w:hAnsi="SimSun" w:eastAsia="SimSun" w:cs="SimSun"/>
                <w:sz w:val="24"/>
                <w:szCs w:val="24"/>
              </w:rPr>
              <w:tab/>
            </w:r>
            <w:r>
              <w:rPr>
                <w:rFonts w:ascii="Times New Roman" w:hAnsi="Times New Roman" w:eastAsia="Times New Roman" w:cs="Times New Roman"/>
                <w:sz w:val="24"/>
                <w:szCs w:val="24"/>
                <w:spacing w:val="1"/>
              </w:rPr>
              <w:t>134</w:t>
            </w:r>
          </w:hyperlink>
        </w:p>
        <w:p>
          <w:pPr>
            <w:ind w:left="136"/>
            <w:spacing w:before="210" w:line="198" w:lineRule="auto"/>
            <w:tabs>
              <w:tab w:val="right" w:leader="dot" w:pos="8420"/>
            </w:tabs>
            <w:rPr>
              <w:rFonts w:ascii="Times New Roman" w:hAnsi="Times New Roman" w:eastAsia="Times New Roman" w:cs="Times New Roman"/>
              <w:sz w:val="24"/>
              <w:szCs w:val="24"/>
            </w:rPr>
          </w:pPr>
          <w:hyperlink w:history="true" w:anchor="bookmark54">
            <w:r>
              <w:rPr>
                <w:rFonts w:ascii="Times New Roman" w:hAnsi="Times New Roman" w:eastAsia="Times New Roman" w:cs="Times New Roman"/>
                <w:sz w:val="24"/>
                <w:szCs w:val="24"/>
                <w:spacing w:val="-1"/>
              </w:rPr>
              <w:t>9.3 </w:t>
            </w:r>
            <w:r>
              <w:rPr>
                <w:rFonts w:ascii="SimSun" w:hAnsi="SimSun" w:eastAsia="SimSun" w:cs="SimSun"/>
                <w:sz w:val="24"/>
                <w:szCs w:val="24"/>
                <w:spacing w:val="-1"/>
              </w:rPr>
              <w:t>环境影响评价结论</w:t>
            </w:r>
            <w:r>
              <w:rPr>
                <w:rFonts w:ascii="SimSun" w:hAnsi="SimSun" w:eastAsia="SimSun" w:cs="SimSun"/>
                <w:sz w:val="24"/>
                <w:szCs w:val="24"/>
              </w:rPr>
              <w:tab/>
            </w:r>
            <w:r>
              <w:rPr>
                <w:rFonts w:ascii="Times New Roman" w:hAnsi="Times New Roman" w:eastAsia="Times New Roman" w:cs="Times New Roman"/>
                <w:sz w:val="24"/>
                <w:szCs w:val="24"/>
                <w:spacing w:val="1"/>
              </w:rPr>
              <w:t>135</w:t>
            </w:r>
          </w:hyperlink>
        </w:p>
        <w:p>
          <w:pPr>
            <w:ind w:left="136"/>
            <w:spacing w:before="210" w:line="198" w:lineRule="auto"/>
            <w:tabs>
              <w:tab w:val="right" w:leader="dot" w:pos="8420"/>
            </w:tabs>
            <w:rPr>
              <w:rFonts w:ascii="Times New Roman" w:hAnsi="Times New Roman" w:eastAsia="Times New Roman" w:cs="Times New Roman"/>
              <w:sz w:val="24"/>
              <w:szCs w:val="24"/>
            </w:rPr>
          </w:pPr>
          <w:hyperlink w:history="true" w:anchor="bookmark55">
            <w:r>
              <w:rPr>
                <w:rFonts w:ascii="Times New Roman" w:hAnsi="Times New Roman" w:eastAsia="Times New Roman" w:cs="Times New Roman"/>
                <w:sz w:val="24"/>
                <w:szCs w:val="24"/>
                <w:spacing w:val="-4"/>
              </w:rPr>
              <w:t>9.4</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4"/>
              </w:rPr>
              <w:t>防护距离结论</w:t>
            </w:r>
            <w:r>
              <w:rPr>
                <w:rFonts w:ascii="SimSun" w:hAnsi="SimSun" w:eastAsia="SimSun" w:cs="SimSun"/>
                <w:sz w:val="24"/>
                <w:szCs w:val="24"/>
              </w:rPr>
              <w:tab/>
            </w:r>
            <w:r>
              <w:rPr>
                <w:rFonts w:ascii="Times New Roman" w:hAnsi="Times New Roman" w:eastAsia="Times New Roman" w:cs="Times New Roman"/>
                <w:sz w:val="24"/>
                <w:szCs w:val="24"/>
                <w:spacing w:val="1"/>
              </w:rPr>
              <w:t>137</w:t>
            </w:r>
          </w:hyperlink>
        </w:p>
        <w:p>
          <w:pPr>
            <w:ind w:left="136"/>
            <w:spacing w:before="210" w:line="198" w:lineRule="auto"/>
            <w:tabs>
              <w:tab w:val="right" w:leader="dot" w:pos="8420"/>
            </w:tabs>
            <w:rPr>
              <w:rFonts w:ascii="Times New Roman" w:hAnsi="Times New Roman" w:eastAsia="Times New Roman" w:cs="Times New Roman"/>
              <w:sz w:val="24"/>
              <w:szCs w:val="24"/>
            </w:rPr>
          </w:pPr>
          <w:hyperlink w:history="true" w:anchor="bookmark56">
            <w:r>
              <w:rPr>
                <w:rFonts w:ascii="Times New Roman" w:hAnsi="Times New Roman" w:eastAsia="Times New Roman" w:cs="Times New Roman"/>
                <w:sz w:val="24"/>
                <w:szCs w:val="24"/>
                <w:spacing w:val="-1"/>
              </w:rPr>
              <w:t>9.5 </w:t>
            </w:r>
            <w:r>
              <w:rPr>
                <w:rFonts w:ascii="SimSun" w:hAnsi="SimSun" w:eastAsia="SimSun" w:cs="SimSun"/>
                <w:sz w:val="24"/>
                <w:szCs w:val="24"/>
                <w:spacing w:val="-1"/>
              </w:rPr>
              <w:t>风险评价结论</w:t>
            </w:r>
            <w:r>
              <w:rPr>
                <w:rFonts w:ascii="SimSun" w:hAnsi="SimSun" w:eastAsia="SimSun" w:cs="SimSun"/>
                <w:sz w:val="24"/>
                <w:szCs w:val="24"/>
              </w:rPr>
              <w:tab/>
            </w:r>
            <w:r>
              <w:rPr>
                <w:rFonts w:ascii="Times New Roman" w:hAnsi="Times New Roman" w:eastAsia="Times New Roman" w:cs="Times New Roman"/>
                <w:sz w:val="24"/>
                <w:szCs w:val="24"/>
                <w:spacing w:val="1"/>
              </w:rPr>
              <w:t>137</w:t>
            </w:r>
          </w:hyperlink>
        </w:p>
        <w:p>
          <w:pPr>
            <w:ind w:left="136"/>
            <w:spacing w:before="210" w:line="198" w:lineRule="auto"/>
            <w:tabs>
              <w:tab w:val="right" w:leader="dot" w:pos="8420"/>
            </w:tabs>
            <w:rPr>
              <w:rFonts w:ascii="Times New Roman" w:hAnsi="Times New Roman" w:eastAsia="Times New Roman" w:cs="Times New Roman"/>
              <w:sz w:val="24"/>
              <w:szCs w:val="24"/>
            </w:rPr>
          </w:pPr>
          <w:hyperlink w:history="true" w:anchor="bookmark57">
            <w:r>
              <w:rPr>
                <w:rFonts w:ascii="Times New Roman" w:hAnsi="Times New Roman" w:eastAsia="Times New Roman" w:cs="Times New Roman"/>
                <w:sz w:val="24"/>
                <w:szCs w:val="24"/>
                <w:spacing w:val="-3"/>
              </w:rPr>
              <w:t>9.6</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3"/>
              </w:rPr>
              <w:t>公众意见采纳情况</w:t>
            </w:r>
            <w:r>
              <w:rPr>
                <w:rFonts w:ascii="SimSun" w:hAnsi="SimSun" w:eastAsia="SimSun" w:cs="SimSun"/>
                <w:sz w:val="24"/>
                <w:szCs w:val="24"/>
              </w:rPr>
              <w:tab/>
            </w:r>
            <w:r>
              <w:rPr>
                <w:rFonts w:ascii="Times New Roman" w:hAnsi="Times New Roman" w:eastAsia="Times New Roman" w:cs="Times New Roman"/>
                <w:sz w:val="24"/>
                <w:szCs w:val="24"/>
                <w:spacing w:val="1"/>
              </w:rPr>
              <w:t>137</w:t>
            </w:r>
          </w:hyperlink>
        </w:p>
        <w:p>
          <w:pPr>
            <w:ind w:left="136"/>
            <w:spacing w:before="211" w:line="198" w:lineRule="auto"/>
            <w:tabs>
              <w:tab w:val="right" w:leader="dot" w:pos="8420"/>
            </w:tabs>
            <w:rPr>
              <w:rFonts w:ascii="Times New Roman" w:hAnsi="Times New Roman" w:eastAsia="Times New Roman" w:cs="Times New Roman"/>
              <w:sz w:val="24"/>
              <w:szCs w:val="24"/>
            </w:rPr>
          </w:pPr>
          <w:hyperlink w:history="true" w:anchor="bookmark58">
            <w:r>
              <w:rPr>
                <w:rFonts w:ascii="Times New Roman" w:hAnsi="Times New Roman" w:eastAsia="Times New Roman" w:cs="Times New Roman"/>
                <w:sz w:val="24"/>
                <w:szCs w:val="24"/>
                <w:spacing w:val="-1"/>
              </w:rPr>
              <w:t>9.7 </w:t>
            </w:r>
            <w:r>
              <w:rPr>
                <w:rFonts w:ascii="SimSun" w:hAnsi="SimSun" w:eastAsia="SimSun" w:cs="SimSun"/>
                <w:sz w:val="24"/>
                <w:szCs w:val="24"/>
                <w:spacing w:val="-1"/>
              </w:rPr>
              <w:t>环境影响经济损益分析结论</w:t>
            </w:r>
            <w:r>
              <w:rPr>
                <w:rFonts w:ascii="SimSun" w:hAnsi="SimSun" w:eastAsia="SimSun" w:cs="SimSun"/>
                <w:sz w:val="24"/>
                <w:szCs w:val="24"/>
              </w:rPr>
              <w:tab/>
            </w:r>
            <w:r>
              <w:rPr>
                <w:rFonts w:ascii="Times New Roman" w:hAnsi="Times New Roman" w:eastAsia="Times New Roman" w:cs="Times New Roman"/>
                <w:sz w:val="24"/>
                <w:szCs w:val="24"/>
                <w:spacing w:val="1"/>
              </w:rPr>
              <w:t>138</w:t>
            </w:r>
          </w:hyperlink>
        </w:p>
        <w:p>
          <w:pPr>
            <w:ind w:left="136"/>
            <w:spacing w:before="211" w:line="198" w:lineRule="auto"/>
            <w:tabs>
              <w:tab w:val="right" w:leader="dot" w:pos="8420"/>
            </w:tabs>
            <w:rPr>
              <w:rFonts w:ascii="Times New Roman" w:hAnsi="Times New Roman" w:eastAsia="Times New Roman" w:cs="Times New Roman"/>
              <w:sz w:val="24"/>
              <w:szCs w:val="24"/>
            </w:rPr>
          </w:pPr>
          <w:hyperlink w:history="true" w:anchor="bookmark59">
            <w:r>
              <w:rPr>
                <w:rFonts w:ascii="Times New Roman" w:hAnsi="Times New Roman" w:eastAsia="Times New Roman" w:cs="Times New Roman"/>
                <w:sz w:val="24"/>
                <w:szCs w:val="24"/>
                <w:spacing w:val="-1"/>
              </w:rPr>
              <w:t>9.8 </w:t>
            </w:r>
            <w:r>
              <w:rPr>
                <w:rFonts w:ascii="SimSun" w:hAnsi="SimSun" w:eastAsia="SimSun" w:cs="SimSun"/>
                <w:sz w:val="24"/>
                <w:szCs w:val="24"/>
                <w:spacing w:val="-1"/>
              </w:rPr>
              <w:t>环境管理与监测计划结论</w:t>
            </w:r>
            <w:r>
              <w:rPr>
                <w:rFonts w:ascii="SimSun" w:hAnsi="SimSun" w:eastAsia="SimSun" w:cs="SimSun"/>
                <w:sz w:val="24"/>
                <w:szCs w:val="24"/>
              </w:rPr>
              <w:tab/>
            </w:r>
            <w:r>
              <w:rPr>
                <w:rFonts w:ascii="Times New Roman" w:hAnsi="Times New Roman" w:eastAsia="Times New Roman" w:cs="Times New Roman"/>
                <w:sz w:val="24"/>
                <w:szCs w:val="24"/>
                <w:spacing w:val="1"/>
              </w:rPr>
              <w:t>138</w:t>
            </w:r>
          </w:hyperlink>
        </w:p>
        <w:p>
          <w:pPr>
            <w:ind w:left="136"/>
            <w:spacing w:before="211" w:line="198" w:lineRule="auto"/>
            <w:tabs>
              <w:tab w:val="right" w:leader="dot" w:pos="8420"/>
            </w:tabs>
            <w:rPr>
              <w:rFonts w:ascii="Times New Roman" w:hAnsi="Times New Roman" w:eastAsia="Times New Roman" w:cs="Times New Roman"/>
              <w:sz w:val="24"/>
              <w:szCs w:val="24"/>
            </w:rPr>
          </w:pPr>
          <w:hyperlink w:history="true" w:anchor="bookmark60">
            <w:r>
              <w:rPr>
                <w:rFonts w:ascii="Times New Roman" w:hAnsi="Times New Roman" w:eastAsia="Times New Roman" w:cs="Times New Roman"/>
                <w:sz w:val="24"/>
                <w:szCs w:val="24"/>
                <w:spacing w:val="-1"/>
              </w:rPr>
              <w:t>9.9 </w:t>
            </w:r>
            <w:r>
              <w:rPr>
                <w:rFonts w:ascii="SimSun" w:hAnsi="SimSun" w:eastAsia="SimSun" w:cs="SimSun"/>
                <w:sz w:val="24"/>
                <w:szCs w:val="24"/>
                <w:spacing w:val="-1"/>
              </w:rPr>
              <w:t>场区平面布局合理性分析</w:t>
            </w:r>
            <w:r>
              <w:rPr>
                <w:rFonts w:ascii="SimSun" w:hAnsi="SimSun" w:eastAsia="SimSun" w:cs="SimSun"/>
                <w:sz w:val="24"/>
                <w:szCs w:val="24"/>
              </w:rPr>
              <w:tab/>
            </w:r>
            <w:r>
              <w:rPr>
                <w:rFonts w:ascii="Times New Roman" w:hAnsi="Times New Roman" w:eastAsia="Times New Roman" w:cs="Times New Roman"/>
                <w:sz w:val="24"/>
                <w:szCs w:val="24"/>
                <w:spacing w:val="1"/>
              </w:rPr>
              <w:t>138</w:t>
            </w:r>
          </w:hyperlink>
        </w:p>
        <w:p>
          <w:pPr>
            <w:ind w:left="136"/>
            <w:spacing w:before="210" w:line="198" w:lineRule="auto"/>
            <w:tabs>
              <w:tab w:val="right" w:leader="dot" w:pos="8420"/>
            </w:tabs>
            <w:rPr>
              <w:rFonts w:ascii="Times New Roman" w:hAnsi="Times New Roman" w:eastAsia="Times New Roman" w:cs="Times New Roman"/>
              <w:sz w:val="24"/>
              <w:szCs w:val="24"/>
            </w:rPr>
          </w:pPr>
          <w:hyperlink w:history="true" w:anchor="bookmark61">
            <w:r>
              <w:rPr>
                <w:rFonts w:ascii="Times New Roman" w:hAnsi="Times New Roman" w:eastAsia="Times New Roman" w:cs="Times New Roman"/>
                <w:sz w:val="24"/>
                <w:szCs w:val="24"/>
                <w:spacing w:val="-1"/>
              </w:rPr>
              <w:t>9.10 </w:t>
            </w:r>
            <w:r>
              <w:rPr>
                <w:rFonts w:ascii="SimSun" w:hAnsi="SimSun" w:eastAsia="SimSun" w:cs="SimSun"/>
                <w:sz w:val="24"/>
                <w:szCs w:val="24"/>
                <w:spacing w:val="-1"/>
              </w:rPr>
              <w:t>选址合理性评价结论</w:t>
            </w:r>
            <w:r>
              <w:rPr>
                <w:rFonts w:ascii="SimSun" w:hAnsi="SimSun" w:eastAsia="SimSun" w:cs="SimSun"/>
                <w:sz w:val="24"/>
                <w:szCs w:val="24"/>
              </w:rPr>
              <w:tab/>
            </w:r>
            <w:r>
              <w:rPr>
                <w:rFonts w:ascii="Times New Roman" w:hAnsi="Times New Roman" w:eastAsia="Times New Roman" w:cs="Times New Roman"/>
                <w:sz w:val="24"/>
                <w:szCs w:val="24"/>
                <w:spacing w:val="1"/>
              </w:rPr>
              <w:t>139</w:t>
            </w:r>
          </w:hyperlink>
        </w:p>
        <w:p>
          <w:pPr>
            <w:ind w:left="136"/>
            <w:spacing w:before="210" w:line="232" w:lineRule="auto"/>
            <w:tabs>
              <w:tab w:val="right" w:leader="dot" w:pos="8420"/>
            </w:tabs>
            <w:rPr>
              <w:rFonts w:ascii="Times New Roman" w:hAnsi="Times New Roman" w:eastAsia="Times New Roman" w:cs="Times New Roman"/>
              <w:sz w:val="24"/>
              <w:szCs w:val="24"/>
            </w:rPr>
          </w:pPr>
          <w:hyperlink w:history="true" w:anchor="bookmark62">
            <w:r>
              <w:rPr>
                <w:rFonts w:ascii="Times New Roman" w:hAnsi="Times New Roman" w:eastAsia="Times New Roman" w:cs="Times New Roman"/>
                <w:sz w:val="24"/>
                <w:szCs w:val="24"/>
                <w:spacing w:val="-2"/>
              </w:rPr>
              <w:t>9.11 </w:t>
            </w:r>
            <w:r>
              <w:rPr>
                <w:rFonts w:ascii="SimSun" w:hAnsi="SimSun" w:eastAsia="SimSun" w:cs="SimSun"/>
                <w:sz w:val="24"/>
                <w:szCs w:val="24"/>
                <w:spacing w:val="-2"/>
              </w:rPr>
              <w:t>综合评价结论</w:t>
            </w:r>
            <w:r>
              <w:rPr>
                <w:rFonts w:ascii="SimSun" w:hAnsi="SimSun" w:eastAsia="SimSun" w:cs="SimSun"/>
                <w:sz w:val="24"/>
                <w:szCs w:val="24"/>
              </w:rPr>
              <w:tab/>
            </w:r>
            <w:r>
              <w:rPr>
                <w:rFonts w:ascii="Times New Roman" w:hAnsi="Times New Roman" w:eastAsia="Times New Roman" w:cs="Times New Roman"/>
                <w:sz w:val="24"/>
                <w:szCs w:val="24"/>
                <w:spacing w:val="1"/>
              </w:rPr>
              <w:t>140</w:t>
            </w:r>
          </w:hyperlink>
        </w:p>
      </w:sdtContent>
    </w:sdt>
    <w:p>
      <w:pPr>
        <w:spacing w:line="232" w:lineRule="auto"/>
        <w:sectPr>
          <w:pgSz w:w="11907" w:h="16839"/>
          <w:pgMar w:top="400" w:right="1699" w:bottom="400" w:left="1785" w:header="0" w:footer="0" w:gutter="0"/>
        </w:sectPr>
        <w:rPr>
          <w:rFonts w:ascii="Times New Roman" w:hAnsi="Times New Roman" w:eastAsia="Times New Roman" w:cs="Times New Roman"/>
          <w:sz w:val="24"/>
          <w:szCs w:val="24"/>
        </w:rPr>
      </w:pPr>
    </w:p>
    <w:p>
      <w:pPr>
        <w:ind w:left="48"/>
        <w:spacing w:before="329" w:line="233" w:lineRule="auto"/>
        <w:outlineLvl w:val="0"/>
        <w:rPr>
          <w:rFonts w:ascii="SimSun" w:hAnsi="SimSun" w:eastAsia="SimSun" w:cs="SimSun"/>
          <w:sz w:val="30"/>
          <w:szCs w:val="30"/>
        </w:rPr>
      </w:pPr>
      <w:bookmarkStart w:name="bookmark2" w:id="2"/>
      <w:bookmarkEnd w:id="2"/>
      <w:bookmarkStart w:name="bookmark3" w:id="3"/>
      <w:bookmarkEnd w:id="3"/>
      <w:r>
        <w:rPr>
          <w:rFonts w:ascii="Times New Roman" w:hAnsi="Times New Roman" w:eastAsia="Times New Roman" w:cs="Times New Roman"/>
          <w:sz w:val="30"/>
          <w:szCs w:val="30"/>
          <w:b/>
          <w:bCs/>
          <w:spacing w:val="-6"/>
        </w:rPr>
        <w:t>1.</w:t>
      </w:r>
      <w:r>
        <w:rPr>
          <w:rFonts w:ascii="SimSun" w:hAnsi="SimSun" w:eastAsia="SimSun" w:cs="SimSun"/>
          <w:sz w:val="30"/>
          <w:szCs w:val="30"/>
          <w:b/>
          <w:bCs/>
          <w:spacing w:val="-6"/>
        </w:rPr>
        <w:t>概述</w:t>
      </w:r>
    </w:p>
    <w:p>
      <w:pPr>
        <w:pStyle w:val="BodyText"/>
        <w:spacing w:line="448" w:lineRule="auto"/>
        <w:rPr/>
      </w:pPr>
      <w:r/>
    </w:p>
    <w:p>
      <w:pPr>
        <w:ind w:left="44"/>
        <w:spacing w:before="78" w:line="233" w:lineRule="auto"/>
        <w:outlineLvl w:val="1"/>
        <w:rPr>
          <w:rFonts w:ascii="SimSun" w:hAnsi="SimSun" w:eastAsia="SimSun" w:cs="SimSun"/>
          <w:sz w:val="24"/>
          <w:szCs w:val="24"/>
        </w:rPr>
      </w:pPr>
      <w:bookmarkStart w:name="bookmark63" w:id="4"/>
      <w:bookmarkEnd w:id="4"/>
      <w:r>
        <w:rPr>
          <w:rFonts w:ascii="Times New Roman" w:hAnsi="Times New Roman" w:eastAsia="Times New Roman" w:cs="Times New Roman"/>
          <w:sz w:val="24"/>
          <w:szCs w:val="24"/>
          <w:b/>
          <w:bCs/>
          <w:spacing w:val="-5"/>
        </w:rPr>
        <w:t>1.1</w:t>
      </w:r>
      <w:r>
        <w:rPr>
          <w:rFonts w:ascii="Times New Roman" w:hAnsi="Times New Roman" w:eastAsia="Times New Roman" w:cs="Times New Roman"/>
          <w:sz w:val="24"/>
          <w:szCs w:val="24"/>
          <w:b/>
          <w:bCs/>
          <w:spacing w:val="13"/>
        </w:rPr>
        <w:t xml:space="preserve"> </w:t>
      </w:r>
      <w:r>
        <w:rPr>
          <w:rFonts w:ascii="SimSun" w:hAnsi="SimSun" w:eastAsia="SimSun" w:cs="SimSun"/>
          <w:sz w:val="24"/>
          <w:szCs w:val="24"/>
          <w:b/>
          <w:bCs/>
          <w:spacing w:val="-5"/>
        </w:rPr>
        <w:t>项目由来</w:t>
      </w:r>
    </w:p>
    <w:p>
      <w:pPr>
        <w:pStyle w:val="BodyText"/>
        <w:spacing w:line="343" w:lineRule="auto"/>
        <w:rPr/>
      </w:pPr>
      <w:r/>
    </w:p>
    <w:p>
      <w:pPr>
        <w:ind w:left="38" w:firstLine="478"/>
        <w:spacing w:before="78" w:line="359" w:lineRule="auto"/>
        <w:jc w:val="both"/>
        <w:rPr>
          <w:rFonts w:ascii="SimSun" w:hAnsi="SimSun" w:eastAsia="SimSun" w:cs="SimSun"/>
          <w:sz w:val="24"/>
          <w:szCs w:val="24"/>
        </w:rPr>
      </w:pPr>
      <w:r>
        <w:rPr>
          <w:rFonts w:ascii="SimSun" w:hAnsi="SimSun" w:eastAsia="SimSun" w:cs="SimSun"/>
          <w:sz w:val="24"/>
          <w:szCs w:val="24"/>
          <w:spacing w:val="2"/>
        </w:rPr>
        <w:t>近年来，锡林浩特市积极转变生产经营方式，创新推广新发展模式机制，加</w:t>
      </w:r>
      <w:r>
        <w:rPr>
          <w:rFonts w:ascii="SimSun" w:hAnsi="SimSun" w:eastAsia="SimSun" w:cs="SimSun"/>
          <w:sz w:val="24"/>
          <w:szCs w:val="24"/>
          <w:spacing w:val="2"/>
        </w:rPr>
        <w:t>快转变生产方式，加快推进畜牧业高质量发展，通过调整畜牧业结构、优化产业</w:t>
      </w:r>
      <w:r>
        <w:rPr>
          <w:rFonts w:ascii="SimSun" w:hAnsi="SimSun" w:eastAsia="SimSun" w:cs="SimSun"/>
          <w:sz w:val="24"/>
          <w:szCs w:val="24"/>
          <w:spacing w:val="2"/>
        </w:rPr>
        <w:t>布局、转变畜牧业发展方式，最大程度实现草原生态功能与生产功能互促，生态</w:t>
      </w:r>
      <w:r>
        <w:rPr>
          <w:rFonts w:ascii="SimSun" w:hAnsi="SimSun" w:eastAsia="SimSun" w:cs="SimSun"/>
          <w:sz w:val="24"/>
          <w:szCs w:val="24"/>
          <w:spacing w:val="1"/>
        </w:rPr>
        <w:t>效益与经济效益双赢，逐步达到生态优先、绿色发展的新模式，</w:t>
      </w:r>
      <w:r>
        <w:rPr>
          <w:rFonts w:ascii="SimSun" w:hAnsi="SimSun" w:eastAsia="SimSun" w:cs="SimSun"/>
          <w:sz w:val="24"/>
          <w:szCs w:val="24"/>
          <w:spacing w:val="-58"/>
        </w:rPr>
        <w:t xml:space="preserve"> </w:t>
      </w:r>
      <w:r>
        <w:rPr>
          <w:rFonts w:ascii="SimSun" w:hAnsi="SimSun" w:eastAsia="SimSun" w:cs="SimSun"/>
          <w:sz w:val="24"/>
          <w:szCs w:val="24"/>
          <w:spacing w:val="1"/>
        </w:rPr>
        <w:t>良种</w:t>
      </w:r>
      <w:r>
        <w:rPr>
          <w:rFonts w:ascii="SimSun" w:hAnsi="SimSun" w:eastAsia="SimSun" w:cs="SimSun"/>
          <w:sz w:val="24"/>
          <w:szCs w:val="24"/>
        </w:rPr>
        <w:t>肉牛育肥一</w:t>
      </w:r>
      <w:r>
        <w:rPr>
          <w:rFonts w:ascii="SimSun" w:hAnsi="SimSun" w:eastAsia="SimSun" w:cs="SimSun"/>
          <w:sz w:val="24"/>
          <w:szCs w:val="24"/>
          <w:spacing w:val="3"/>
        </w:rPr>
        <w:t>直是锡林浩特市乃至锡林郭勒盟畜牧业经济收入的主</w:t>
      </w:r>
      <w:r>
        <w:rPr>
          <w:rFonts w:ascii="SimSun" w:hAnsi="SimSun" w:eastAsia="SimSun" w:cs="SimSun"/>
          <w:sz w:val="24"/>
          <w:szCs w:val="24"/>
          <w:spacing w:val="2"/>
        </w:rPr>
        <w:t>要组成部分，在此种模式下</w:t>
      </w:r>
      <w:r>
        <w:rPr>
          <w:rFonts w:ascii="SimSun" w:hAnsi="SimSun" w:eastAsia="SimSun" w:cs="SimSun"/>
          <w:sz w:val="24"/>
          <w:szCs w:val="24"/>
          <w:spacing w:val="-2"/>
        </w:rPr>
        <w:t>发展的畜牧业，可实现所在地区育肥牛产业链的快速发展，改变落后的</w:t>
      </w:r>
      <w:r>
        <w:rPr>
          <w:rFonts w:ascii="SimSun" w:hAnsi="SimSun" w:eastAsia="SimSun" w:cs="SimSun"/>
          <w:sz w:val="24"/>
          <w:szCs w:val="24"/>
          <w:spacing w:val="-3"/>
        </w:rPr>
        <w:t>饲养方式，</w:t>
      </w:r>
      <w:r>
        <w:rPr>
          <w:rFonts w:ascii="SimSun" w:hAnsi="SimSun" w:eastAsia="SimSun" w:cs="SimSun"/>
          <w:sz w:val="24"/>
          <w:szCs w:val="24"/>
          <w:spacing w:val="-2"/>
        </w:rPr>
        <w:t>提高规模效益，促进锡林浩特市及锡林郭勒盟肉牛育肥产业的发展。</w:t>
      </w:r>
    </w:p>
    <w:p>
      <w:pPr>
        <w:ind w:left="38" w:firstLine="478"/>
        <w:spacing w:before="1" w:line="356" w:lineRule="auto"/>
        <w:jc w:val="both"/>
        <w:rPr>
          <w:rFonts w:ascii="SimSun" w:hAnsi="SimSun" w:eastAsia="SimSun" w:cs="SimSun"/>
          <w:sz w:val="24"/>
          <w:szCs w:val="24"/>
        </w:rPr>
      </w:pPr>
      <w:r>
        <w:rPr>
          <w:rFonts w:ascii="SimSun" w:hAnsi="SimSun" w:eastAsia="SimSun" w:cs="SimSun"/>
          <w:sz w:val="24"/>
          <w:szCs w:val="24"/>
          <w:spacing w:val="3"/>
        </w:rPr>
        <w:t>在此背景下，锡林郭勒盟牧林农机服务有限责任公司拟在锡林</w:t>
      </w:r>
      <w:r>
        <w:rPr>
          <w:rFonts w:ascii="SimSun" w:hAnsi="SimSun" w:eastAsia="SimSun" w:cs="SimSun"/>
          <w:sz w:val="24"/>
          <w:szCs w:val="24"/>
          <w:spacing w:val="2"/>
        </w:rPr>
        <w:t>郭勒盟锡林浩</w:t>
      </w:r>
      <w:r>
        <w:rPr>
          <w:rFonts w:ascii="SimSun" w:hAnsi="SimSun" w:eastAsia="SimSun" w:cs="SimSun"/>
          <w:sz w:val="24"/>
          <w:szCs w:val="24"/>
          <w:spacing w:val="7"/>
        </w:rPr>
        <w:t>特市额尔顿街道办事处新兴社区沃源奶牛场</w:t>
      </w:r>
      <w:r>
        <w:rPr>
          <w:rFonts w:ascii="SimSun" w:hAnsi="SimSun" w:eastAsia="SimSun" w:cs="SimSun"/>
          <w:sz w:val="24"/>
          <w:szCs w:val="24"/>
          <w:spacing w:val="6"/>
        </w:rPr>
        <w:t>投资建设</w:t>
      </w:r>
      <w:r>
        <w:rPr>
          <w:rFonts w:ascii="Times New Roman" w:hAnsi="Times New Roman" w:eastAsia="Times New Roman" w:cs="Times New Roman"/>
          <w:sz w:val="24"/>
          <w:szCs w:val="24"/>
          <w:spacing w:val="6"/>
        </w:rPr>
        <w:t>“</w:t>
      </w:r>
      <w:r>
        <w:rPr>
          <w:rFonts w:ascii="SimSun" w:hAnsi="SimSun" w:eastAsia="SimSun" w:cs="SimSun"/>
          <w:sz w:val="24"/>
          <w:szCs w:val="24"/>
          <w:spacing w:val="6"/>
        </w:rPr>
        <w:t>锡林郭勒盟牧林农机服务</w:t>
      </w:r>
      <w:r>
        <w:rPr>
          <w:rFonts w:ascii="SimSun" w:hAnsi="SimSun" w:eastAsia="SimSun" w:cs="SimSun"/>
          <w:sz w:val="24"/>
          <w:szCs w:val="24"/>
          <w:spacing w:val="-1"/>
        </w:rPr>
        <w:t>有限责任公司肉牛育肥养殖基地建设项目</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，项目拟</w:t>
      </w:r>
      <w:r>
        <w:rPr>
          <w:rFonts w:ascii="SimSun" w:hAnsi="SimSun" w:eastAsia="SimSun" w:cs="SimSun"/>
          <w:sz w:val="24"/>
          <w:szCs w:val="24"/>
          <w:spacing w:val="-2"/>
        </w:rPr>
        <w:t>建育肥牛舍</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3 </w:t>
      </w:r>
      <w:r>
        <w:rPr>
          <w:rFonts w:ascii="SimSun" w:hAnsi="SimSun" w:eastAsia="SimSun" w:cs="SimSun"/>
          <w:sz w:val="24"/>
          <w:szCs w:val="24"/>
          <w:spacing w:val="-2"/>
        </w:rPr>
        <w:t>栋，单栋建筑面</w:t>
      </w:r>
      <w:r>
        <w:rPr>
          <w:rFonts w:ascii="SimSun" w:hAnsi="SimSun" w:eastAsia="SimSun" w:cs="SimSun"/>
          <w:sz w:val="24"/>
          <w:szCs w:val="24"/>
          <w:spacing w:val="-4"/>
        </w:rPr>
        <w:t>积 </w:t>
      </w:r>
      <w:r>
        <w:rPr>
          <w:rFonts w:ascii="Times New Roman" w:hAnsi="Times New Roman" w:eastAsia="Times New Roman" w:cs="Times New Roman"/>
          <w:sz w:val="24"/>
          <w:szCs w:val="24"/>
          <w:spacing w:val="-4"/>
        </w:rPr>
        <w:t>2000m</w:t>
      </w:r>
      <w:r>
        <w:rPr>
          <w:rFonts w:ascii="Times New Roman" w:hAnsi="Times New Roman" w:eastAsia="Times New Roman" w:cs="Times New Roman"/>
          <w:sz w:val="16"/>
          <w:szCs w:val="16"/>
          <w:spacing w:val="-4"/>
          <w:position w:val="10"/>
        </w:rPr>
        <w:t>2</w:t>
      </w:r>
      <w:r>
        <w:rPr>
          <w:rFonts w:ascii="SimSun" w:hAnsi="SimSun" w:eastAsia="SimSun" w:cs="SimSun"/>
          <w:sz w:val="24"/>
          <w:szCs w:val="24"/>
          <w:spacing w:val="-4"/>
        </w:rPr>
        <w:t>；拟建饲草料库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61"/>
        </w:rPr>
        <w:t xml:space="preserve"> </w:t>
      </w:r>
      <w:r>
        <w:rPr>
          <w:rFonts w:ascii="SimSun" w:hAnsi="SimSun" w:eastAsia="SimSun" w:cs="SimSun"/>
          <w:sz w:val="24"/>
          <w:szCs w:val="24"/>
          <w:spacing w:val="-4"/>
        </w:rPr>
        <w:t>座，其中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42"/>
          <w:w w:val="101"/>
        </w:rPr>
        <w:t xml:space="preserve"> </w:t>
      </w:r>
      <w:r>
        <w:rPr>
          <w:rFonts w:ascii="SimSun" w:hAnsi="SimSun" w:eastAsia="SimSun" w:cs="SimSun"/>
          <w:sz w:val="24"/>
          <w:szCs w:val="24"/>
          <w:spacing w:val="-4"/>
        </w:rPr>
        <w:t>栋建筑面积为</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4"/>
        </w:rPr>
        <w:t>2000m</w:t>
      </w:r>
      <w:r>
        <w:rPr>
          <w:rFonts w:ascii="Times New Roman" w:hAnsi="Times New Roman" w:eastAsia="Times New Roman" w:cs="Times New Roman"/>
          <w:sz w:val="16"/>
          <w:szCs w:val="16"/>
          <w:spacing w:val="-4"/>
          <w:position w:val="10"/>
        </w:rPr>
        <w:t>2</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43"/>
        </w:rPr>
        <w:t xml:space="preserve"> </w:t>
      </w:r>
      <w:r>
        <w:rPr>
          <w:rFonts w:ascii="SimSun" w:hAnsi="SimSun" w:eastAsia="SimSun" w:cs="SimSun"/>
          <w:sz w:val="24"/>
          <w:szCs w:val="24"/>
          <w:spacing w:val="-4"/>
        </w:rPr>
        <w:t>栋建筑面积为</w:t>
      </w:r>
      <w:r>
        <w:rPr>
          <w:rFonts w:ascii="Times New Roman" w:hAnsi="Times New Roman" w:eastAsia="Times New Roman" w:cs="Times New Roman"/>
          <w:sz w:val="24"/>
          <w:szCs w:val="24"/>
          <w:spacing w:val="-6"/>
        </w:rPr>
        <w:t>3000m</w:t>
      </w:r>
      <w:r>
        <w:rPr>
          <w:rFonts w:ascii="Times New Roman" w:hAnsi="Times New Roman" w:eastAsia="Times New Roman" w:cs="Times New Roman"/>
          <w:sz w:val="16"/>
          <w:szCs w:val="16"/>
          <w:spacing w:val="-6"/>
          <w:position w:val="10"/>
        </w:rPr>
        <w:t>2</w:t>
      </w:r>
      <w:r>
        <w:rPr>
          <w:rFonts w:ascii="Times New Roman" w:hAnsi="Times New Roman" w:eastAsia="Times New Roman" w:cs="Times New Roman"/>
          <w:sz w:val="16"/>
          <w:szCs w:val="16"/>
          <w:spacing w:val="-8"/>
          <w:position w:val="10"/>
        </w:rPr>
        <w:t xml:space="preserve"> </w:t>
      </w:r>
      <w:r>
        <w:rPr>
          <w:rFonts w:ascii="SimSun" w:hAnsi="SimSun" w:eastAsia="SimSun" w:cs="SimSun"/>
          <w:sz w:val="24"/>
          <w:szCs w:val="24"/>
          <w:spacing w:val="-6"/>
        </w:rPr>
        <w:t>，共计</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6"/>
        </w:rPr>
        <w:t>7000 m</w:t>
      </w:r>
      <w:r>
        <w:rPr>
          <w:rFonts w:ascii="Times New Roman" w:hAnsi="Times New Roman" w:eastAsia="Times New Roman" w:cs="Times New Roman"/>
          <w:sz w:val="16"/>
          <w:szCs w:val="16"/>
          <w:spacing w:val="-6"/>
          <w:position w:val="10"/>
        </w:rPr>
        <w:t>2</w:t>
      </w:r>
      <w:r>
        <w:rPr>
          <w:rFonts w:ascii="Times New Roman" w:hAnsi="Times New Roman" w:eastAsia="Times New Roman" w:cs="Times New Roman"/>
          <w:sz w:val="16"/>
          <w:szCs w:val="16"/>
          <w:spacing w:val="-11"/>
          <w:position w:val="10"/>
        </w:rPr>
        <w:t xml:space="preserve"> </w:t>
      </w:r>
      <w:r>
        <w:rPr>
          <w:rFonts w:ascii="SimSun" w:hAnsi="SimSun" w:eastAsia="SimSun" w:cs="SimSun"/>
          <w:sz w:val="24"/>
          <w:szCs w:val="24"/>
          <w:spacing w:val="-6"/>
        </w:rPr>
        <w:t>；拟建机械库</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6"/>
        </w:rPr>
        <w:t>1 </w:t>
      </w:r>
      <w:r>
        <w:rPr>
          <w:rFonts w:ascii="SimSun" w:hAnsi="SimSun" w:eastAsia="SimSun" w:cs="SimSun"/>
          <w:sz w:val="24"/>
          <w:szCs w:val="24"/>
          <w:spacing w:val="-6"/>
        </w:rPr>
        <w:t>座，建筑面积为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1000m</w:t>
      </w:r>
      <w:r>
        <w:rPr>
          <w:rFonts w:ascii="Times New Roman" w:hAnsi="Times New Roman" w:eastAsia="Times New Roman" w:cs="Times New Roman"/>
          <w:sz w:val="16"/>
          <w:szCs w:val="16"/>
          <w:spacing w:val="-6"/>
          <w:position w:val="10"/>
        </w:rPr>
        <w:t>2</w:t>
      </w:r>
      <w:r>
        <w:rPr>
          <w:rFonts w:ascii="Times New Roman" w:hAnsi="Times New Roman" w:eastAsia="Times New Roman" w:cs="Times New Roman"/>
          <w:sz w:val="16"/>
          <w:szCs w:val="16"/>
          <w:spacing w:val="-9"/>
          <w:position w:val="10"/>
        </w:rPr>
        <w:t xml:space="preserve"> </w:t>
      </w:r>
      <w:r>
        <w:rPr>
          <w:rFonts w:ascii="SimSun" w:hAnsi="SimSun" w:eastAsia="SimSun" w:cs="SimSun"/>
          <w:sz w:val="24"/>
          <w:szCs w:val="24"/>
          <w:spacing w:val="-6"/>
        </w:rPr>
        <w:t>；拟建储粪库</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 </w:t>
      </w:r>
      <w:r>
        <w:rPr>
          <w:rFonts w:ascii="SimSun" w:hAnsi="SimSun" w:eastAsia="SimSun" w:cs="SimSun"/>
          <w:sz w:val="24"/>
          <w:szCs w:val="24"/>
          <w:spacing w:val="-6"/>
        </w:rPr>
        <w:t>座，</w:t>
      </w:r>
      <w:r>
        <w:rPr>
          <w:rFonts w:ascii="SimSun" w:hAnsi="SimSun" w:eastAsia="SimSun" w:cs="SimSun"/>
          <w:sz w:val="24"/>
          <w:szCs w:val="24"/>
          <w:spacing w:val="-5"/>
        </w:rPr>
        <w:t>建筑面积</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5"/>
        </w:rPr>
        <w:t>300m</w:t>
      </w:r>
      <w:r>
        <w:rPr>
          <w:rFonts w:ascii="Times New Roman" w:hAnsi="Times New Roman" w:eastAsia="Times New Roman" w:cs="Times New Roman"/>
          <w:sz w:val="16"/>
          <w:szCs w:val="16"/>
          <w:spacing w:val="-5"/>
          <w:position w:val="10"/>
        </w:rPr>
        <w:t>2</w:t>
      </w:r>
      <w:r>
        <w:rPr>
          <w:rFonts w:ascii="Times New Roman" w:hAnsi="Times New Roman" w:eastAsia="Times New Roman" w:cs="Times New Roman"/>
          <w:sz w:val="16"/>
          <w:szCs w:val="16"/>
          <w:spacing w:val="-9"/>
          <w:position w:val="10"/>
        </w:rPr>
        <w:t xml:space="preserve"> </w:t>
      </w:r>
      <w:r>
        <w:rPr>
          <w:rFonts w:ascii="SimSun" w:hAnsi="SimSun" w:eastAsia="SimSun" w:cs="SimSun"/>
          <w:sz w:val="24"/>
          <w:szCs w:val="24"/>
          <w:spacing w:val="-5"/>
        </w:rPr>
        <w:t>；青储窖</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座，建筑面积为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5"/>
        </w:rPr>
        <w:t>500m</w:t>
      </w:r>
      <w:r>
        <w:rPr>
          <w:rFonts w:ascii="Times New Roman" w:hAnsi="Times New Roman" w:eastAsia="Times New Roman" w:cs="Times New Roman"/>
          <w:sz w:val="16"/>
          <w:szCs w:val="16"/>
          <w:spacing w:val="-5"/>
          <w:position w:val="10"/>
        </w:rPr>
        <w:t>2</w:t>
      </w:r>
      <w:r>
        <w:rPr>
          <w:rFonts w:ascii="Times New Roman" w:hAnsi="Times New Roman" w:eastAsia="Times New Roman" w:cs="Times New Roman"/>
          <w:sz w:val="16"/>
          <w:szCs w:val="16"/>
          <w:spacing w:val="-8"/>
          <w:position w:val="10"/>
        </w:rPr>
        <w:t xml:space="preserve"> </w:t>
      </w:r>
      <w:r>
        <w:rPr>
          <w:rFonts w:ascii="SimSun" w:hAnsi="SimSun" w:eastAsia="SimSun" w:cs="SimSun"/>
          <w:sz w:val="24"/>
          <w:szCs w:val="24"/>
          <w:spacing w:val="-5"/>
        </w:rPr>
        <w:t>；办公室、食堂、宿舍等生活区</w:t>
      </w:r>
      <w:r>
        <w:rPr>
          <w:rFonts w:ascii="SimSun" w:hAnsi="SimSun" w:eastAsia="SimSun" w:cs="SimSun"/>
          <w:sz w:val="24"/>
          <w:szCs w:val="24"/>
          <w:spacing w:val="-2"/>
        </w:rPr>
        <w:t>建筑面积</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800m</w:t>
      </w:r>
      <w:r>
        <w:rPr>
          <w:rFonts w:ascii="Times New Roman" w:hAnsi="Times New Roman" w:eastAsia="Times New Roman" w:cs="Times New Roman"/>
          <w:sz w:val="16"/>
          <w:szCs w:val="16"/>
          <w:spacing w:val="-2"/>
          <w:position w:val="10"/>
        </w:rPr>
        <w:t>2</w:t>
      </w:r>
      <w:r>
        <w:rPr>
          <w:rFonts w:ascii="Times New Roman" w:hAnsi="Times New Roman" w:eastAsia="Times New Roman" w:cs="Times New Roman"/>
          <w:sz w:val="16"/>
          <w:szCs w:val="16"/>
          <w:spacing w:val="-9"/>
          <w:position w:val="10"/>
        </w:rPr>
        <w:t xml:space="preserve"> </w:t>
      </w:r>
      <w:r>
        <w:rPr>
          <w:rFonts w:ascii="SimSun" w:hAnsi="SimSun" w:eastAsia="SimSun" w:cs="SimSun"/>
          <w:sz w:val="24"/>
          <w:szCs w:val="24"/>
          <w:spacing w:val="-2"/>
        </w:rPr>
        <w:t>，门卫房建筑面积</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2"/>
        </w:rPr>
        <w:t>24m</w:t>
      </w:r>
      <w:r>
        <w:rPr>
          <w:rFonts w:ascii="Times New Roman" w:hAnsi="Times New Roman" w:eastAsia="Times New Roman" w:cs="Times New Roman"/>
          <w:sz w:val="16"/>
          <w:szCs w:val="16"/>
          <w:spacing w:val="-2"/>
          <w:position w:val="10"/>
        </w:rPr>
        <w:t>2</w:t>
      </w:r>
      <w:r>
        <w:rPr>
          <w:rFonts w:ascii="SimSun" w:hAnsi="SimSun" w:eastAsia="SimSun" w:cs="SimSun"/>
          <w:sz w:val="24"/>
          <w:szCs w:val="24"/>
          <w:spacing w:val="-2"/>
        </w:rPr>
        <w:t>。项目计划总投资约</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330</w:t>
      </w:r>
      <w:r>
        <w:rPr>
          <w:rFonts w:ascii="Times New Roman" w:hAnsi="Times New Roman" w:eastAsia="Times New Roman" w:cs="Times New Roman"/>
          <w:sz w:val="24"/>
          <w:szCs w:val="24"/>
          <w:spacing w:val="27"/>
          <w:w w:val="101"/>
        </w:rPr>
        <w:t xml:space="preserve"> </w:t>
      </w:r>
      <w:r>
        <w:rPr>
          <w:rFonts w:ascii="SimSun" w:hAnsi="SimSun" w:eastAsia="SimSun" w:cs="SimSun"/>
          <w:sz w:val="24"/>
          <w:szCs w:val="24"/>
          <w:spacing w:val="-2"/>
        </w:rPr>
        <w:t>万元，项</w:t>
      </w:r>
      <w:r>
        <w:rPr>
          <w:rFonts w:ascii="SimSun" w:hAnsi="SimSun" w:eastAsia="SimSun" w:cs="SimSun"/>
          <w:sz w:val="24"/>
          <w:szCs w:val="24"/>
          <w:spacing w:val="-3"/>
        </w:rPr>
        <w:t>目育肥</w:t>
      </w:r>
      <w:r>
        <w:rPr>
          <w:rFonts w:ascii="SimSun" w:hAnsi="SimSun" w:eastAsia="SimSun" w:cs="SimSun"/>
          <w:sz w:val="24"/>
          <w:szCs w:val="24"/>
          <w:spacing w:val="-2"/>
        </w:rPr>
        <w:t>牛全部来源于外购，从购入到出栏平均需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36"/>
        </w:rPr>
        <w:t xml:space="preserve"> </w:t>
      </w:r>
      <w:r>
        <w:rPr>
          <w:rFonts w:ascii="SimSun" w:hAnsi="SimSun" w:eastAsia="SimSun" w:cs="SimSun"/>
          <w:sz w:val="24"/>
          <w:szCs w:val="24"/>
          <w:spacing w:val="-2"/>
        </w:rPr>
        <w:t>个月，每年平均出栏</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42"/>
          <w:w w:val="101"/>
        </w:rPr>
        <w:t xml:space="preserve"> </w:t>
      </w:r>
      <w:r>
        <w:rPr>
          <w:rFonts w:ascii="SimSun" w:hAnsi="SimSun" w:eastAsia="SimSun" w:cs="SimSun"/>
          <w:sz w:val="24"/>
          <w:szCs w:val="24"/>
          <w:spacing w:val="-2"/>
        </w:rPr>
        <w:t>次，年存</w:t>
      </w:r>
      <w:r>
        <w:rPr>
          <w:rFonts w:ascii="SimSun" w:hAnsi="SimSun" w:eastAsia="SimSun" w:cs="SimSun"/>
          <w:sz w:val="24"/>
          <w:szCs w:val="24"/>
          <w:spacing w:val="-3"/>
        </w:rPr>
        <w:t>栏育</w:t>
      </w:r>
      <w:r>
        <w:rPr>
          <w:rFonts w:ascii="SimSun" w:hAnsi="SimSun" w:eastAsia="SimSun" w:cs="SimSun"/>
          <w:sz w:val="24"/>
          <w:szCs w:val="24"/>
          <w:spacing w:val="-3"/>
        </w:rPr>
        <w:t>肥牛</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3"/>
        </w:rPr>
        <w:t>600 </w:t>
      </w:r>
      <w:r>
        <w:rPr>
          <w:rFonts w:ascii="SimSun" w:hAnsi="SimSun" w:eastAsia="SimSun" w:cs="SimSun"/>
          <w:sz w:val="24"/>
          <w:szCs w:val="24"/>
          <w:spacing w:val="-3"/>
        </w:rPr>
        <w:t>头，年出栏育肥牛</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1200 </w:t>
      </w:r>
      <w:r>
        <w:rPr>
          <w:rFonts w:ascii="SimSun" w:hAnsi="SimSun" w:eastAsia="SimSun" w:cs="SimSun"/>
          <w:sz w:val="24"/>
          <w:szCs w:val="24"/>
          <w:spacing w:val="-3"/>
        </w:rPr>
        <w:t>头。该场不涉及种牛繁育。</w:t>
      </w:r>
    </w:p>
    <w:p>
      <w:pPr>
        <w:ind w:left="44"/>
        <w:spacing w:before="270" w:line="233" w:lineRule="auto"/>
        <w:outlineLvl w:val="1"/>
        <w:rPr>
          <w:rFonts w:ascii="SimSun" w:hAnsi="SimSun" w:eastAsia="SimSun" w:cs="SimSun"/>
          <w:sz w:val="24"/>
          <w:szCs w:val="24"/>
        </w:rPr>
      </w:pPr>
      <w:bookmarkStart w:name="bookmark4" w:id="5"/>
      <w:bookmarkEnd w:id="5"/>
      <w:r>
        <w:rPr>
          <w:rFonts w:ascii="Times New Roman" w:hAnsi="Times New Roman" w:eastAsia="Times New Roman" w:cs="Times New Roman"/>
          <w:sz w:val="24"/>
          <w:szCs w:val="24"/>
          <w:b/>
          <w:bCs/>
          <w:spacing w:val="-3"/>
        </w:rPr>
        <w:t>1.2 </w:t>
      </w:r>
      <w:r>
        <w:rPr>
          <w:rFonts w:ascii="SimSun" w:hAnsi="SimSun" w:eastAsia="SimSun" w:cs="SimSun"/>
          <w:sz w:val="24"/>
          <w:szCs w:val="24"/>
          <w:b/>
          <w:bCs/>
          <w:spacing w:val="-3"/>
        </w:rPr>
        <w:t>项目主要特点</w:t>
      </w:r>
    </w:p>
    <w:p>
      <w:pPr>
        <w:pStyle w:val="BodyText"/>
        <w:spacing w:line="342" w:lineRule="auto"/>
        <w:rPr/>
      </w:pPr>
      <w:r/>
    </w:p>
    <w:p>
      <w:pPr>
        <w:ind w:left="38" w:right="172" w:firstLine="480"/>
        <w:spacing w:before="78" w:line="359" w:lineRule="auto"/>
        <w:jc w:val="both"/>
        <w:rPr>
          <w:rFonts w:ascii="SimSun" w:hAnsi="SimSun" w:eastAsia="SimSun" w:cs="SimSun"/>
          <w:sz w:val="24"/>
          <w:szCs w:val="24"/>
        </w:rPr>
      </w:pPr>
      <w:r>
        <w:rPr>
          <w:rFonts w:ascii="SimSun" w:hAnsi="SimSun" w:eastAsia="SimSun" w:cs="SimSun"/>
          <w:sz w:val="24"/>
          <w:szCs w:val="24"/>
          <w:spacing w:val="-1"/>
        </w:rPr>
        <w:t>本项目属于养殖行业，项目建成后产生的“三废</w:t>
      </w:r>
      <w:r>
        <w:rPr>
          <w:rFonts w:ascii="SimSun" w:hAnsi="SimSun" w:eastAsia="SimSun" w:cs="SimSun"/>
          <w:sz w:val="24"/>
          <w:szCs w:val="24"/>
          <w:spacing w:val="-88"/>
        </w:rPr>
        <w:t xml:space="preserve"> </w:t>
      </w:r>
      <w:r>
        <w:rPr>
          <w:rFonts w:ascii="SimSun" w:hAnsi="SimSun" w:eastAsia="SimSun" w:cs="SimSun"/>
          <w:sz w:val="24"/>
          <w:szCs w:val="24"/>
          <w:spacing w:val="-1"/>
        </w:rPr>
        <w:t>”排放</w:t>
      </w:r>
      <w:r>
        <w:rPr>
          <w:rFonts w:ascii="SimSun" w:hAnsi="SimSun" w:eastAsia="SimSun" w:cs="SimSun"/>
          <w:sz w:val="24"/>
          <w:szCs w:val="24"/>
          <w:spacing w:val="-2"/>
        </w:rPr>
        <w:t>主要为养殖过程产生</w:t>
      </w:r>
      <w:r>
        <w:rPr>
          <w:rFonts w:ascii="SimSun" w:hAnsi="SimSun" w:eastAsia="SimSun" w:cs="SimSun"/>
          <w:sz w:val="24"/>
          <w:szCs w:val="24"/>
        </w:rPr>
        <w:t>的废水、恶臭气体等，本次评价根据项目产排污特点，有</w:t>
      </w:r>
      <w:r>
        <w:rPr>
          <w:rFonts w:ascii="SimSun" w:hAnsi="SimSun" w:eastAsia="SimSun" w:cs="SimSun"/>
          <w:sz w:val="24"/>
          <w:szCs w:val="24"/>
          <w:spacing w:val="-1"/>
        </w:rPr>
        <w:t>针对性地提出各种污染</w:t>
      </w:r>
      <w:r>
        <w:rPr>
          <w:rFonts w:ascii="SimSun" w:hAnsi="SimSun" w:eastAsia="SimSun" w:cs="SimSun"/>
          <w:sz w:val="24"/>
          <w:szCs w:val="24"/>
        </w:rPr>
        <w:t>防治措施，不加重区域环境的污染程度。项目运营后主要</w:t>
      </w:r>
      <w:r>
        <w:rPr>
          <w:rFonts w:ascii="SimSun" w:hAnsi="SimSun" w:eastAsia="SimSun" w:cs="SimSun"/>
          <w:sz w:val="24"/>
          <w:szCs w:val="24"/>
          <w:spacing w:val="-1"/>
        </w:rPr>
        <w:t>污染情况包括：恶臭气</w:t>
      </w:r>
      <w:r>
        <w:rPr>
          <w:rFonts w:ascii="SimSun" w:hAnsi="SimSun" w:eastAsia="SimSun" w:cs="SimSun"/>
          <w:sz w:val="24"/>
          <w:szCs w:val="24"/>
        </w:rPr>
        <w:t>体、食堂油烟；牛尿及生活污水；设备产生的噪声；防疫</w:t>
      </w:r>
      <w:r>
        <w:rPr>
          <w:rFonts w:ascii="SimSun" w:hAnsi="SimSun" w:eastAsia="SimSun" w:cs="SimSun"/>
          <w:sz w:val="24"/>
          <w:szCs w:val="24"/>
          <w:spacing w:val="-1"/>
        </w:rPr>
        <w:t>废物、病死牛、餐厨垃</w:t>
      </w:r>
      <w:r>
        <w:rPr>
          <w:rFonts w:ascii="SimSun" w:hAnsi="SimSun" w:eastAsia="SimSun" w:cs="SimSun"/>
          <w:sz w:val="24"/>
          <w:szCs w:val="24"/>
        </w:rPr>
        <w:t>圾、消毒剂废包装袋及废垫料等。项目主要影响为恶臭气</w:t>
      </w:r>
      <w:r>
        <w:rPr>
          <w:rFonts w:ascii="SimSun" w:hAnsi="SimSun" w:eastAsia="SimSun" w:cs="SimSun"/>
          <w:sz w:val="24"/>
          <w:szCs w:val="24"/>
          <w:spacing w:val="-1"/>
        </w:rPr>
        <w:t>体对周围环境空气的影</w:t>
      </w:r>
      <w:r>
        <w:rPr>
          <w:rFonts w:ascii="SimSun" w:hAnsi="SimSun" w:eastAsia="SimSun" w:cs="SimSun"/>
          <w:sz w:val="24"/>
          <w:szCs w:val="24"/>
          <w:spacing w:val="-2"/>
        </w:rPr>
        <w:t>响，牛尿及生活污水对地表水、地下水及土壤环境的影响。</w:t>
      </w:r>
    </w:p>
    <w:p>
      <w:pPr>
        <w:ind w:left="521"/>
        <w:spacing w:before="1" w:line="218" w:lineRule="auto"/>
        <w:rPr>
          <w:rFonts w:ascii="SimSun" w:hAnsi="SimSun" w:eastAsia="SimSun" w:cs="SimSun"/>
          <w:sz w:val="24"/>
          <w:szCs w:val="24"/>
        </w:rPr>
      </w:pPr>
      <w:r>
        <w:pict>
          <v:shape id="_x0000_s4" style="position:absolute;margin-left:1.68601pt;margin-top:28.0739pt;mso-position-vertical-relative:text;mso-position-horizontal-relative:text;width:425.7pt;height:0.6pt;z-index:251658240;" filled="false" strokecolor="#808080" strokeweight="0.50pt" coordsize="8514,12" coordorigin="0,0" path="m5,5l8508,6e">
            <v:stroke endcap="round" miterlimit="10"/>
          </v:shape>
        </w:pict>
      </w:r>
      <w:r>
        <w:rPr>
          <w:rFonts w:ascii="SimSun" w:hAnsi="SimSun" w:eastAsia="SimSun" w:cs="SimSun"/>
          <w:sz w:val="24"/>
          <w:szCs w:val="24"/>
          <w:spacing w:val="2"/>
        </w:rPr>
        <w:t>项目的建设能够为市场提供优质肉牛，满足群众需求，同时项目采用先进的</w:t>
      </w:r>
    </w:p>
    <w:p>
      <w:pPr>
        <w:spacing w:line="218" w:lineRule="auto"/>
        <w:sectPr>
          <w:headerReference w:type="default" r:id="rId3"/>
          <w:footerReference w:type="default" r:id="rId4"/>
          <w:pgSz w:w="11907" w:h="16839"/>
          <w:pgMar w:top="1422" w:right="1630" w:bottom="1618" w:left="1673" w:header="1033" w:footer="1415" w:gutter="0"/>
        </w:sectPr>
        <w:rPr>
          <w:rFonts w:ascii="SimSun" w:hAnsi="SimSun" w:eastAsia="SimSun" w:cs="SimSun"/>
          <w:sz w:val="24"/>
          <w:szCs w:val="24"/>
        </w:rPr>
      </w:pPr>
    </w:p>
    <w:p>
      <w:pPr>
        <w:ind w:left="39"/>
        <w:spacing w:before="312" w:line="220" w:lineRule="auto"/>
        <w:rPr>
          <w:rFonts w:ascii="SimSun" w:hAnsi="SimSun" w:eastAsia="SimSun" w:cs="SimSun"/>
          <w:sz w:val="24"/>
          <w:szCs w:val="24"/>
        </w:rPr>
      </w:pPr>
      <w:r>
        <w:rPr>
          <w:rFonts w:ascii="SimSun" w:hAnsi="SimSun" w:eastAsia="SimSun" w:cs="SimSun"/>
          <w:sz w:val="24"/>
          <w:szCs w:val="24"/>
          <w:spacing w:val="-3"/>
        </w:rPr>
        <w:t>养殖工艺，污染物能够达标排放。</w:t>
      </w:r>
    </w:p>
    <w:p>
      <w:pPr>
        <w:pStyle w:val="BodyText"/>
        <w:spacing w:line="361" w:lineRule="auto"/>
        <w:rPr/>
      </w:pPr>
      <w:r/>
    </w:p>
    <w:p>
      <w:pPr>
        <w:ind w:left="44"/>
        <w:spacing w:before="78" w:line="232" w:lineRule="auto"/>
        <w:outlineLvl w:val="1"/>
        <w:rPr>
          <w:rFonts w:ascii="SimSun" w:hAnsi="SimSun" w:eastAsia="SimSun" w:cs="SimSun"/>
          <w:sz w:val="24"/>
          <w:szCs w:val="24"/>
        </w:rPr>
      </w:pPr>
      <w:bookmarkStart w:name="bookmark5" w:id="6"/>
      <w:bookmarkEnd w:id="6"/>
      <w:r>
        <w:rPr>
          <w:rFonts w:ascii="Times New Roman" w:hAnsi="Times New Roman" w:eastAsia="Times New Roman" w:cs="Times New Roman"/>
          <w:sz w:val="24"/>
          <w:szCs w:val="24"/>
          <w:b/>
          <w:bCs/>
          <w:spacing w:val="-3"/>
        </w:rPr>
        <w:t>1.3 </w:t>
      </w:r>
      <w:r>
        <w:rPr>
          <w:rFonts w:ascii="SimSun" w:hAnsi="SimSun" w:eastAsia="SimSun" w:cs="SimSun"/>
          <w:sz w:val="24"/>
          <w:szCs w:val="24"/>
          <w:b/>
          <w:bCs/>
          <w:spacing w:val="-3"/>
        </w:rPr>
        <w:t>环境影响评价工作过程</w:t>
      </w:r>
    </w:p>
    <w:p>
      <w:pPr>
        <w:pStyle w:val="BodyText"/>
        <w:spacing w:line="344" w:lineRule="auto"/>
        <w:rPr/>
      </w:pPr>
      <w:r/>
    </w:p>
    <w:p>
      <w:pPr>
        <w:ind w:left="21" w:right="64" w:firstLine="496"/>
        <w:spacing w:before="78" w:line="358" w:lineRule="auto"/>
        <w:jc w:val="both"/>
        <w:rPr>
          <w:rFonts w:ascii="SimSun" w:hAnsi="SimSun" w:eastAsia="SimSun" w:cs="SimSun"/>
          <w:sz w:val="24"/>
          <w:szCs w:val="24"/>
        </w:rPr>
      </w:pPr>
      <w:r>
        <w:rPr>
          <w:rFonts w:ascii="SimSun" w:hAnsi="SimSun" w:eastAsia="SimSun" w:cs="SimSun"/>
          <w:sz w:val="24"/>
          <w:szCs w:val="24"/>
          <w:spacing w:val="3"/>
        </w:rPr>
        <w:t>根据《建设项目环境影响评价分类管理名录》，本项目属</w:t>
      </w:r>
      <w:r>
        <w:rPr>
          <w:rFonts w:ascii="SimSun" w:hAnsi="SimSun" w:eastAsia="SimSun" w:cs="SimSun"/>
          <w:sz w:val="24"/>
          <w:szCs w:val="24"/>
          <w:spacing w:val="2"/>
        </w:rPr>
        <w:t>于分类管理名录里</w:t>
      </w:r>
      <w:r>
        <w:rPr>
          <w:rFonts w:ascii="SimSun" w:hAnsi="SimSun" w:eastAsia="SimSun" w:cs="SimSun"/>
          <w:sz w:val="24"/>
          <w:szCs w:val="24"/>
          <w:spacing w:val="-2"/>
        </w:rPr>
        <w:t>“二、畜牧业，</w:t>
      </w:r>
      <w:r>
        <w:rPr>
          <w:rFonts w:ascii="Times New Roman" w:hAnsi="Times New Roman" w:eastAsia="Times New Roman" w:cs="Times New Roman"/>
          <w:sz w:val="24"/>
          <w:szCs w:val="24"/>
          <w:spacing w:val="-2"/>
        </w:rPr>
        <w:t>03</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2"/>
        </w:rPr>
        <w:t>、牲畜饲养</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031</w:t>
      </w:r>
      <w:r>
        <w:rPr>
          <w:rFonts w:ascii="SimSun" w:hAnsi="SimSun" w:eastAsia="SimSun" w:cs="SimSun"/>
          <w:sz w:val="24"/>
          <w:szCs w:val="24"/>
          <w:spacing w:val="-2"/>
        </w:rPr>
        <w:t>，年出栏生猪</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2"/>
        </w:rPr>
        <w:t>5000</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头（其他畜禽种类折合猪的</w:t>
      </w:r>
      <w:r>
        <w:rPr>
          <w:rFonts w:ascii="SimSun" w:hAnsi="SimSun" w:eastAsia="SimSun" w:cs="SimSun"/>
          <w:sz w:val="24"/>
          <w:szCs w:val="24"/>
          <w:spacing w:val="-1"/>
        </w:rPr>
        <w:t>养殖规模）及以上的规模化畜禽养殖”</w:t>
      </w:r>
      <w:r>
        <w:rPr>
          <w:rFonts w:ascii="SimSun" w:hAnsi="SimSun" w:eastAsia="SimSun" w:cs="SimSun"/>
          <w:sz w:val="24"/>
          <w:szCs w:val="24"/>
          <w:spacing w:val="-85"/>
        </w:rPr>
        <w:t xml:space="preserve"> </w:t>
      </w:r>
      <w:r>
        <w:rPr>
          <w:rFonts w:ascii="SimSun" w:hAnsi="SimSun" w:eastAsia="SimSun" w:cs="SimSun"/>
          <w:sz w:val="24"/>
          <w:szCs w:val="24"/>
          <w:spacing w:val="-1"/>
        </w:rPr>
        <w:t>，本项目年出栏肉牛 </w:t>
      </w:r>
      <w:r>
        <w:rPr>
          <w:rFonts w:ascii="Times New Roman" w:hAnsi="Times New Roman" w:eastAsia="Times New Roman" w:cs="Times New Roman"/>
          <w:sz w:val="24"/>
          <w:szCs w:val="24"/>
          <w:spacing w:val="-1"/>
        </w:rPr>
        <w:t>1200  </w:t>
      </w:r>
      <w:r>
        <w:rPr>
          <w:rFonts w:ascii="SimSun" w:hAnsi="SimSun" w:eastAsia="SimSun" w:cs="SimSun"/>
          <w:sz w:val="24"/>
          <w:szCs w:val="24"/>
          <w:spacing w:val="-1"/>
        </w:rPr>
        <w:t>头（折合 </w:t>
      </w:r>
      <w:r>
        <w:rPr>
          <w:rFonts w:ascii="Times New Roman" w:hAnsi="Times New Roman" w:eastAsia="Times New Roman" w:cs="Times New Roman"/>
          <w:sz w:val="24"/>
          <w:szCs w:val="24"/>
          <w:spacing w:val="-1"/>
        </w:rPr>
        <w:t>6000</w:t>
      </w:r>
      <w:r>
        <w:rPr>
          <w:rFonts w:ascii="SimSun" w:hAnsi="SimSun" w:eastAsia="SimSun" w:cs="SimSun"/>
          <w:sz w:val="24"/>
          <w:szCs w:val="24"/>
          <w:spacing w:val="2"/>
        </w:rPr>
        <w:t>头生猪</w:t>
      </w:r>
      <w:r>
        <w:rPr>
          <w:rFonts w:ascii="SimSun" w:hAnsi="SimSun" w:eastAsia="SimSun" w:cs="SimSun"/>
          <w:sz w:val="24"/>
          <w:szCs w:val="24"/>
          <w:spacing w:val="22"/>
        </w:rPr>
        <w:t>），</w:t>
      </w:r>
      <w:r>
        <w:rPr>
          <w:rFonts w:ascii="SimSun" w:hAnsi="SimSun" w:eastAsia="SimSun" w:cs="SimSun"/>
          <w:sz w:val="24"/>
          <w:szCs w:val="24"/>
          <w:spacing w:val="2"/>
        </w:rPr>
        <w:t>应编写环境影响报告书。受锡林郭勒盟牧林农机服务有限责任公司的</w:t>
      </w:r>
      <w:r>
        <w:rPr>
          <w:rFonts w:ascii="SimSun" w:hAnsi="SimSun" w:eastAsia="SimSun" w:cs="SimSun"/>
          <w:sz w:val="24"/>
          <w:szCs w:val="24"/>
          <w:spacing w:val="3"/>
        </w:rPr>
        <w:t>委托，我公司承担了本项目的环境影响评价工作，评价单位在现场踏查、</w:t>
      </w:r>
      <w:r>
        <w:rPr>
          <w:rFonts w:ascii="SimSun" w:hAnsi="SimSun" w:eastAsia="SimSun" w:cs="SimSun"/>
          <w:sz w:val="24"/>
          <w:szCs w:val="24"/>
          <w:spacing w:val="2"/>
        </w:rPr>
        <w:t>收集有</w:t>
      </w:r>
      <w:r>
        <w:rPr>
          <w:rFonts w:ascii="SimSun" w:hAnsi="SimSun" w:eastAsia="SimSun" w:cs="SimSun"/>
          <w:sz w:val="24"/>
          <w:szCs w:val="24"/>
          <w:spacing w:val="-1"/>
        </w:rPr>
        <w:t>关资料及工程分析的基础上编制了本项目的环境影响报告书。</w:t>
      </w:r>
    </w:p>
    <w:p>
      <w:pPr>
        <w:ind w:left="84" w:right="86" w:firstLine="436"/>
        <w:spacing w:before="10" w:line="350" w:lineRule="auto"/>
        <w:rPr>
          <w:rFonts w:ascii="SimSun" w:hAnsi="SimSun" w:eastAsia="SimSun" w:cs="SimSun"/>
          <w:sz w:val="24"/>
          <w:szCs w:val="24"/>
        </w:rPr>
      </w:pPr>
      <w:r>
        <w:rPr>
          <w:rFonts w:ascii="SimSun" w:hAnsi="SimSun" w:eastAsia="SimSun" w:cs="SimSun"/>
          <w:sz w:val="24"/>
          <w:szCs w:val="24"/>
          <w:spacing w:val="2"/>
        </w:rPr>
        <w:t>按照《建设项目环境影响评价技术导则</w:t>
      </w:r>
      <w:r>
        <w:rPr>
          <w:rFonts w:ascii="Times New Roman" w:hAnsi="Times New Roman" w:eastAsia="Times New Roman" w:cs="Times New Roman"/>
          <w:sz w:val="24"/>
          <w:szCs w:val="24"/>
          <w:spacing w:val="2"/>
        </w:rPr>
        <w:t>-</w:t>
      </w:r>
      <w:r>
        <w:rPr>
          <w:rFonts w:ascii="SimSun" w:hAnsi="SimSun" w:eastAsia="SimSun" w:cs="SimSun"/>
          <w:sz w:val="24"/>
          <w:szCs w:val="24"/>
          <w:spacing w:val="2"/>
        </w:rPr>
        <w:t>总纲》（</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2.1-2016</w:t>
      </w:r>
      <w:r>
        <w:rPr>
          <w:rFonts w:ascii="SimSun" w:hAnsi="SimSun" w:eastAsia="SimSun" w:cs="SimSun"/>
          <w:sz w:val="24"/>
          <w:szCs w:val="24"/>
          <w:spacing w:val="1"/>
        </w:rPr>
        <w:t>）的要求，本项</w:t>
      </w:r>
      <w:r>
        <w:rPr>
          <w:rFonts w:ascii="SimSun" w:hAnsi="SimSun" w:eastAsia="SimSun" w:cs="SimSun"/>
          <w:sz w:val="24"/>
          <w:szCs w:val="24"/>
          <w:spacing w:val="-8"/>
        </w:rPr>
        <w:t>目分三个阶段进行，具体如下：</w:t>
      </w:r>
    </w:p>
    <w:p>
      <w:pPr>
        <w:ind w:left="518"/>
        <w:spacing w:before="23" w:line="220" w:lineRule="auto"/>
        <w:rPr>
          <w:rFonts w:ascii="SimSun" w:hAnsi="SimSun" w:eastAsia="SimSun" w:cs="SimSun"/>
          <w:sz w:val="24"/>
          <w:szCs w:val="24"/>
        </w:rPr>
      </w:pPr>
      <w:r>
        <w:rPr>
          <w:rFonts w:ascii="SimSun" w:hAnsi="SimSun" w:eastAsia="SimSun" w:cs="SimSun"/>
          <w:sz w:val="24"/>
          <w:szCs w:val="24"/>
          <w:spacing w:val="-4"/>
        </w:rPr>
        <w:t>第一阶段：调查分析和工作方案制定阶段；</w:t>
      </w:r>
    </w:p>
    <w:p>
      <w:pPr>
        <w:ind w:left="38" w:firstLine="483"/>
        <w:spacing w:before="182" w:line="359" w:lineRule="auto"/>
        <w:jc w:val="both"/>
        <w:rPr>
          <w:rFonts w:ascii="SimSun" w:hAnsi="SimSun" w:eastAsia="SimSun" w:cs="SimSun"/>
          <w:sz w:val="24"/>
          <w:szCs w:val="24"/>
        </w:rPr>
      </w:pPr>
      <w:r>
        <w:rPr>
          <w:rFonts w:ascii="SimSun" w:hAnsi="SimSun" w:eastAsia="SimSun" w:cs="SimSun"/>
          <w:sz w:val="24"/>
          <w:szCs w:val="24"/>
          <w:spacing w:val="-2"/>
        </w:rPr>
        <w:t>首先研究项目相关技术资料，对项目进行初</w:t>
      </w:r>
      <w:r>
        <w:rPr>
          <w:rFonts w:ascii="SimSun" w:hAnsi="SimSun" w:eastAsia="SimSun" w:cs="SimSun"/>
          <w:sz w:val="24"/>
          <w:szCs w:val="24"/>
          <w:spacing w:val="-3"/>
        </w:rPr>
        <w:t>步工程分析，进行项目现场踏查，</w:t>
      </w:r>
      <w:r>
        <w:rPr>
          <w:rFonts w:ascii="SimSun" w:hAnsi="SimSun" w:eastAsia="SimSun" w:cs="SimSun"/>
          <w:sz w:val="24"/>
          <w:szCs w:val="24"/>
          <w:spacing w:val="-2"/>
        </w:rPr>
        <w:t>展开初步的环境现状调查，根据初步工程分析进行环境影响识别和</w:t>
      </w:r>
      <w:r>
        <w:rPr>
          <w:rFonts w:ascii="SimSun" w:hAnsi="SimSun" w:eastAsia="SimSun" w:cs="SimSun"/>
          <w:sz w:val="24"/>
          <w:szCs w:val="24"/>
          <w:spacing w:val="-3"/>
        </w:rPr>
        <w:t>评价因子筛选，</w:t>
      </w:r>
      <w:r>
        <w:rPr>
          <w:rFonts w:ascii="SimSun" w:hAnsi="SimSun" w:eastAsia="SimSun" w:cs="SimSun"/>
          <w:sz w:val="24"/>
          <w:szCs w:val="24"/>
          <w:spacing w:val="-3"/>
        </w:rPr>
        <w:t>确定项目评价重点和环境保护目标。</w:t>
      </w:r>
    </w:p>
    <w:p>
      <w:pPr>
        <w:ind w:left="518"/>
        <w:spacing w:line="218" w:lineRule="auto"/>
        <w:rPr>
          <w:rFonts w:ascii="SimSun" w:hAnsi="SimSun" w:eastAsia="SimSun" w:cs="SimSun"/>
          <w:sz w:val="24"/>
          <w:szCs w:val="24"/>
        </w:rPr>
      </w:pPr>
      <w:r>
        <w:rPr>
          <w:rFonts w:ascii="SimSun" w:hAnsi="SimSun" w:eastAsia="SimSun" w:cs="SimSun"/>
          <w:sz w:val="24"/>
          <w:szCs w:val="24"/>
          <w:spacing w:val="-4"/>
        </w:rPr>
        <w:t>第二阶段：分析论证和预测评价阶段；</w:t>
      </w:r>
    </w:p>
    <w:p>
      <w:pPr>
        <w:ind w:left="37" w:right="76" w:firstLine="479"/>
        <w:spacing w:before="183" w:line="359" w:lineRule="auto"/>
        <w:rPr>
          <w:rFonts w:ascii="SimSun" w:hAnsi="SimSun" w:eastAsia="SimSun" w:cs="SimSun"/>
          <w:sz w:val="24"/>
          <w:szCs w:val="24"/>
        </w:rPr>
      </w:pPr>
      <w:r>
        <w:rPr>
          <w:rFonts w:ascii="SimSun" w:hAnsi="SimSun" w:eastAsia="SimSun" w:cs="SimSun"/>
          <w:sz w:val="24"/>
          <w:szCs w:val="24"/>
          <w:spacing w:val="3"/>
        </w:rPr>
        <w:t>委托监测单位进行环境质量现状监测，进行环</w:t>
      </w:r>
      <w:r>
        <w:rPr>
          <w:rFonts w:ascii="SimSun" w:hAnsi="SimSun" w:eastAsia="SimSun" w:cs="SimSun"/>
          <w:sz w:val="24"/>
          <w:szCs w:val="24"/>
          <w:spacing w:val="2"/>
        </w:rPr>
        <w:t>境质量现状评价；进行项目工</w:t>
      </w:r>
      <w:r>
        <w:rPr>
          <w:rFonts w:ascii="SimSun" w:hAnsi="SimSun" w:eastAsia="SimSun" w:cs="SimSun"/>
          <w:sz w:val="24"/>
          <w:szCs w:val="24"/>
          <w:spacing w:val="2"/>
        </w:rPr>
        <w:t>程分析，分析项目的产排污环节及污染物产生、</w:t>
      </w:r>
      <w:r>
        <w:rPr>
          <w:rFonts w:ascii="SimSun" w:hAnsi="SimSun" w:eastAsia="SimSun" w:cs="SimSun"/>
          <w:sz w:val="24"/>
          <w:szCs w:val="24"/>
          <w:spacing w:val="1"/>
        </w:rPr>
        <w:t>排放情况，进行地表水、大气、</w:t>
      </w:r>
      <w:r>
        <w:rPr>
          <w:rFonts w:ascii="SimSun" w:hAnsi="SimSun" w:eastAsia="SimSun" w:cs="SimSun"/>
          <w:sz w:val="24"/>
          <w:szCs w:val="24"/>
          <w:spacing w:val="-2"/>
        </w:rPr>
        <w:t>声、固体废物、地下水环境影响预测与评价和环境风险分析。</w:t>
      </w:r>
    </w:p>
    <w:p>
      <w:pPr>
        <w:ind w:left="518"/>
        <w:spacing w:line="218" w:lineRule="auto"/>
        <w:rPr>
          <w:rFonts w:ascii="SimSun" w:hAnsi="SimSun" w:eastAsia="SimSun" w:cs="SimSun"/>
          <w:sz w:val="24"/>
          <w:szCs w:val="24"/>
        </w:rPr>
      </w:pPr>
      <w:r>
        <w:rPr>
          <w:rFonts w:ascii="SimSun" w:hAnsi="SimSun" w:eastAsia="SimSun" w:cs="SimSun"/>
          <w:sz w:val="24"/>
          <w:szCs w:val="24"/>
          <w:spacing w:val="-3"/>
        </w:rPr>
        <w:t>第三阶段：环境影响报告书编制阶段。</w:t>
      </w:r>
    </w:p>
    <w:p>
      <w:pPr>
        <w:ind w:left="38" w:right="76" w:firstLine="479"/>
        <w:spacing w:before="186" w:line="359" w:lineRule="auto"/>
        <w:rPr>
          <w:rFonts w:ascii="SimSun" w:hAnsi="SimSun" w:eastAsia="SimSun" w:cs="SimSun"/>
          <w:sz w:val="24"/>
          <w:szCs w:val="24"/>
        </w:rPr>
      </w:pPr>
      <w:r>
        <w:rPr>
          <w:rFonts w:ascii="SimSun" w:hAnsi="SimSun" w:eastAsia="SimSun" w:cs="SimSun"/>
          <w:sz w:val="24"/>
          <w:szCs w:val="24"/>
          <w:spacing w:val="3"/>
        </w:rPr>
        <w:t>根据污染源提出相应的环境保护措施，进行</w:t>
      </w:r>
      <w:r>
        <w:rPr>
          <w:rFonts w:ascii="SimSun" w:hAnsi="SimSun" w:eastAsia="SimSun" w:cs="SimSun"/>
          <w:sz w:val="24"/>
          <w:szCs w:val="24"/>
          <w:spacing w:val="2"/>
        </w:rPr>
        <w:t>技术经济论证，给出污染物排放</w:t>
      </w:r>
      <w:r>
        <w:rPr>
          <w:rFonts w:ascii="SimSun" w:hAnsi="SimSun" w:eastAsia="SimSun" w:cs="SimSun"/>
          <w:sz w:val="24"/>
          <w:szCs w:val="24"/>
          <w:spacing w:val="-2"/>
        </w:rPr>
        <w:t>清单和建设项目环境影响评价结论，编制环境影响报告书。</w:t>
      </w:r>
    </w:p>
    <w:p>
      <w:pPr>
        <w:ind w:left="519"/>
        <w:spacing w:line="232" w:lineRule="auto"/>
        <w:rPr>
          <w:rFonts w:ascii="SimSun" w:hAnsi="SimSun" w:eastAsia="SimSun" w:cs="SimSun"/>
          <w:sz w:val="24"/>
          <w:szCs w:val="24"/>
        </w:rPr>
      </w:pPr>
      <w:r>
        <w:pict>
          <v:shape id="_x0000_s8" style="position:absolute;margin-left:1.68601pt;margin-top:157.18pt;mso-position-vertical-relative:text;mso-position-horizontal-relative:text;width:425.7pt;height:0.6pt;z-index:251659264;" filled="false" strokecolor="#808080" strokeweight="0.50pt" coordsize="8514,12" coordorigin="0,0" path="m5,5l8508,6e">
            <v:stroke endcap="round" miterlimit="10"/>
          </v:shape>
        </w:pict>
      </w:r>
      <w:r>
        <w:rPr>
          <w:rFonts w:ascii="SimSun" w:hAnsi="SimSun" w:eastAsia="SimSun" w:cs="SimSun"/>
          <w:sz w:val="24"/>
          <w:szCs w:val="24"/>
          <w:spacing w:val="-3"/>
        </w:rPr>
        <w:t>本项目环评的工作程序见图</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3"/>
        </w:rPr>
        <w:t>1-1</w:t>
      </w:r>
      <w:r>
        <w:rPr>
          <w:rFonts w:ascii="SimSun" w:hAnsi="SimSun" w:eastAsia="SimSun" w:cs="SimSun"/>
          <w:sz w:val="24"/>
          <w:szCs w:val="24"/>
          <w:spacing w:val="-3"/>
        </w:rPr>
        <w:t>。</w:t>
      </w:r>
    </w:p>
    <w:p>
      <w:pPr>
        <w:spacing w:line="232" w:lineRule="auto"/>
        <w:sectPr>
          <w:headerReference w:type="default" r:id="rId5"/>
          <w:footerReference w:type="default" r:id="rId6"/>
          <w:pgSz w:w="11907" w:h="16839"/>
          <w:pgMar w:top="1422" w:right="1632" w:bottom="1618" w:left="1673" w:header="1033" w:footer="1415" w:gutter="0"/>
        </w:sectPr>
        <w:rPr>
          <w:rFonts w:ascii="SimSun" w:hAnsi="SimSun" w:eastAsia="SimSun" w:cs="SimSun"/>
          <w:sz w:val="24"/>
          <w:szCs w:val="24"/>
        </w:rPr>
      </w:pPr>
    </w:p>
    <w:p>
      <w:pPr>
        <w:pStyle w:val="BodyText"/>
        <w:spacing w:line="277" w:lineRule="auto"/>
        <w:rPr/>
      </w:pPr>
      <w:r/>
    </w:p>
    <w:p>
      <w:pPr>
        <w:ind w:firstLine="508"/>
        <w:spacing w:line="6799" w:lineRule="exact"/>
        <w:rPr/>
      </w:pPr>
      <w:r>
        <w:rPr>
          <w:position w:val="-135"/>
        </w:rPr>
        <w:drawing>
          <wp:inline distT="0" distB="0" distL="0" distR="0">
            <wp:extent cx="4536440" cy="4317364"/>
            <wp:effectExtent l="0" t="0" r="0" b="0"/>
            <wp:docPr id="2" name="IM 2"/>
            <wp:cNvGraphicFramePr/>
            <a:graphic>
              <a:graphicData uri="http://schemas.openxmlformats.org/drawingml/2006/picture">
                <pic:pic>
                  <pic:nvPicPr>
                    <pic:cNvPr id="2" name="IM 2"/>
                    <pic:cNvPicPr/>
                  </pic:nvPicPr>
                  <pic:blipFill>
                    <a:blip r:embed="rId9"/>
                    <a:stretch>
                      <a:fillRect/>
                    </a:stretch>
                  </pic:blipFill>
                  <pic:spPr>
                    <a:xfrm rot="0">
                      <a:off x="0" y="0"/>
                      <a:ext cx="4536440" cy="4317364"/>
                    </a:xfrm>
                    <a:prstGeom prst="rect">
                      <a:avLst/>
                    </a:prstGeom>
                  </pic:spPr>
                </pic:pic>
              </a:graphicData>
            </a:graphic>
          </wp:inline>
        </w:drawing>
      </w:r>
    </w:p>
    <w:p>
      <w:pPr>
        <w:ind w:left="2135"/>
        <w:spacing w:before="171" w:line="232" w:lineRule="auto"/>
        <w:rPr>
          <w:rFonts w:ascii="SimSun" w:hAnsi="SimSun" w:eastAsia="SimSun" w:cs="SimSun"/>
          <w:sz w:val="24"/>
          <w:szCs w:val="24"/>
        </w:rPr>
      </w:pPr>
      <w:r>
        <w:rPr>
          <w:rFonts w:ascii="SimSun" w:hAnsi="SimSun" w:eastAsia="SimSun" w:cs="SimSun"/>
          <w:sz w:val="24"/>
          <w:szCs w:val="24"/>
          <w:b/>
          <w:bCs/>
          <w:spacing w:val="-3"/>
        </w:rPr>
        <w:t>图</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3"/>
        </w:rPr>
        <w:t>1-1      </w:t>
      </w:r>
      <w:r>
        <w:rPr>
          <w:rFonts w:ascii="SimSun" w:hAnsi="SimSun" w:eastAsia="SimSun" w:cs="SimSun"/>
          <w:sz w:val="24"/>
          <w:szCs w:val="24"/>
          <w:b/>
          <w:bCs/>
          <w:spacing w:val="-3"/>
        </w:rPr>
        <w:t>本项目环境影响评价工</w:t>
      </w:r>
      <w:r>
        <w:rPr>
          <w:rFonts w:ascii="SimSun" w:hAnsi="SimSun" w:eastAsia="SimSun" w:cs="SimSun"/>
          <w:sz w:val="24"/>
          <w:szCs w:val="24"/>
          <w:b/>
          <w:bCs/>
          <w:spacing w:val="-4"/>
        </w:rPr>
        <w:t>作程序图</w:t>
      </w:r>
    </w:p>
    <w:p>
      <w:pPr>
        <w:pStyle w:val="BodyText"/>
        <w:spacing w:line="345" w:lineRule="auto"/>
        <w:rPr/>
      </w:pPr>
      <w:r/>
    </w:p>
    <w:p>
      <w:pPr>
        <w:ind w:left="44"/>
        <w:spacing w:before="78" w:line="234" w:lineRule="auto"/>
        <w:outlineLvl w:val="1"/>
        <w:rPr>
          <w:rFonts w:ascii="SimSun" w:hAnsi="SimSun" w:eastAsia="SimSun" w:cs="SimSun"/>
          <w:sz w:val="24"/>
          <w:szCs w:val="24"/>
        </w:rPr>
      </w:pPr>
      <w:bookmarkStart w:name="bookmark6" w:id="7"/>
      <w:bookmarkEnd w:id="7"/>
      <w:bookmarkStart w:name="bookmark1" w:id="8"/>
      <w:bookmarkEnd w:id="8"/>
      <w:r>
        <w:rPr>
          <w:rFonts w:ascii="Times New Roman" w:hAnsi="Times New Roman" w:eastAsia="Times New Roman" w:cs="Times New Roman"/>
          <w:sz w:val="24"/>
          <w:szCs w:val="24"/>
          <w:b/>
          <w:bCs/>
          <w:spacing w:val="-3"/>
        </w:rPr>
        <w:t>1.4 </w:t>
      </w:r>
      <w:r>
        <w:rPr>
          <w:rFonts w:ascii="SimSun" w:hAnsi="SimSun" w:eastAsia="SimSun" w:cs="SimSun"/>
          <w:sz w:val="24"/>
          <w:szCs w:val="24"/>
          <w:b/>
          <w:bCs/>
          <w:spacing w:val="-3"/>
        </w:rPr>
        <w:t>分析判定相关情况</w:t>
      </w:r>
    </w:p>
    <w:p>
      <w:pPr>
        <w:pStyle w:val="BodyText"/>
        <w:spacing w:line="345" w:lineRule="auto"/>
        <w:rPr/>
      </w:pPr>
      <w:r/>
    </w:p>
    <w:p>
      <w:pPr>
        <w:ind w:left="37" w:firstLine="480"/>
        <w:spacing w:before="79" w:line="360" w:lineRule="auto"/>
        <w:jc w:val="both"/>
        <w:rPr>
          <w:rFonts w:ascii="SimSun" w:hAnsi="SimSun" w:eastAsia="SimSun" w:cs="SimSun"/>
          <w:sz w:val="24"/>
          <w:szCs w:val="24"/>
        </w:rPr>
      </w:pPr>
      <w:r>
        <w:rPr>
          <w:rFonts w:ascii="SimSun" w:hAnsi="SimSun" w:eastAsia="SimSun" w:cs="SimSun"/>
          <w:sz w:val="24"/>
          <w:szCs w:val="24"/>
          <w:spacing w:val="-5"/>
        </w:rPr>
        <w:t>根据《建设项目环境影响评价技术导则</w:t>
      </w:r>
      <w:r>
        <w:rPr>
          <w:rFonts w:ascii="Times New Roman" w:hAnsi="Times New Roman" w:eastAsia="Times New Roman" w:cs="Times New Roman"/>
          <w:sz w:val="24"/>
          <w:szCs w:val="24"/>
          <w:spacing w:val="-5"/>
        </w:rPr>
        <w:t>-</w:t>
      </w:r>
      <w:r>
        <w:rPr>
          <w:rFonts w:ascii="SimSun" w:hAnsi="SimSun" w:eastAsia="SimSun" w:cs="SimSun"/>
          <w:sz w:val="24"/>
          <w:szCs w:val="24"/>
          <w:spacing w:val="-5"/>
        </w:rPr>
        <w:t>总</w:t>
      </w:r>
      <w:r>
        <w:rPr>
          <w:rFonts w:ascii="SimSun" w:hAnsi="SimSun" w:eastAsia="SimSun" w:cs="SimSun"/>
          <w:sz w:val="24"/>
          <w:szCs w:val="24"/>
          <w:spacing w:val="-6"/>
        </w:rPr>
        <w:t>纲》（</w:t>
      </w:r>
      <w:r>
        <w:rPr>
          <w:rFonts w:ascii="Times New Roman" w:hAnsi="Times New Roman" w:eastAsia="Times New Roman" w:cs="Times New Roman"/>
          <w:sz w:val="24"/>
          <w:szCs w:val="24"/>
          <w:spacing w:val="-6"/>
        </w:rPr>
        <w:t>HJ2.1-2016</w:t>
      </w:r>
      <w:r>
        <w:rPr>
          <w:rFonts w:ascii="SimSun" w:hAnsi="SimSun" w:eastAsia="SimSun" w:cs="SimSun"/>
          <w:sz w:val="24"/>
          <w:szCs w:val="24"/>
          <w:spacing w:val="-6"/>
        </w:rPr>
        <w:t>）</w:t>
      </w:r>
      <w:r>
        <w:rPr>
          <w:rFonts w:ascii="Times New Roman" w:hAnsi="Times New Roman" w:eastAsia="Times New Roman" w:cs="Times New Roman"/>
          <w:sz w:val="24"/>
          <w:szCs w:val="24"/>
          <w:spacing w:val="-6"/>
        </w:rPr>
        <w:t>3.3</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6"/>
        </w:rPr>
        <w:t>的相关要求，</w:t>
      </w:r>
      <w:r>
        <w:rPr>
          <w:rFonts w:ascii="SimSun" w:hAnsi="SimSun" w:eastAsia="SimSun" w:cs="SimSun"/>
          <w:sz w:val="24"/>
          <w:szCs w:val="24"/>
          <w:spacing w:val="2"/>
        </w:rPr>
        <w:t>分析判定建设项目选址选线、规模、性质和工艺路线等与国家和地方有关环境保</w:t>
      </w:r>
      <w:r>
        <w:rPr>
          <w:rFonts w:ascii="SimSun" w:hAnsi="SimSun" w:eastAsia="SimSun" w:cs="SimSun"/>
          <w:sz w:val="24"/>
          <w:szCs w:val="24"/>
          <w:spacing w:val="2"/>
        </w:rPr>
        <w:t>护法律法规、标准、政策、规范、相关规划、规划环境影响评价结论及审查意见</w:t>
      </w:r>
      <w:r>
        <w:rPr>
          <w:rFonts w:ascii="SimSun" w:hAnsi="SimSun" w:eastAsia="SimSun" w:cs="SimSun"/>
          <w:sz w:val="24"/>
          <w:szCs w:val="24"/>
          <w:spacing w:val="2"/>
        </w:rPr>
        <w:t>的符合性，并与“三线一单”进行对照，作为开展环境影响评价工作的前提和基</w:t>
      </w:r>
      <w:r>
        <w:rPr>
          <w:rFonts w:ascii="SimSun" w:hAnsi="SimSun" w:eastAsia="SimSun" w:cs="SimSun"/>
          <w:sz w:val="24"/>
          <w:szCs w:val="24"/>
          <w:spacing w:val="-11"/>
        </w:rPr>
        <w:t>础。</w:t>
      </w:r>
    </w:p>
    <w:p>
      <w:pPr>
        <w:ind w:left="44"/>
        <w:spacing w:before="252"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1.4.1 </w:t>
      </w:r>
      <w:r>
        <w:rPr>
          <w:rFonts w:ascii="SimSun" w:hAnsi="SimSun" w:eastAsia="SimSun" w:cs="SimSun"/>
          <w:sz w:val="24"/>
          <w:szCs w:val="24"/>
          <w:b/>
          <w:bCs/>
          <w:spacing w:val="-2"/>
        </w:rPr>
        <w:t>产业政策符合性分析</w:t>
      </w:r>
    </w:p>
    <w:p>
      <w:pPr>
        <w:pStyle w:val="BodyText"/>
        <w:spacing w:line="341" w:lineRule="auto"/>
        <w:rPr/>
      </w:pPr>
      <w:r/>
    </w:p>
    <w:p>
      <w:pPr>
        <w:ind w:left="39" w:right="69" w:firstLine="478"/>
        <w:spacing w:before="79" w:line="339" w:lineRule="auto"/>
        <w:rPr>
          <w:rFonts w:ascii="SimSun" w:hAnsi="SimSun" w:eastAsia="SimSun" w:cs="SimSun"/>
          <w:sz w:val="24"/>
          <w:szCs w:val="24"/>
        </w:rPr>
      </w:pPr>
      <w:r>
        <w:pict>
          <v:shape id="_x0000_s12" style="position:absolute;margin-left:1.68601pt;margin-top:91.8412pt;mso-position-vertical-relative:text;mso-position-horizontal-relative:text;width:425.7pt;height:0.6pt;z-index:251660288;" filled="false" strokecolor="#808080" strokeweight="0.50pt" coordsize="8514,12" coordorigin="0,0" path="m5,5l8508,6e">
            <v:stroke endcap="round" miterlimit="10"/>
          </v:shape>
        </w:pict>
      </w:r>
      <w:r>
        <w:rPr>
          <w:rFonts w:ascii="SimSun" w:hAnsi="SimSun" w:eastAsia="SimSun" w:cs="SimSun"/>
          <w:sz w:val="24"/>
          <w:szCs w:val="24"/>
          <w:spacing w:val="-1"/>
        </w:rPr>
        <w:t>根据中华人民共和国国家发展和改革委员会令第 </w:t>
      </w:r>
      <w:r>
        <w:rPr>
          <w:rFonts w:ascii="Times New Roman" w:hAnsi="Times New Roman" w:eastAsia="Times New Roman" w:cs="Times New Roman"/>
          <w:sz w:val="24"/>
          <w:szCs w:val="24"/>
          <w:spacing w:val="-1"/>
        </w:rPr>
        <w:t>7  </w:t>
      </w:r>
      <w:r>
        <w:rPr>
          <w:rFonts w:ascii="SimSun" w:hAnsi="SimSun" w:eastAsia="SimSun" w:cs="SimSun"/>
          <w:sz w:val="24"/>
          <w:szCs w:val="24"/>
          <w:spacing w:val="-1"/>
        </w:rPr>
        <w:t>号《产业结构调整指导目</w:t>
      </w:r>
      <w:r>
        <w:rPr>
          <w:rFonts w:ascii="SimSun" w:hAnsi="SimSun" w:eastAsia="SimSun" w:cs="SimSun"/>
          <w:sz w:val="24"/>
          <w:szCs w:val="24"/>
          <w:spacing w:val="-3"/>
        </w:rPr>
        <w:t>录（</w:t>
      </w:r>
      <w:r>
        <w:rPr>
          <w:rFonts w:ascii="Times New Roman" w:hAnsi="Times New Roman" w:eastAsia="Times New Roman" w:cs="Times New Roman"/>
          <w:sz w:val="24"/>
          <w:szCs w:val="24"/>
          <w:spacing w:val="-3"/>
        </w:rPr>
        <w:t>2024</w:t>
      </w:r>
      <w:r>
        <w:rPr>
          <w:rFonts w:ascii="Times New Roman" w:hAnsi="Times New Roman" w:eastAsia="Times New Roman" w:cs="Times New Roman"/>
          <w:sz w:val="24"/>
          <w:szCs w:val="24"/>
          <w:spacing w:val="59"/>
          <w:w w:val="101"/>
        </w:rPr>
        <w:t xml:space="preserve"> </w:t>
      </w:r>
      <w:r>
        <w:rPr>
          <w:rFonts w:ascii="SimSun" w:hAnsi="SimSun" w:eastAsia="SimSun" w:cs="SimSun"/>
          <w:sz w:val="24"/>
          <w:szCs w:val="24"/>
          <w:spacing w:val="-3"/>
        </w:rPr>
        <w:t>年本）》中的规定，属于第一类鼓励类第一项“农林牧渔业”</w:t>
      </w:r>
      <w:r>
        <w:rPr>
          <w:rFonts w:ascii="SimSun" w:hAnsi="SimSun" w:eastAsia="SimSun" w:cs="SimSun"/>
          <w:sz w:val="24"/>
          <w:szCs w:val="24"/>
          <w:spacing w:val="-88"/>
        </w:rPr>
        <w:t xml:space="preserve"> </w:t>
      </w:r>
      <w:r>
        <w:rPr>
          <w:rFonts w:ascii="SimSun" w:hAnsi="SimSun" w:eastAsia="SimSun" w:cs="SimSun"/>
          <w:sz w:val="24"/>
          <w:szCs w:val="24"/>
          <w:spacing w:val="-3"/>
        </w:rPr>
        <w:t>中“</w:t>
      </w:r>
      <w:r>
        <w:rPr>
          <w:rFonts w:ascii="SimSun" w:hAnsi="SimSun" w:eastAsia="SimSun" w:cs="SimSun"/>
          <w:sz w:val="24"/>
          <w:szCs w:val="24"/>
          <w:spacing w:val="-92"/>
        </w:rPr>
        <w:t xml:space="preserve"> </w:t>
      </w:r>
      <w:r>
        <w:rPr>
          <w:rFonts w:ascii="Times New Roman" w:hAnsi="Times New Roman" w:eastAsia="Times New Roman" w:cs="Times New Roman"/>
          <w:sz w:val="24"/>
          <w:szCs w:val="24"/>
          <w:spacing w:val="-3"/>
        </w:rPr>
        <w:t>14</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w:t>
      </w:r>
      <w:r>
        <w:rPr>
          <w:rFonts w:ascii="SimSun" w:hAnsi="SimSun" w:eastAsia="SimSun" w:cs="SimSun"/>
          <w:sz w:val="24"/>
          <w:szCs w:val="24"/>
          <w:spacing w:val="1"/>
        </w:rPr>
        <w:t>现代畜牧业及水产生态健康养殖</w:t>
      </w:r>
      <w:r>
        <w:rPr>
          <w:rFonts w:ascii="SimSun" w:hAnsi="SimSun" w:eastAsia="SimSun" w:cs="SimSun"/>
          <w:sz w:val="24"/>
          <w:szCs w:val="24"/>
          <w:spacing w:val="-68"/>
        </w:rPr>
        <w:t xml:space="preserve"> </w:t>
      </w:r>
      <w:r>
        <w:rPr>
          <w:rFonts w:ascii="SimSun" w:hAnsi="SimSun" w:eastAsia="SimSun" w:cs="SimSun"/>
          <w:sz w:val="24"/>
          <w:szCs w:val="24"/>
          <w:spacing w:val="1"/>
        </w:rPr>
        <w:t>”中的畜禽标准化规模养殖技术开发与应用，属</w:t>
      </w:r>
      <w:r>
        <w:rPr>
          <w:rFonts w:ascii="SimSun" w:hAnsi="SimSun" w:eastAsia="SimSun" w:cs="SimSun"/>
          <w:sz w:val="24"/>
          <w:szCs w:val="24"/>
          <w:spacing w:val="-3"/>
        </w:rPr>
        <w:t>于鼓励类项目，符合国家现行产业政策要求。</w:t>
      </w:r>
    </w:p>
    <w:p>
      <w:pPr>
        <w:spacing w:line="339" w:lineRule="auto"/>
        <w:sectPr>
          <w:headerReference w:type="default" r:id="rId7"/>
          <w:footerReference w:type="default" r:id="rId8"/>
          <w:pgSz w:w="11907" w:h="16839"/>
          <w:pgMar w:top="1422" w:right="1630" w:bottom="1618" w:left="1673" w:header="1033" w:footer="1417" w:gutter="0"/>
        </w:sectPr>
        <w:rPr>
          <w:rFonts w:ascii="SimSun" w:hAnsi="SimSun" w:eastAsia="SimSun" w:cs="SimSun"/>
          <w:sz w:val="24"/>
          <w:szCs w:val="24"/>
        </w:rPr>
      </w:pPr>
    </w:p>
    <w:p>
      <w:pPr>
        <w:ind w:left="294" w:right="1" w:firstLine="4"/>
        <w:spacing w:before="310" w:line="352" w:lineRule="auto"/>
        <w:rPr>
          <w:rFonts w:ascii="SimSun" w:hAnsi="SimSun" w:eastAsia="SimSun" w:cs="SimSun"/>
          <w:sz w:val="24"/>
          <w:szCs w:val="24"/>
        </w:rPr>
      </w:pPr>
      <w:r>
        <w:rPr>
          <w:rFonts w:ascii="Times New Roman" w:hAnsi="Times New Roman" w:eastAsia="Times New Roman" w:cs="Times New Roman"/>
          <w:sz w:val="24"/>
          <w:szCs w:val="24"/>
          <w:b/>
          <w:bCs/>
          <w:spacing w:val="-5"/>
        </w:rPr>
        <w:t>1.4.2 </w:t>
      </w:r>
      <w:r>
        <w:rPr>
          <w:rFonts w:ascii="SimSun" w:hAnsi="SimSun" w:eastAsia="SimSun" w:cs="SimSun"/>
          <w:sz w:val="24"/>
          <w:szCs w:val="24"/>
          <w:b/>
          <w:bCs/>
          <w:spacing w:val="-5"/>
        </w:rPr>
        <w:t>项目与《畜禽规模养殖污染防治条例》（中华人民共和国国务院令第</w:t>
      </w:r>
      <w:r>
        <w:rPr>
          <w:rFonts w:ascii="SimSun" w:hAnsi="SimSun" w:eastAsia="SimSun" w:cs="SimSun"/>
          <w:sz w:val="24"/>
          <w:szCs w:val="24"/>
          <w:spacing w:val="-36"/>
        </w:rPr>
        <w:t xml:space="preserve"> </w:t>
      </w:r>
      <w:r>
        <w:rPr>
          <w:rFonts w:ascii="Times New Roman" w:hAnsi="Times New Roman" w:eastAsia="Times New Roman" w:cs="Times New Roman"/>
          <w:sz w:val="24"/>
          <w:szCs w:val="24"/>
          <w:b/>
          <w:bCs/>
          <w:spacing w:val="-5"/>
        </w:rPr>
        <w:t>643 </w:t>
      </w:r>
      <w:r>
        <w:rPr>
          <w:rFonts w:ascii="SimSun" w:hAnsi="SimSun" w:eastAsia="SimSun" w:cs="SimSun"/>
          <w:sz w:val="24"/>
          <w:szCs w:val="24"/>
          <w:b/>
          <w:bCs/>
          <w:spacing w:val="-5"/>
        </w:rPr>
        <w:t>号）</w:t>
      </w:r>
      <w:r>
        <w:rPr>
          <w:rFonts w:ascii="SimSun" w:hAnsi="SimSun" w:eastAsia="SimSun" w:cs="SimSun"/>
          <w:sz w:val="24"/>
          <w:szCs w:val="24"/>
          <w:b/>
          <w:bCs/>
          <w:spacing w:val="-4"/>
        </w:rPr>
        <w:t>符合性分析</w:t>
      </w:r>
    </w:p>
    <w:p>
      <w:pPr>
        <w:ind w:left="288" w:right="108" w:firstLine="485"/>
        <w:spacing w:before="281" w:line="353" w:lineRule="auto"/>
        <w:jc w:val="both"/>
        <w:rPr>
          <w:rFonts w:ascii="SimSun" w:hAnsi="SimSun" w:eastAsia="SimSun" w:cs="SimSun"/>
          <w:sz w:val="24"/>
          <w:szCs w:val="24"/>
        </w:rPr>
      </w:pPr>
      <w:r>
        <w:rPr>
          <w:rFonts w:ascii="SimSun" w:hAnsi="SimSun" w:eastAsia="SimSun" w:cs="SimSun"/>
          <w:sz w:val="24"/>
          <w:szCs w:val="24"/>
          <w:spacing w:val="-1"/>
        </w:rPr>
        <w:t>《畜禽规模养殖污染防治条例》（中华人民共和国国务院令第 </w:t>
      </w:r>
      <w:r>
        <w:rPr>
          <w:rFonts w:ascii="Times New Roman" w:hAnsi="Times New Roman" w:eastAsia="Times New Roman" w:cs="Times New Roman"/>
          <w:sz w:val="24"/>
          <w:szCs w:val="24"/>
          <w:spacing w:val="-1"/>
        </w:rPr>
        <w:t>643  </w:t>
      </w:r>
      <w:r>
        <w:rPr>
          <w:rFonts w:ascii="SimSun" w:hAnsi="SimSun" w:eastAsia="SimSun" w:cs="SimSun"/>
          <w:sz w:val="24"/>
          <w:szCs w:val="24"/>
          <w:spacing w:val="-1"/>
        </w:rPr>
        <w:t>号）已经</w:t>
      </w:r>
      <w:r>
        <w:rPr>
          <w:rFonts w:ascii="Times New Roman" w:hAnsi="Times New Roman" w:eastAsia="Times New Roman" w:cs="Times New Roman"/>
          <w:sz w:val="24"/>
          <w:szCs w:val="24"/>
          <w:spacing w:val="-6"/>
        </w:rPr>
        <w:t>2013 </w:t>
      </w:r>
      <w:r>
        <w:rPr>
          <w:rFonts w:ascii="SimSun" w:hAnsi="SimSun" w:eastAsia="SimSun" w:cs="SimSun"/>
          <w:sz w:val="24"/>
          <w:szCs w:val="24"/>
          <w:spacing w:val="-6"/>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6"/>
        </w:rPr>
        <w:t>月</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6"/>
        </w:rPr>
        <w:t>8  </w:t>
      </w:r>
      <w:r>
        <w:rPr>
          <w:rFonts w:ascii="SimSun" w:hAnsi="SimSun" w:eastAsia="SimSun" w:cs="SimSun"/>
          <w:sz w:val="24"/>
          <w:szCs w:val="24"/>
          <w:spacing w:val="-6"/>
        </w:rPr>
        <w:t>日国务院第</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6"/>
        </w:rPr>
        <w:t>26</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6"/>
        </w:rPr>
        <w:t>次常务会议通过，自</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7"/>
        </w:rPr>
        <w:t>14 </w:t>
      </w:r>
      <w:r>
        <w:rPr>
          <w:rFonts w:ascii="SimSun" w:hAnsi="SimSun" w:eastAsia="SimSun" w:cs="SimSun"/>
          <w:sz w:val="24"/>
          <w:szCs w:val="24"/>
          <w:spacing w:val="-7"/>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7"/>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  </w:t>
      </w:r>
      <w:r>
        <w:rPr>
          <w:rFonts w:ascii="SimSun" w:hAnsi="SimSun" w:eastAsia="SimSun" w:cs="SimSun"/>
          <w:sz w:val="24"/>
          <w:szCs w:val="24"/>
          <w:spacing w:val="-7"/>
        </w:rPr>
        <w:t>日起施行。项目</w:t>
      </w:r>
      <w:r>
        <w:rPr>
          <w:rFonts w:ascii="SimSun" w:hAnsi="SimSun" w:eastAsia="SimSun" w:cs="SimSun"/>
          <w:sz w:val="24"/>
          <w:szCs w:val="24"/>
          <w:spacing w:val="-4"/>
        </w:rPr>
        <w:t>与条例符合性分析如下。</w:t>
      </w:r>
    </w:p>
    <w:p>
      <w:pPr>
        <w:ind w:left="1340"/>
        <w:spacing w:before="23"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2"/>
        </w:rPr>
        <w:t>1-1    </w:t>
      </w:r>
      <w:r>
        <w:rPr>
          <w:rFonts w:ascii="SimSun" w:hAnsi="SimSun" w:eastAsia="SimSun" w:cs="SimSun"/>
          <w:sz w:val="24"/>
          <w:szCs w:val="24"/>
          <w:b/>
          <w:bCs/>
          <w:spacing w:val="-2"/>
        </w:rPr>
        <w:t>本项目与《畜禽规模养殖污染防治条例》符合性分析</w:t>
      </w:r>
    </w:p>
    <w:p>
      <w:pPr>
        <w:spacing w:line="129" w:lineRule="exact"/>
        <w:rPr/>
      </w:pPr>
      <w:r/>
    </w:p>
    <w:tbl>
      <w:tblPr>
        <w:tblStyle w:val="TableNormal"/>
        <w:tblW w:w="889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5"/>
        <w:gridCol w:w="3877"/>
        <w:gridCol w:w="2876"/>
        <w:gridCol w:w="948"/>
      </w:tblGrid>
      <w:tr>
        <w:trPr>
          <w:trHeight w:val="555" w:hRule="atLeast"/>
        </w:trPr>
        <w:tc>
          <w:tcPr>
            <w:tcW w:w="1195" w:type="dxa"/>
            <w:vAlign w:val="top"/>
            <w:tcBorders>
              <w:left w:val="nil"/>
              <w:top w:val="single" w:color="000000" w:sz="10" w:space="0"/>
            </w:tcBorders>
          </w:tcPr>
          <w:p>
            <w:pPr>
              <w:pStyle w:val="TableText"/>
              <w:ind w:left="400"/>
              <w:spacing w:before="172" w:line="222" w:lineRule="auto"/>
              <w:rPr/>
            </w:pPr>
            <w:r>
              <w:rPr>
                <w:b/>
                <w:bCs/>
                <w:spacing w:val="-4"/>
              </w:rPr>
              <w:t>序号</w:t>
            </w:r>
          </w:p>
        </w:tc>
        <w:tc>
          <w:tcPr>
            <w:tcW w:w="3877" w:type="dxa"/>
            <w:vAlign w:val="top"/>
            <w:tcBorders>
              <w:top w:val="single" w:color="000000" w:sz="10" w:space="0"/>
            </w:tcBorders>
          </w:tcPr>
          <w:p>
            <w:pPr>
              <w:pStyle w:val="TableText"/>
              <w:ind w:left="1524"/>
              <w:spacing w:before="172" w:line="221" w:lineRule="auto"/>
              <w:rPr/>
            </w:pPr>
            <w:r>
              <w:rPr>
                <w:b/>
                <w:bCs/>
                <w:spacing w:val="-4"/>
              </w:rPr>
              <w:t>文件要求</w:t>
            </w:r>
          </w:p>
        </w:tc>
        <w:tc>
          <w:tcPr>
            <w:tcW w:w="2876" w:type="dxa"/>
            <w:vAlign w:val="top"/>
            <w:tcBorders>
              <w:top w:val="single" w:color="000000" w:sz="10" w:space="0"/>
            </w:tcBorders>
          </w:tcPr>
          <w:p>
            <w:pPr>
              <w:pStyle w:val="TableText"/>
              <w:ind w:left="916"/>
              <w:spacing w:before="172" w:line="220" w:lineRule="auto"/>
              <w:rPr/>
            </w:pPr>
            <w:r>
              <w:rPr>
                <w:b/>
                <w:bCs/>
                <w:spacing w:val="-3"/>
              </w:rPr>
              <w:t>本项目情况</w:t>
            </w:r>
          </w:p>
        </w:tc>
        <w:tc>
          <w:tcPr>
            <w:tcW w:w="948" w:type="dxa"/>
            <w:vAlign w:val="top"/>
            <w:tcBorders>
              <w:right w:val="nil"/>
              <w:top w:val="single" w:color="000000" w:sz="10" w:space="0"/>
            </w:tcBorders>
          </w:tcPr>
          <w:p>
            <w:pPr>
              <w:pStyle w:val="TableText"/>
              <w:ind w:left="269" w:right="158" w:hanging="106"/>
              <w:spacing w:before="35" w:line="224" w:lineRule="auto"/>
              <w:rPr/>
            </w:pPr>
            <w:r>
              <w:rPr>
                <w:b/>
                <w:bCs/>
                <w:spacing w:val="-5"/>
              </w:rPr>
              <w:t>符合性</w:t>
            </w:r>
            <w:r>
              <w:rPr>
                <w:b/>
                <w:bCs/>
                <w:spacing w:val="-5"/>
              </w:rPr>
              <w:t>分析</w:t>
            </w:r>
          </w:p>
        </w:tc>
      </w:tr>
      <w:tr>
        <w:trPr>
          <w:trHeight w:val="1905" w:hRule="atLeast"/>
        </w:trPr>
        <w:tc>
          <w:tcPr>
            <w:tcW w:w="1195" w:type="dxa"/>
            <w:vAlign w:val="top"/>
            <w:tcBorders>
              <w:left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576"/>
              <w:spacing w:before="6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877" w:type="dxa"/>
            <w:vAlign w:val="top"/>
          </w:tcPr>
          <w:p>
            <w:pPr>
              <w:pStyle w:val="TableText"/>
              <w:ind w:left="113" w:right="112"/>
              <w:spacing w:before="32" w:line="239" w:lineRule="auto"/>
              <w:rPr/>
            </w:pPr>
            <w:r>
              <w:rPr>
                <w:spacing w:val="4"/>
              </w:rPr>
              <w:t>禁止在下列区域内建设畜禽养殖场、养</w:t>
            </w:r>
            <w:r>
              <w:rPr>
                <w:spacing w:val="-2"/>
              </w:rPr>
              <w:t>殖小区：</w:t>
            </w:r>
          </w:p>
          <w:p>
            <w:pPr>
              <w:pStyle w:val="TableText"/>
              <w:ind w:left="113"/>
              <w:spacing w:line="218" w:lineRule="auto"/>
              <w:rPr/>
            </w:pPr>
            <w:r>
              <w:rPr>
                <w:spacing w:val="-2"/>
              </w:rPr>
              <w:t>①饮用水水源保护区、风景名胜区；</w:t>
            </w:r>
          </w:p>
          <w:p>
            <w:pPr>
              <w:pStyle w:val="TableText"/>
              <w:ind w:left="112"/>
              <w:spacing w:before="23" w:line="218" w:lineRule="auto"/>
              <w:rPr/>
            </w:pPr>
            <w:r>
              <w:rPr>
                <w:spacing w:val="-1"/>
              </w:rPr>
              <w:t>②自然保护区的核心区及缓冲区；</w:t>
            </w:r>
          </w:p>
          <w:p>
            <w:pPr>
              <w:pStyle w:val="TableText"/>
              <w:ind w:left="115" w:right="105" w:hanging="3"/>
              <w:spacing w:before="26" w:line="229" w:lineRule="auto"/>
              <w:rPr/>
            </w:pPr>
            <w:r>
              <w:rPr>
                <w:spacing w:val="1"/>
              </w:rPr>
              <w:t>③城镇居民区，</w:t>
            </w:r>
            <w:r>
              <w:rPr>
                <w:spacing w:val="-39"/>
              </w:rPr>
              <w:t xml:space="preserve"> </w:t>
            </w:r>
            <w:r>
              <w:rPr>
                <w:spacing w:val="1"/>
              </w:rPr>
              <w:t>文化教育科学研究区等</w:t>
            </w:r>
            <w:r>
              <w:rPr>
                <w:spacing w:val="-5"/>
              </w:rPr>
              <w:t>人口集中区域；</w:t>
            </w:r>
          </w:p>
          <w:p>
            <w:pPr>
              <w:pStyle w:val="TableText"/>
              <w:ind w:right="12"/>
              <w:spacing w:before="22" w:line="202" w:lineRule="auto"/>
              <w:jc w:val="right"/>
              <w:rPr/>
            </w:pPr>
            <w:r>
              <w:rPr>
                <w:spacing w:val="-2"/>
              </w:rPr>
              <w:t>④法律、法规规定的其它禁止养殖区域。</w:t>
            </w:r>
          </w:p>
        </w:tc>
        <w:tc>
          <w:tcPr>
            <w:tcW w:w="2876" w:type="dxa"/>
            <w:vAlign w:val="top"/>
          </w:tcPr>
          <w:p>
            <w:pPr>
              <w:pStyle w:val="TableText"/>
              <w:ind w:left="114"/>
              <w:spacing w:before="301" w:line="221" w:lineRule="auto"/>
              <w:rPr/>
            </w:pPr>
            <w:r>
              <w:rPr>
                <w:spacing w:val="-7"/>
              </w:rPr>
              <w:t>项目不在自然保护区、风景名</w:t>
            </w:r>
          </w:p>
          <w:p>
            <w:pPr>
              <w:pStyle w:val="TableText"/>
              <w:ind w:left="111"/>
              <w:spacing w:before="22" w:line="221" w:lineRule="auto"/>
              <w:rPr/>
            </w:pPr>
            <w:r>
              <w:rPr>
                <w:spacing w:val="-6"/>
              </w:rPr>
              <w:t>胜区、水源保护区、人口集中</w:t>
            </w:r>
          </w:p>
          <w:p>
            <w:pPr>
              <w:pStyle w:val="TableText"/>
              <w:ind w:left="196"/>
              <w:spacing w:before="19" w:line="221" w:lineRule="auto"/>
              <w:rPr/>
            </w:pPr>
            <w:r>
              <w:rPr>
                <w:spacing w:val="-2"/>
              </w:rPr>
              <w:t>区及其他禁建区等特殊敏感</w:t>
            </w:r>
          </w:p>
          <w:p>
            <w:pPr>
              <w:pStyle w:val="TableText"/>
              <w:ind w:left="181"/>
              <w:spacing w:before="22" w:line="221" w:lineRule="auto"/>
              <w:rPr/>
            </w:pPr>
            <w:r>
              <w:rPr>
                <w:spacing w:val="-1"/>
              </w:rPr>
              <w:t>地区，且距离城镇居民均较</w:t>
            </w:r>
          </w:p>
          <w:p>
            <w:pPr>
              <w:pStyle w:val="TableText"/>
              <w:ind w:left="651"/>
              <w:spacing w:before="20" w:line="235" w:lineRule="auto"/>
              <w:rPr/>
            </w:pPr>
            <w:r>
              <w:rPr>
                <w:spacing w:val="-2"/>
              </w:rPr>
              <w:t>远，大于</w:t>
            </w:r>
            <w:r>
              <w:rPr>
                <w:spacing w:val="-40"/>
              </w:rPr>
              <w:t xml:space="preserve"> </w:t>
            </w:r>
            <w:r>
              <w:rPr>
                <w:rFonts w:ascii="Times New Roman" w:hAnsi="Times New Roman" w:eastAsia="Times New Roman" w:cs="Times New Roman"/>
                <w:spacing w:val="-2"/>
              </w:rPr>
              <w:t>500m</w:t>
            </w:r>
            <w:r>
              <w:rPr>
                <w:spacing w:val="-2"/>
              </w:rPr>
              <w:t>。</w:t>
            </w:r>
          </w:p>
        </w:tc>
        <w:tc>
          <w:tcPr>
            <w:tcW w:w="948" w:type="dxa"/>
            <w:vAlign w:val="top"/>
            <w:tcBorders>
              <w:right w:val="nil"/>
            </w:tcBorders>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271"/>
              <w:spacing w:before="68" w:line="221" w:lineRule="auto"/>
              <w:rPr/>
            </w:pPr>
            <w:r>
              <w:rPr>
                <w:spacing w:val="-2"/>
              </w:rPr>
              <w:t>符合</w:t>
            </w:r>
          </w:p>
        </w:tc>
      </w:tr>
      <w:tr>
        <w:trPr>
          <w:trHeight w:val="4623" w:hRule="atLeast"/>
        </w:trPr>
        <w:tc>
          <w:tcPr>
            <w:tcW w:w="1195" w:type="dxa"/>
            <w:vAlign w:val="top"/>
            <w:tcBorders>
              <w:left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556"/>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877" w:type="dxa"/>
            <w:vAlign w:val="top"/>
          </w:tcPr>
          <w:p>
            <w:pPr>
              <w:pStyle w:val="TableText"/>
              <w:ind w:left="157"/>
              <w:spacing w:before="35" w:line="221" w:lineRule="auto"/>
              <w:rPr/>
            </w:pPr>
            <w:r>
              <w:rPr>
                <w:spacing w:val="-1"/>
              </w:rPr>
              <w:t>新建、改建、扩建畜禽养殖场、养殖小</w:t>
            </w:r>
          </w:p>
          <w:p>
            <w:pPr>
              <w:pStyle w:val="TableText"/>
              <w:ind w:left="172"/>
              <w:spacing w:before="22" w:line="221" w:lineRule="auto"/>
              <w:rPr/>
            </w:pPr>
            <w:r>
              <w:rPr>
                <w:spacing w:val="-2"/>
              </w:rPr>
              <w:t>区，应当符合畜牧业发展规划、畜禽养</w:t>
            </w:r>
          </w:p>
          <w:p>
            <w:pPr>
              <w:pStyle w:val="TableText"/>
              <w:ind w:left="157"/>
              <w:spacing w:before="19" w:line="221" w:lineRule="auto"/>
              <w:rPr/>
            </w:pPr>
            <w:r>
              <w:rPr>
                <w:spacing w:val="-1"/>
              </w:rPr>
              <w:t>殖污染防治规划，满足动物防疫条件，</w:t>
            </w:r>
          </w:p>
          <w:p>
            <w:pPr>
              <w:pStyle w:val="TableText"/>
              <w:ind w:left="162"/>
              <w:spacing w:before="22" w:line="219" w:lineRule="auto"/>
              <w:rPr/>
            </w:pPr>
            <w:r>
              <w:rPr>
                <w:spacing w:val="-1"/>
              </w:rPr>
              <w:t>并进行环境影响评价。对环境可能造成</w:t>
            </w:r>
          </w:p>
          <w:p>
            <w:pPr>
              <w:pStyle w:val="TableText"/>
              <w:ind w:left="114"/>
              <w:spacing w:before="22" w:line="221" w:lineRule="auto"/>
              <w:rPr/>
            </w:pPr>
            <w:r>
              <w:rPr>
                <w:spacing w:val="-3"/>
              </w:rPr>
              <w:t>重大影响的大型畜禽养殖场、养殖小区，</w:t>
            </w:r>
          </w:p>
          <w:p>
            <w:pPr>
              <w:pStyle w:val="TableText"/>
              <w:ind w:left="157"/>
              <w:spacing w:before="23" w:line="219" w:lineRule="auto"/>
              <w:rPr/>
            </w:pPr>
            <w:r>
              <w:rPr>
                <w:spacing w:val="-1"/>
              </w:rPr>
              <w:t>应当编制环境影响报告书；其他畜禽养</w:t>
            </w:r>
          </w:p>
          <w:p>
            <w:pPr>
              <w:pStyle w:val="TableText"/>
              <w:ind w:left="157"/>
              <w:spacing w:before="21" w:line="221" w:lineRule="auto"/>
              <w:rPr/>
            </w:pPr>
            <w:r>
              <w:rPr>
                <w:spacing w:val="-1"/>
              </w:rPr>
              <w:t>殖场、养殖小区应当填报环境影响登记</w:t>
            </w:r>
          </w:p>
          <w:p>
            <w:pPr>
              <w:pStyle w:val="TableText"/>
              <w:ind w:left="156"/>
              <w:spacing w:before="22" w:line="221" w:lineRule="auto"/>
              <w:rPr/>
            </w:pPr>
            <w:r>
              <w:rPr>
                <w:spacing w:val="-1"/>
              </w:rPr>
              <w:t>表。大型畜禽养殖场、养殖小区的管理</w:t>
            </w:r>
          </w:p>
          <w:p>
            <w:pPr>
              <w:pStyle w:val="TableText"/>
              <w:ind w:left="197"/>
              <w:spacing w:before="20" w:line="221" w:lineRule="auto"/>
              <w:rPr/>
            </w:pPr>
            <w:r>
              <w:rPr>
                <w:spacing w:val="-3"/>
              </w:rPr>
              <w:t>目录，由国务院环境保护主管部门商国</w:t>
            </w:r>
          </w:p>
          <w:p>
            <w:pPr>
              <w:pStyle w:val="TableText"/>
              <w:ind w:left="158"/>
              <w:spacing w:before="23" w:line="219" w:lineRule="auto"/>
              <w:rPr/>
            </w:pPr>
            <w:r>
              <w:rPr>
                <w:spacing w:val="-1"/>
              </w:rPr>
              <w:t>务院农牧主管部门确定。环境影响评价</w:t>
            </w:r>
          </w:p>
          <w:p>
            <w:pPr>
              <w:pStyle w:val="TableText"/>
              <w:ind w:left="174"/>
              <w:spacing w:before="22" w:line="221" w:lineRule="auto"/>
              <w:rPr/>
            </w:pPr>
            <w:r>
              <w:rPr>
                <w:spacing w:val="-2"/>
              </w:rPr>
              <w:t>的重点应当包括：畜禽养殖产生的废弃</w:t>
            </w:r>
          </w:p>
          <w:p>
            <w:pPr>
              <w:pStyle w:val="TableText"/>
              <w:ind w:left="157"/>
              <w:spacing w:before="22" w:line="221" w:lineRule="auto"/>
              <w:rPr/>
            </w:pPr>
            <w:r>
              <w:rPr>
                <w:spacing w:val="-1"/>
              </w:rPr>
              <w:t>物种类和数量，废弃物综合利用和无害</w:t>
            </w:r>
          </w:p>
          <w:p>
            <w:pPr>
              <w:pStyle w:val="TableText"/>
              <w:ind w:left="157"/>
              <w:spacing w:before="20" w:line="221" w:lineRule="auto"/>
              <w:rPr/>
            </w:pPr>
            <w:r>
              <w:rPr>
                <w:spacing w:val="-1"/>
              </w:rPr>
              <w:t>化处理方案和措施，废弃物的消纳和处</w:t>
            </w:r>
          </w:p>
          <w:p>
            <w:pPr>
              <w:pStyle w:val="TableText"/>
              <w:ind w:left="159"/>
              <w:spacing w:before="22" w:line="221" w:lineRule="auto"/>
              <w:rPr/>
            </w:pPr>
            <w:r>
              <w:rPr/>
              <w:t>理情况以及向环境直接排放的情况，最</w:t>
            </w:r>
          </w:p>
          <w:p>
            <w:pPr>
              <w:pStyle w:val="TableText"/>
              <w:ind w:left="160"/>
              <w:spacing w:before="20" w:line="221" w:lineRule="auto"/>
              <w:rPr/>
            </w:pPr>
            <w:r>
              <w:rPr>
                <w:spacing w:val="-1"/>
              </w:rPr>
              <w:t>终可能对水体、土壤等环境和人体健康</w:t>
            </w:r>
          </w:p>
          <w:p>
            <w:pPr>
              <w:pStyle w:val="TableText"/>
              <w:ind w:left="157"/>
              <w:spacing w:before="22" w:line="221" w:lineRule="auto"/>
              <w:rPr/>
            </w:pPr>
            <w:r>
              <w:rPr>
                <w:spacing w:val="-1"/>
              </w:rPr>
              <w:t>产生的影响以及控制和减少影响的方案</w:t>
            </w:r>
          </w:p>
          <w:p>
            <w:pPr>
              <w:pStyle w:val="TableText"/>
              <w:ind w:left="1418"/>
              <w:spacing w:before="20" w:line="192" w:lineRule="auto"/>
              <w:rPr/>
            </w:pPr>
            <w:r>
              <w:rPr>
                <w:spacing w:val="-5"/>
              </w:rPr>
              <w:t>和措施等。</w:t>
            </w:r>
          </w:p>
        </w:tc>
        <w:tc>
          <w:tcPr>
            <w:tcW w:w="2876" w:type="dxa"/>
            <w:vAlign w:val="top"/>
          </w:tcPr>
          <w:p>
            <w:pPr>
              <w:pStyle w:val="TableText"/>
              <w:ind w:left="181"/>
              <w:spacing w:before="309" w:line="220" w:lineRule="auto"/>
              <w:rPr/>
            </w:pPr>
            <w:r>
              <w:rPr>
                <w:spacing w:val="-1"/>
              </w:rPr>
              <w:t>本项目主要为肉牛育肥基地</w:t>
            </w:r>
          </w:p>
          <w:p>
            <w:pPr>
              <w:pStyle w:val="TableText"/>
              <w:ind w:left="183"/>
              <w:spacing w:before="20" w:line="221" w:lineRule="auto"/>
              <w:rPr/>
            </w:pPr>
            <w:r>
              <w:rPr>
                <w:spacing w:val="-1"/>
              </w:rPr>
              <w:t>建设项目，满足动物防疫条</w:t>
            </w:r>
          </w:p>
          <w:p>
            <w:pPr>
              <w:pStyle w:val="TableText"/>
              <w:ind w:left="110"/>
              <w:spacing w:before="22" w:line="221" w:lineRule="auto"/>
              <w:rPr/>
            </w:pPr>
            <w:r>
              <w:rPr>
                <w:spacing w:val="-6"/>
              </w:rPr>
              <w:t>件，符合畜牧业发展规划、畜</w:t>
            </w:r>
          </w:p>
          <w:p>
            <w:pPr>
              <w:pStyle w:val="TableText"/>
              <w:ind w:left="182"/>
              <w:spacing w:before="19" w:line="221" w:lineRule="auto"/>
              <w:rPr/>
            </w:pPr>
            <w:r>
              <w:rPr>
                <w:spacing w:val="-1"/>
              </w:rPr>
              <w:t>禽养殖污染防治规划，根据</w:t>
            </w:r>
          </w:p>
          <w:p>
            <w:pPr>
              <w:pStyle w:val="TableText"/>
              <w:ind w:left="182"/>
              <w:spacing w:before="23" w:line="219" w:lineRule="auto"/>
              <w:rPr/>
            </w:pPr>
            <w:r>
              <w:rPr>
                <w:spacing w:val="-1"/>
              </w:rPr>
              <w:t>《建设项目环境影响评价分</w:t>
            </w:r>
          </w:p>
          <w:p>
            <w:pPr>
              <w:pStyle w:val="TableText"/>
              <w:ind w:left="111"/>
              <w:spacing w:before="22" w:line="220" w:lineRule="auto"/>
              <w:rPr/>
            </w:pPr>
            <w:r>
              <w:rPr>
                <w:spacing w:val="-6"/>
              </w:rPr>
              <w:t>类管理名录》，本项目编制环</w:t>
            </w:r>
          </w:p>
          <w:p>
            <w:pPr>
              <w:pStyle w:val="TableText"/>
              <w:ind w:left="112"/>
              <w:spacing w:before="23" w:line="219" w:lineRule="auto"/>
              <w:rPr/>
            </w:pPr>
            <w:r>
              <w:rPr>
                <w:spacing w:val="-6"/>
              </w:rPr>
              <w:t>境影响报告书，环境影响评价</w:t>
            </w:r>
          </w:p>
          <w:p>
            <w:pPr>
              <w:pStyle w:val="TableText"/>
              <w:ind w:left="128"/>
              <w:spacing w:before="22" w:line="221" w:lineRule="auto"/>
              <w:rPr/>
            </w:pPr>
            <w:r>
              <w:rPr>
                <w:spacing w:val="-8"/>
              </w:rPr>
              <w:t>的重点包括：畜禽养殖产生的</w:t>
            </w:r>
          </w:p>
          <w:p>
            <w:pPr>
              <w:pStyle w:val="TableText"/>
              <w:ind w:left="110"/>
              <w:spacing w:before="22" w:line="221" w:lineRule="auto"/>
              <w:rPr/>
            </w:pPr>
            <w:r>
              <w:rPr>
                <w:spacing w:val="-6"/>
              </w:rPr>
              <w:t>废弃物种类和数量，废弃物综</w:t>
            </w:r>
          </w:p>
          <w:p>
            <w:pPr>
              <w:pStyle w:val="TableText"/>
              <w:ind w:left="181"/>
              <w:spacing w:before="21" w:line="221" w:lineRule="auto"/>
              <w:rPr/>
            </w:pPr>
            <w:r>
              <w:rPr>
                <w:spacing w:val="-1"/>
              </w:rPr>
              <w:t>合利用和无害化处理方案和</w:t>
            </w:r>
          </w:p>
          <w:p>
            <w:pPr>
              <w:pStyle w:val="TableText"/>
              <w:ind w:left="111"/>
              <w:spacing w:before="21" w:line="221" w:lineRule="auto"/>
              <w:rPr/>
            </w:pPr>
            <w:r>
              <w:rPr>
                <w:spacing w:val="-6"/>
              </w:rPr>
              <w:t>措施，废弃物的消纳和处理情</w:t>
            </w:r>
          </w:p>
          <w:p>
            <w:pPr>
              <w:pStyle w:val="TableText"/>
              <w:ind w:left="113"/>
              <w:spacing w:before="20" w:line="221" w:lineRule="auto"/>
              <w:rPr/>
            </w:pPr>
            <w:r>
              <w:rPr>
                <w:spacing w:val="-6"/>
              </w:rPr>
              <w:t>况，最终可能对水体、土壤等</w:t>
            </w:r>
          </w:p>
          <w:p>
            <w:pPr>
              <w:pStyle w:val="TableText"/>
              <w:ind w:left="181"/>
              <w:spacing w:before="22" w:line="221" w:lineRule="auto"/>
              <w:rPr/>
            </w:pPr>
            <w:r>
              <w:rPr>
                <w:spacing w:val="-1"/>
              </w:rPr>
              <w:t>环境和人体健康产生的影响</w:t>
            </w:r>
          </w:p>
          <w:p>
            <w:pPr>
              <w:pStyle w:val="TableText"/>
              <w:ind w:left="204"/>
              <w:spacing w:before="21" w:line="221" w:lineRule="auto"/>
              <w:rPr/>
            </w:pPr>
            <w:r>
              <w:rPr>
                <w:spacing w:val="-3"/>
              </w:rPr>
              <w:t>以及控制和减少影响的方案</w:t>
            </w:r>
          </w:p>
          <w:p>
            <w:pPr>
              <w:pStyle w:val="TableText"/>
              <w:ind w:left="916"/>
              <w:spacing w:before="21" w:line="221" w:lineRule="auto"/>
              <w:rPr/>
            </w:pPr>
            <w:r>
              <w:rPr>
                <w:spacing w:val="-5"/>
              </w:rPr>
              <w:t>和措施等。</w:t>
            </w:r>
          </w:p>
        </w:tc>
        <w:tc>
          <w:tcPr>
            <w:tcW w:w="948" w:type="dxa"/>
            <w:vAlign w:val="top"/>
            <w:tcBorders>
              <w:right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71"/>
              <w:spacing w:before="69" w:line="221" w:lineRule="auto"/>
              <w:rPr/>
            </w:pPr>
            <w:r>
              <w:rPr>
                <w:spacing w:val="-2"/>
              </w:rPr>
              <w:t>符合</w:t>
            </w:r>
          </w:p>
        </w:tc>
      </w:tr>
      <w:tr>
        <w:trPr>
          <w:trHeight w:val="3019" w:hRule="atLeast"/>
        </w:trPr>
        <w:tc>
          <w:tcPr>
            <w:tcW w:w="1195" w:type="dxa"/>
            <w:vAlign w:val="top"/>
            <w:tcBorders>
              <w:left w:val="nil"/>
              <w:bottom w:val="single" w:color="000000" w:sz="10" w:space="0"/>
            </w:tcBorders>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560"/>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877" w:type="dxa"/>
            <w:vAlign w:val="top"/>
            <w:tcBorders>
              <w:bottom w:val="single" w:color="000000" w:sz="10" w:space="0"/>
            </w:tcBorders>
          </w:tcPr>
          <w:p>
            <w:pPr>
              <w:pStyle w:val="TableText"/>
              <w:ind w:left="127"/>
              <w:spacing w:before="50" w:line="221" w:lineRule="auto"/>
              <w:rPr/>
            </w:pPr>
            <w:r>
              <w:rPr>
                <w:spacing w:val="-1"/>
              </w:rPr>
              <w:t>畜禽养殖场、养殖小区应当根据养殖规</w:t>
            </w:r>
          </w:p>
          <w:p>
            <w:pPr>
              <w:pStyle w:val="TableText"/>
              <w:ind w:left="113"/>
              <w:spacing w:before="19" w:line="221" w:lineRule="auto"/>
              <w:rPr/>
            </w:pPr>
            <w:r>
              <w:rPr>
                <w:spacing w:val="-1"/>
              </w:rPr>
              <w:t>模和污染防治需要，建设相应的畜禽粪</w:t>
            </w:r>
          </w:p>
          <w:p>
            <w:pPr>
              <w:pStyle w:val="TableText"/>
              <w:ind w:left="114"/>
              <w:spacing w:before="22" w:line="221" w:lineRule="auto"/>
              <w:rPr/>
            </w:pPr>
            <w:r>
              <w:rPr>
                <w:spacing w:val="-1"/>
              </w:rPr>
              <w:t>便、污水与雨水分流设施，畜禽粪便、</w:t>
            </w:r>
          </w:p>
          <w:p>
            <w:pPr>
              <w:pStyle w:val="TableText"/>
              <w:ind w:right="13"/>
              <w:spacing w:before="20" w:line="220" w:lineRule="auto"/>
              <w:jc w:val="right"/>
              <w:rPr/>
            </w:pPr>
            <w:r>
              <w:rPr>
                <w:spacing w:val="-3"/>
              </w:rPr>
              <w:t>污水的贮存设施，粪污厌氧消化和堆沤、</w:t>
            </w:r>
          </w:p>
          <w:p>
            <w:pPr>
              <w:pStyle w:val="TableText"/>
              <w:ind w:left="114"/>
              <w:spacing w:before="23" w:line="220" w:lineRule="auto"/>
              <w:rPr/>
            </w:pPr>
            <w:r>
              <w:rPr>
                <w:spacing w:val="-1"/>
              </w:rPr>
              <w:t>有机肥加工、制取沼气、沼渣沼液分离</w:t>
            </w:r>
          </w:p>
          <w:p>
            <w:pPr>
              <w:pStyle w:val="TableText"/>
              <w:ind w:left="114"/>
              <w:spacing w:before="20" w:line="221" w:lineRule="auto"/>
              <w:rPr/>
            </w:pPr>
            <w:r>
              <w:rPr>
                <w:spacing w:val="-1"/>
              </w:rPr>
              <w:t>和输送、污水处理、畜禽尸体处理等综</w:t>
            </w:r>
          </w:p>
          <w:p>
            <w:pPr>
              <w:pStyle w:val="TableText"/>
              <w:ind w:left="114"/>
              <w:spacing w:before="23" w:line="221" w:lineRule="auto"/>
              <w:rPr/>
            </w:pPr>
            <w:r>
              <w:rPr>
                <w:spacing w:val="-1"/>
              </w:rPr>
              <w:t>合利用和无害化处理设施。已经委托他</w:t>
            </w:r>
          </w:p>
          <w:p>
            <w:pPr>
              <w:pStyle w:val="TableText"/>
              <w:ind w:left="115"/>
              <w:spacing w:before="19" w:line="221" w:lineRule="auto"/>
              <w:rPr/>
            </w:pPr>
            <w:r>
              <w:rPr>
                <w:spacing w:val="-1"/>
              </w:rPr>
              <w:t>人对畜禽养殖废弃物代为综合利用和无</w:t>
            </w:r>
          </w:p>
          <w:p>
            <w:pPr>
              <w:pStyle w:val="TableText"/>
              <w:ind w:left="118"/>
              <w:spacing w:before="21" w:line="221" w:lineRule="auto"/>
              <w:rPr/>
            </w:pPr>
            <w:r>
              <w:rPr>
                <w:spacing w:val="-1"/>
              </w:rPr>
              <w:t>害化处理的，可以不自行建设综合利用</w:t>
            </w:r>
          </w:p>
          <w:p>
            <w:pPr>
              <w:pStyle w:val="TableText"/>
              <w:ind w:left="998"/>
              <w:spacing w:before="22" w:line="221" w:lineRule="auto"/>
              <w:rPr/>
            </w:pPr>
            <w:r>
              <w:rPr>
                <w:spacing w:val="-3"/>
              </w:rPr>
              <w:t>和无害化处理设施。</w:t>
            </w:r>
          </w:p>
          <w:p>
            <w:pPr>
              <w:pStyle w:val="TableText"/>
              <w:ind w:left="160"/>
              <w:spacing w:before="19" w:line="208" w:lineRule="auto"/>
              <w:rPr/>
            </w:pPr>
            <w:r>
              <w:rPr>
                <w:spacing w:val="-1"/>
              </w:rPr>
              <w:t>未建设污染防治配套设施、自行建设的</w:t>
            </w:r>
          </w:p>
        </w:tc>
        <w:tc>
          <w:tcPr>
            <w:tcW w:w="2876" w:type="dxa"/>
            <w:vAlign w:val="top"/>
            <w:tcBorders>
              <w:bottom w:val="single" w:color="000000" w:sz="10" w:space="0"/>
            </w:tcBorders>
          </w:tcPr>
          <w:p>
            <w:pPr>
              <w:spacing w:line="328" w:lineRule="auto"/>
              <w:rPr>
                <w:rFonts w:ascii="Arial"/>
                <w:sz w:val="21"/>
              </w:rPr>
            </w:pPr>
            <w:r/>
          </w:p>
          <w:p>
            <w:pPr>
              <w:spacing w:line="329" w:lineRule="auto"/>
              <w:rPr>
                <w:rFonts w:ascii="Arial"/>
                <w:sz w:val="21"/>
              </w:rPr>
            </w:pPr>
            <w:r/>
          </w:p>
          <w:p>
            <w:pPr>
              <w:pStyle w:val="TableText"/>
              <w:ind w:left="112"/>
              <w:spacing w:before="68" w:line="220" w:lineRule="auto"/>
              <w:rPr/>
            </w:pPr>
            <w:r>
              <w:rPr>
                <w:spacing w:val="-6"/>
              </w:rPr>
              <w:t>本项目牛棚铺设垫料，牛尿及</w:t>
            </w:r>
          </w:p>
          <w:p>
            <w:pPr>
              <w:pStyle w:val="TableText"/>
              <w:ind w:left="116"/>
              <w:spacing w:before="23" w:line="221" w:lineRule="auto"/>
              <w:rPr/>
            </w:pPr>
            <w:r>
              <w:rPr>
                <w:spacing w:val="-7"/>
              </w:rPr>
              <w:t>牛粪进入垫料，废垫料暂存于</w:t>
            </w:r>
          </w:p>
          <w:p>
            <w:pPr>
              <w:pStyle w:val="TableText"/>
              <w:ind w:left="110"/>
              <w:spacing w:before="19" w:line="221" w:lineRule="auto"/>
              <w:rPr/>
            </w:pPr>
            <w:r>
              <w:rPr>
                <w:spacing w:val="-6"/>
              </w:rPr>
              <w:t>储粪库，外售给相关单位生产</w:t>
            </w:r>
          </w:p>
          <w:p>
            <w:pPr>
              <w:pStyle w:val="TableText"/>
              <w:ind w:left="112"/>
              <w:spacing w:before="22" w:line="220" w:lineRule="auto"/>
              <w:rPr/>
            </w:pPr>
            <w:r>
              <w:rPr>
                <w:spacing w:val="-6"/>
              </w:rPr>
              <w:t>有机肥；病死牛委托相关单位</w:t>
            </w:r>
          </w:p>
          <w:p>
            <w:pPr>
              <w:pStyle w:val="TableText"/>
              <w:ind w:left="109"/>
              <w:spacing w:before="21" w:line="220" w:lineRule="auto"/>
              <w:rPr/>
            </w:pPr>
            <w:r>
              <w:rPr>
                <w:spacing w:val="-6"/>
              </w:rPr>
              <w:t>进行无害化处置；场区采取雨</w:t>
            </w:r>
          </w:p>
          <w:p>
            <w:pPr>
              <w:pStyle w:val="TableText"/>
              <w:ind w:left="813"/>
              <w:spacing w:before="23" w:line="221" w:lineRule="auto"/>
              <w:rPr/>
            </w:pPr>
            <w:r>
              <w:rPr>
                <w:spacing w:val="-2"/>
              </w:rPr>
              <w:t>污分离措施。</w:t>
            </w:r>
          </w:p>
        </w:tc>
        <w:tc>
          <w:tcPr>
            <w:tcW w:w="948" w:type="dxa"/>
            <w:vAlign w:val="top"/>
            <w:tcBorders>
              <w:right w:val="nil"/>
              <w:bottom w:val="single" w:color="000000" w:sz="10" w:space="0"/>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71"/>
              <w:spacing w:before="68" w:line="221" w:lineRule="auto"/>
              <w:rPr/>
            </w:pPr>
            <w:r>
              <w:rPr>
                <w:spacing w:val="-2"/>
              </w:rPr>
              <w:t>符合</w:t>
            </w:r>
          </w:p>
        </w:tc>
      </w:tr>
    </w:tbl>
    <w:p>
      <w:pPr>
        <w:pStyle w:val="BodyText"/>
        <w:rPr/>
      </w:pPr>
      <w:r>
        <w:pict>
          <v:shape id="_x0000_s16" style="position:absolute;margin-left:14.406pt;margin-top:13.754pt;mso-position-vertical-relative:text;mso-position-horizontal-relative:text;width:425.7pt;height:0.6pt;z-index:251661312;" filled="false" strokecolor="#808080" strokeweight="0.50pt" coordsize="8514,12" coordorigin="0,0" path="m5,5l8508,6e">
            <v:stroke endcap="round" miterlimit="10"/>
          </v:shape>
        </w:pict>
      </w:r>
      <w:r/>
    </w:p>
    <w:p>
      <w:pPr>
        <w:sectPr>
          <w:headerReference w:type="default" r:id="rId10"/>
          <w:footerReference w:type="default" r:id="rId11"/>
          <w:pgSz w:w="11907" w:h="16839"/>
          <w:pgMar w:top="1422" w:right="1591" w:bottom="1618" w:left="1418" w:header="1033" w:footer="1415" w:gutter="0"/>
        </w:sectPr>
        <w:rPr/>
      </w:pPr>
    </w:p>
    <w:p>
      <w:pPr>
        <w:spacing w:before="37"/>
        <w:rPr/>
      </w:pPr>
      <w:r/>
    </w:p>
    <w:tbl>
      <w:tblPr>
        <w:tblStyle w:val="TableNormal"/>
        <w:tblW w:w="889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95"/>
        <w:gridCol w:w="3877"/>
        <w:gridCol w:w="2876"/>
        <w:gridCol w:w="948"/>
      </w:tblGrid>
      <w:tr>
        <w:trPr>
          <w:trHeight w:val="1629" w:hRule="atLeast"/>
        </w:trPr>
        <w:tc>
          <w:tcPr>
            <w:tcW w:w="1195" w:type="dxa"/>
            <w:vAlign w:val="top"/>
            <w:tcBorders>
              <w:top w:val="single" w:color="000000" w:sz="10" w:space="0"/>
              <w:left w:val="nil"/>
            </w:tcBorders>
          </w:tcPr>
          <w:p>
            <w:pPr>
              <w:rPr>
                <w:rFonts w:ascii="Arial"/>
                <w:sz w:val="21"/>
              </w:rPr>
            </w:pPr>
            <w:r/>
          </w:p>
        </w:tc>
        <w:tc>
          <w:tcPr>
            <w:tcW w:w="3877" w:type="dxa"/>
            <w:vAlign w:val="top"/>
            <w:tcBorders>
              <w:top w:val="single" w:color="000000" w:sz="10" w:space="0"/>
            </w:tcBorders>
          </w:tcPr>
          <w:p>
            <w:pPr>
              <w:pStyle w:val="TableText"/>
              <w:ind w:left="157"/>
              <w:spacing w:before="33" w:line="221" w:lineRule="auto"/>
              <w:rPr/>
            </w:pPr>
            <w:r>
              <w:rPr>
                <w:spacing w:val="-1"/>
              </w:rPr>
              <w:t>配套设施不合格，或者未委托他人对畜</w:t>
            </w:r>
          </w:p>
          <w:p>
            <w:pPr>
              <w:pStyle w:val="TableText"/>
              <w:ind w:left="158"/>
              <w:spacing w:before="22" w:line="221" w:lineRule="auto"/>
              <w:rPr/>
            </w:pPr>
            <w:r>
              <w:rPr>
                <w:spacing w:val="-1"/>
              </w:rPr>
              <w:t>禽养殖废弃物进行综合利用和无害化处</w:t>
            </w:r>
          </w:p>
          <w:p>
            <w:pPr>
              <w:pStyle w:val="TableText"/>
              <w:ind w:left="159"/>
              <w:spacing w:before="19" w:line="221" w:lineRule="auto"/>
              <w:rPr/>
            </w:pPr>
            <w:r>
              <w:rPr>
                <w:spacing w:val="-1"/>
              </w:rPr>
              <w:t>理的，畜禽养殖场、养殖小区不得投入</w:t>
            </w:r>
          </w:p>
          <w:p>
            <w:pPr>
              <w:pStyle w:val="TableText"/>
              <w:ind w:left="1210"/>
              <w:spacing w:before="22" w:line="221" w:lineRule="auto"/>
              <w:rPr/>
            </w:pPr>
            <w:r>
              <w:rPr>
                <w:spacing w:val="-4"/>
              </w:rPr>
              <w:t>生产或者使用。</w:t>
            </w:r>
          </w:p>
          <w:p>
            <w:pPr>
              <w:pStyle w:val="TableText"/>
              <w:ind w:left="118" w:right="191" w:firstLine="8"/>
              <w:spacing w:before="19" w:line="218" w:lineRule="auto"/>
              <w:rPr/>
            </w:pPr>
            <w:r>
              <w:rPr>
                <w:spacing w:val="-2"/>
              </w:rPr>
              <w:t>畜禽养殖场、养殖小区自行建设污染防</w:t>
            </w:r>
            <w:r>
              <w:rPr>
                <w:spacing w:val="-3"/>
              </w:rPr>
              <w:t>治配套设施的，应当确保其正常运行。</w:t>
            </w:r>
          </w:p>
        </w:tc>
        <w:tc>
          <w:tcPr>
            <w:tcW w:w="2876" w:type="dxa"/>
            <w:vAlign w:val="top"/>
            <w:tcBorders>
              <w:top w:val="single" w:color="000000" w:sz="10" w:space="0"/>
            </w:tcBorders>
          </w:tcPr>
          <w:p>
            <w:pPr>
              <w:rPr>
                <w:rFonts w:ascii="Arial"/>
                <w:sz w:val="21"/>
              </w:rPr>
            </w:pPr>
            <w:r/>
          </w:p>
        </w:tc>
        <w:tc>
          <w:tcPr>
            <w:tcW w:w="948" w:type="dxa"/>
            <w:vAlign w:val="top"/>
            <w:tcBorders>
              <w:top w:val="single" w:color="000000" w:sz="10" w:space="0"/>
              <w:right w:val="nil"/>
            </w:tcBorders>
          </w:tcPr>
          <w:p>
            <w:pPr>
              <w:rPr>
                <w:rFonts w:ascii="Arial"/>
                <w:sz w:val="21"/>
              </w:rPr>
            </w:pPr>
            <w:r/>
          </w:p>
        </w:tc>
      </w:tr>
      <w:tr>
        <w:trPr>
          <w:trHeight w:val="1110" w:hRule="atLeast"/>
        </w:trPr>
        <w:tc>
          <w:tcPr>
            <w:tcW w:w="1195" w:type="dxa"/>
            <w:vAlign w:val="top"/>
            <w:tcBorders>
              <w:bottom w:val="single" w:color="000000" w:sz="10" w:space="0"/>
              <w:left w:val="nil"/>
            </w:tcBorders>
          </w:tcPr>
          <w:p>
            <w:pPr>
              <w:spacing w:line="419" w:lineRule="auto"/>
              <w:rPr>
                <w:rFonts w:ascii="Arial"/>
                <w:sz w:val="21"/>
              </w:rPr>
            </w:pPr>
            <w:r/>
          </w:p>
          <w:p>
            <w:pPr>
              <w:ind w:left="555"/>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877" w:type="dxa"/>
            <w:vAlign w:val="top"/>
            <w:tcBorders>
              <w:bottom w:val="single" w:color="000000" w:sz="10" w:space="0"/>
            </w:tcBorders>
          </w:tcPr>
          <w:p>
            <w:pPr>
              <w:pStyle w:val="TableText"/>
              <w:ind w:left="159"/>
              <w:spacing w:before="43" w:line="220" w:lineRule="auto"/>
              <w:rPr/>
            </w:pPr>
            <w:r>
              <w:rPr>
                <w:spacing w:val="-1"/>
              </w:rPr>
              <w:t>从事畜禽养殖活动，应当采取科学的饲</w:t>
            </w:r>
          </w:p>
          <w:p>
            <w:pPr>
              <w:pStyle w:val="TableText"/>
              <w:ind w:left="157"/>
              <w:spacing w:before="23" w:line="221" w:lineRule="auto"/>
              <w:rPr/>
            </w:pPr>
            <w:r>
              <w:rPr>
                <w:spacing w:val="-1"/>
              </w:rPr>
              <w:t>养方式和废弃物处理工艺等有效措施，</w:t>
            </w:r>
          </w:p>
          <w:p>
            <w:pPr>
              <w:pStyle w:val="TableText"/>
              <w:ind w:left="157"/>
              <w:spacing w:before="19" w:line="221" w:lineRule="auto"/>
              <w:rPr/>
            </w:pPr>
            <w:r>
              <w:rPr>
                <w:spacing w:val="-1"/>
              </w:rPr>
              <w:t>减少畜禽养殖废弃物的产生量和向环境</w:t>
            </w:r>
          </w:p>
          <w:p>
            <w:pPr>
              <w:pStyle w:val="TableText"/>
              <w:ind w:left="1434"/>
              <w:spacing w:before="22" w:line="209" w:lineRule="auto"/>
              <w:rPr/>
            </w:pPr>
            <w:r>
              <w:rPr>
                <w:spacing w:val="-8"/>
              </w:rPr>
              <w:t>的排放量。</w:t>
            </w:r>
          </w:p>
        </w:tc>
        <w:tc>
          <w:tcPr>
            <w:tcW w:w="2876" w:type="dxa"/>
            <w:vAlign w:val="top"/>
            <w:tcBorders>
              <w:bottom w:val="single" w:color="000000" w:sz="10" w:space="0"/>
            </w:tcBorders>
          </w:tcPr>
          <w:p>
            <w:pPr>
              <w:pStyle w:val="TableText"/>
              <w:ind w:left="181"/>
              <w:spacing w:before="43" w:line="220" w:lineRule="auto"/>
              <w:rPr/>
            </w:pPr>
            <w:r>
              <w:rPr>
                <w:spacing w:val="-1"/>
              </w:rPr>
              <w:t>本项目采取科学的饲养方式</w:t>
            </w:r>
          </w:p>
          <w:p>
            <w:pPr>
              <w:pStyle w:val="TableText"/>
              <w:ind w:left="181"/>
              <w:spacing w:before="23" w:line="221" w:lineRule="auto"/>
              <w:rPr/>
            </w:pPr>
            <w:r>
              <w:rPr>
                <w:spacing w:val="-1"/>
              </w:rPr>
              <w:t>和废弃物处理工艺等有效措</w:t>
            </w:r>
          </w:p>
          <w:p>
            <w:pPr>
              <w:pStyle w:val="TableText"/>
              <w:ind w:left="110"/>
              <w:spacing w:before="19" w:line="221" w:lineRule="auto"/>
              <w:rPr/>
            </w:pPr>
            <w:r>
              <w:rPr>
                <w:spacing w:val="-6"/>
              </w:rPr>
              <w:t>施，减少畜禽养殖废弃物的产</w:t>
            </w:r>
          </w:p>
          <w:p>
            <w:pPr>
              <w:pStyle w:val="TableText"/>
              <w:ind w:left="288"/>
              <w:spacing w:before="22" w:line="209" w:lineRule="auto"/>
              <w:rPr/>
            </w:pPr>
            <w:r>
              <w:rPr>
                <w:spacing w:val="-2"/>
              </w:rPr>
              <w:t>生量和向环境的排放量。</w:t>
            </w:r>
          </w:p>
        </w:tc>
        <w:tc>
          <w:tcPr>
            <w:tcW w:w="948" w:type="dxa"/>
            <w:vAlign w:val="top"/>
            <w:tcBorders>
              <w:bottom w:val="single" w:color="000000" w:sz="10" w:space="0"/>
              <w:right w:val="nil"/>
            </w:tcBorders>
          </w:tcPr>
          <w:p>
            <w:pPr>
              <w:spacing w:line="380" w:lineRule="auto"/>
              <w:rPr>
                <w:rFonts w:ascii="Arial"/>
                <w:sz w:val="21"/>
              </w:rPr>
            </w:pPr>
            <w:r/>
          </w:p>
          <w:p>
            <w:pPr>
              <w:pStyle w:val="TableText"/>
              <w:ind w:left="271"/>
              <w:spacing w:before="69" w:line="221" w:lineRule="auto"/>
              <w:rPr/>
            </w:pPr>
            <w:r>
              <w:rPr>
                <w:spacing w:val="-2"/>
              </w:rPr>
              <w:t>符合</w:t>
            </w:r>
          </w:p>
        </w:tc>
      </w:tr>
    </w:tbl>
    <w:p>
      <w:pPr>
        <w:ind w:left="293" w:right="3" w:firstLine="481"/>
        <w:spacing w:before="33" w:line="351" w:lineRule="auto"/>
        <w:rPr>
          <w:rFonts w:ascii="SimSun" w:hAnsi="SimSun" w:eastAsia="SimSun" w:cs="SimSun"/>
          <w:sz w:val="24"/>
          <w:szCs w:val="24"/>
        </w:rPr>
      </w:pPr>
      <w:r>
        <w:rPr>
          <w:rFonts w:ascii="SimSun" w:hAnsi="SimSun" w:eastAsia="SimSun" w:cs="SimSun"/>
          <w:sz w:val="24"/>
          <w:szCs w:val="24"/>
          <w:spacing w:val="-3"/>
        </w:rPr>
        <w:t>综上所述，本项目符合《畜禽规模养殖污染防治条例》（国务院令第</w:t>
      </w:r>
      <w:r>
        <w:rPr>
          <w:rFonts w:ascii="SimSun" w:hAnsi="SimSun" w:eastAsia="SimSun" w:cs="SimSun"/>
          <w:sz w:val="24"/>
          <w:szCs w:val="24"/>
          <w:spacing w:val="-15"/>
        </w:rPr>
        <w:t xml:space="preserve"> </w:t>
      </w:r>
      <w:r>
        <w:rPr>
          <w:rFonts w:ascii="Times New Roman" w:hAnsi="Times New Roman" w:eastAsia="Times New Roman" w:cs="Times New Roman"/>
          <w:sz w:val="24"/>
          <w:szCs w:val="24"/>
          <w:spacing w:val="-3"/>
        </w:rPr>
        <w:t>643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号）</w:t>
      </w:r>
      <w:r>
        <w:rPr>
          <w:rFonts w:ascii="SimSun" w:hAnsi="SimSun" w:eastAsia="SimSun" w:cs="SimSun"/>
          <w:sz w:val="24"/>
          <w:szCs w:val="24"/>
          <w:spacing w:val="-5"/>
        </w:rPr>
        <w:t>规定的选址要求。</w:t>
      </w:r>
    </w:p>
    <w:p>
      <w:pPr>
        <w:ind w:left="299"/>
        <w:spacing w:before="284" w:line="233" w:lineRule="auto"/>
        <w:rPr>
          <w:rFonts w:ascii="SimSun" w:hAnsi="SimSun" w:eastAsia="SimSun" w:cs="SimSun"/>
          <w:sz w:val="24"/>
          <w:szCs w:val="24"/>
        </w:rPr>
      </w:pPr>
      <w:r>
        <w:rPr>
          <w:rFonts w:ascii="Times New Roman" w:hAnsi="Times New Roman" w:eastAsia="Times New Roman" w:cs="Times New Roman"/>
          <w:sz w:val="24"/>
          <w:szCs w:val="24"/>
          <w:b/>
          <w:bCs/>
          <w:spacing w:val="-1"/>
        </w:rPr>
        <w:t>1.4.3 </w:t>
      </w:r>
      <w:r>
        <w:rPr>
          <w:rFonts w:ascii="SimSun" w:hAnsi="SimSun" w:eastAsia="SimSun" w:cs="SimSun"/>
          <w:sz w:val="24"/>
          <w:szCs w:val="24"/>
          <w:b/>
          <w:bCs/>
          <w:spacing w:val="-1"/>
        </w:rPr>
        <w:t>项目与《畜禽养殖业污染防治工程技</w:t>
      </w:r>
      <w:r>
        <w:rPr>
          <w:rFonts w:ascii="SimSun" w:hAnsi="SimSun" w:eastAsia="SimSun" w:cs="SimSun"/>
          <w:sz w:val="24"/>
          <w:szCs w:val="24"/>
          <w:b/>
          <w:bCs/>
          <w:spacing w:val="-2"/>
        </w:rPr>
        <w:t>术规范》（</w:t>
      </w:r>
      <w:r>
        <w:rPr>
          <w:rFonts w:ascii="Times New Roman" w:hAnsi="Times New Roman" w:eastAsia="Times New Roman" w:cs="Times New Roman"/>
          <w:sz w:val="24"/>
          <w:szCs w:val="24"/>
          <w:b/>
          <w:bCs/>
          <w:spacing w:val="-2"/>
        </w:rPr>
        <w:t>HJ497-2009</w:t>
      </w:r>
      <w:r>
        <w:rPr>
          <w:rFonts w:ascii="SimSun" w:hAnsi="SimSun" w:eastAsia="SimSun" w:cs="SimSun"/>
          <w:sz w:val="24"/>
          <w:szCs w:val="24"/>
          <w:b/>
          <w:bCs/>
          <w:spacing w:val="-2"/>
        </w:rPr>
        <w:t>）符合性分析</w:t>
      </w:r>
    </w:p>
    <w:p>
      <w:pPr>
        <w:pStyle w:val="BodyText"/>
        <w:spacing w:line="342" w:lineRule="auto"/>
        <w:rPr/>
      </w:pPr>
      <w:r/>
    </w:p>
    <w:p>
      <w:pPr>
        <w:ind w:left="298" w:right="106" w:firstLine="479"/>
        <w:spacing w:before="78" w:line="359" w:lineRule="auto"/>
        <w:jc w:val="both"/>
        <w:rPr>
          <w:rFonts w:ascii="SimSun" w:hAnsi="SimSun" w:eastAsia="SimSun" w:cs="SimSun"/>
          <w:sz w:val="24"/>
          <w:szCs w:val="24"/>
        </w:rPr>
      </w:pPr>
      <w:r>
        <w:rPr>
          <w:rFonts w:ascii="SimSun" w:hAnsi="SimSun" w:eastAsia="SimSun" w:cs="SimSun"/>
          <w:sz w:val="24"/>
          <w:szCs w:val="24"/>
          <w:spacing w:val="-3"/>
        </w:rPr>
        <w:t>原环境保护部</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3"/>
        </w:rPr>
        <w:t>2009</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3"/>
        </w:rPr>
        <w:t>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9</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月</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3"/>
        </w:rPr>
        <w:t>30  </w:t>
      </w:r>
      <w:r>
        <w:rPr>
          <w:rFonts w:ascii="SimSun" w:hAnsi="SimSun" w:eastAsia="SimSun" w:cs="SimSun"/>
          <w:sz w:val="24"/>
          <w:szCs w:val="24"/>
          <w:spacing w:val="-3"/>
        </w:rPr>
        <w:t>日批准了《畜禽养殖业污染物治理工程技术规</w:t>
      </w:r>
      <w:r>
        <w:rPr>
          <w:rFonts w:ascii="SimSun" w:hAnsi="SimSun" w:eastAsia="SimSun" w:cs="SimSun"/>
          <w:sz w:val="24"/>
          <w:szCs w:val="24"/>
          <w:spacing w:val="-4"/>
        </w:rPr>
        <w:t>范》（</w:t>
      </w:r>
      <w:r>
        <w:rPr>
          <w:rFonts w:ascii="Times New Roman" w:hAnsi="Times New Roman" w:eastAsia="Times New Roman" w:cs="Times New Roman"/>
          <w:sz w:val="24"/>
          <w:szCs w:val="24"/>
          <w:spacing w:val="-4"/>
        </w:rPr>
        <w:t>HJ497-2009</w:t>
      </w:r>
      <w:r>
        <w:rPr>
          <w:rFonts w:ascii="SimSun" w:hAnsi="SimSun" w:eastAsia="SimSun" w:cs="SimSun"/>
          <w:sz w:val="24"/>
          <w:szCs w:val="24"/>
          <w:spacing w:val="-11"/>
        </w:rPr>
        <w:t>），</w:t>
      </w:r>
      <w:r>
        <w:rPr>
          <w:rFonts w:ascii="SimSun" w:hAnsi="SimSun" w:eastAsia="SimSun" w:cs="SimSun"/>
          <w:sz w:val="24"/>
          <w:szCs w:val="24"/>
          <w:spacing w:val="-4"/>
        </w:rPr>
        <w:t>自 </w:t>
      </w:r>
      <w:r>
        <w:rPr>
          <w:rFonts w:ascii="Times New Roman" w:hAnsi="Times New Roman" w:eastAsia="Times New Roman" w:cs="Times New Roman"/>
          <w:sz w:val="24"/>
          <w:szCs w:val="24"/>
          <w:spacing w:val="-4"/>
        </w:rPr>
        <w:t>2009</w:t>
      </w:r>
      <w:r>
        <w:rPr>
          <w:rFonts w:ascii="Times New Roman" w:hAnsi="Times New Roman" w:eastAsia="Times New Roman" w:cs="Times New Roman"/>
          <w:sz w:val="24"/>
          <w:szCs w:val="24"/>
          <w:spacing w:val="30"/>
          <w:w w:val="101"/>
        </w:rPr>
        <w:t xml:space="preserve"> </w:t>
      </w:r>
      <w:r>
        <w:rPr>
          <w:rFonts w:ascii="SimSun" w:hAnsi="SimSun" w:eastAsia="SimSun" w:cs="SimSun"/>
          <w:sz w:val="24"/>
          <w:szCs w:val="24"/>
          <w:spacing w:val="-4"/>
        </w:rPr>
        <w:t>年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34"/>
          <w:w w:val="101"/>
        </w:rPr>
        <w:t xml:space="preserve"> </w:t>
      </w:r>
      <w:r>
        <w:rPr>
          <w:rFonts w:ascii="SimSun" w:hAnsi="SimSun" w:eastAsia="SimSun" w:cs="SimSun"/>
          <w:sz w:val="24"/>
          <w:szCs w:val="24"/>
          <w:spacing w:val="-4"/>
        </w:rPr>
        <w:t>月 </w:t>
      </w:r>
      <w:r>
        <w:rPr>
          <w:rFonts w:ascii="Times New Roman" w:hAnsi="Times New Roman" w:eastAsia="Times New Roman" w:cs="Times New Roman"/>
          <w:sz w:val="24"/>
          <w:szCs w:val="24"/>
          <w:spacing w:val="-4"/>
        </w:rPr>
        <w:t>1  </w:t>
      </w:r>
      <w:r>
        <w:rPr>
          <w:rFonts w:ascii="SimSun" w:hAnsi="SimSun" w:eastAsia="SimSun" w:cs="SimSun"/>
          <w:sz w:val="24"/>
          <w:szCs w:val="24"/>
          <w:spacing w:val="-4"/>
        </w:rPr>
        <w:t>日起实施。项目与《畜禽养殖业污染物</w:t>
      </w:r>
      <w:r>
        <w:rPr>
          <w:rFonts w:ascii="SimSun" w:hAnsi="SimSun" w:eastAsia="SimSun" w:cs="SimSun"/>
          <w:sz w:val="24"/>
          <w:szCs w:val="24"/>
          <w:spacing w:val="-2"/>
        </w:rPr>
        <w:t>治理工程技术规范》（</w:t>
      </w:r>
      <w:r>
        <w:rPr>
          <w:rFonts w:ascii="Times New Roman" w:hAnsi="Times New Roman" w:eastAsia="Times New Roman" w:cs="Times New Roman"/>
          <w:sz w:val="24"/>
          <w:szCs w:val="24"/>
          <w:spacing w:val="-2"/>
        </w:rPr>
        <w:t>HJ497-2009</w:t>
      </w:r>
      <w:r>
        <w:rPr>
          <w:rFonts w:ascii="SimSun" w:hAnsi="SimSun" w:eastAsia="SimSun" w:cs="SimSun"/>
          <w:sz w:val="24"/>
          <w:szCs w:val="24"/>
          <w:spacing w:val="-2"/>
        </w:rPr>
        <w:t>）符合性分析如下。</w:t>
      </w:r>
    </w:p>
    <w:p>
      <w:pPr>
        <w:ind w:left="1097"/>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2"/>
        </w:rPr>
        <w:t>1-2    </w:t>
      </w:r>
      <w:r>
        <w:rPr>
          <w:rFonts w:ascii="SimSun" w:hAnsi="SimSun" w:eastAsia="SimSun" w:cs="SimSun"/>
          <w:sz w:val="24"/>
          <w:szCs w:val="24"/>
          <w:b/>
          <w:bCs/>
          <w:spacing w:val="-2"/>
        </w:rPr>
        <w:t>项目与《畜禽养殖业污染防治工程技术规范》符合性分析</w:t>
      </w:r>
    </w:p>
    <w:p>
      <w:pPr>
        <w:spacing w:line="128" w:lineRule="exact"/>
        <w:rPr/>
      </w:pPr>
      <w:r/>
    </w:p>
    <w:tbl>
      <w:tblPr>
        <w:tblStyle w:val="TableNormal"/>
        <w:tblW w:w="8735" w:type="dxa"/>
        <w:tblInd w:w="1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8"/>
        <w:gridCol w:w="3437"/>
        <w:gridCol w:w="3356"/>
        <w:gridCol w:w="814"/>
      </w:tblGrid>
      <w:tr>
        <w:trPr>
          <w:trHeight w:val="554" w:hRule="atLeast"/>
        </w:trPr>
        <w:tc>
          <w:tcPr>
            <w:tcW w:w="1128" w:type="dxa"/>
            <w:vAlign w:val="top"/>
            <w:tcBorders>
              <w:left w:val="nil"/>
              <w:top w:val="single" w:color="000000" w:sz="10" w:space="0"/>
            </w:tcBorders>
          </w:tcPr>
          <w:p>
            <w:pPr>
              <w:pStyle w:val="TableText"/>
              <w:ind w:left="367"/>
              <w:spacing w:before="170" w:line="222" w:lineRule="auto"/>
              <w:rPr/>
            </w:pPr>
            <w:r>
              <w:rPr>
                <w:b/>
                <w:bCs/>
                <w:spacing w:val="-4"/>
              </w:rPr>
              <w:t>序号</w:t>
            </w:r>
          </w:p>
        </w:tc>
        <w:tc>
          <w:tcPr>
            <w:tcW w:w="3437" w:type="dxa"/>
            <w:vAlign w:val="top"/>
            <w:tcBorders>
              <w:top w:val="single" w:color="000000" w:sz="10" w:space="0"/>
            </w:tcBorders>
          </w:tcPr>
          <w:p>
            <w:pPr>
              <w:pStyle w:val="TableText"/>
              <w:ind w:left="1303"/>
              <w:spacing w:before="170" w:line="221" w:lineRule="auto"/>
              <w:rPr/>
            </w:pPr>
            <w:r>
              <w:rPr>
                <w:b/>
                <w:bCs/>
                <w:spacing w:val="-4"/>
              </w:rPr>
              <w:t>文件要求</w:t>
            </w:r>
          </w:p>
        </w:tc>
        <w:tc>
          <w:tcPr>
            <w:tcW w:w="3356" w:type="dxa"/>
            <w:vAlign w:val="top"/>
            <w:tcBorders>
              <w:top w:val="single" w:color="000000" w:sz="10" w:space="0"/>
            </w:tcBorders>
          </w:tcPr>
          <w:p>
            <w:pPr>
              <w:pStyle w:val="TableText"/>
              <w:ind w:left="1156"/>
              <w:spacing w:before="170" w:line="220" w:lineRule="auto"/>
              <w:rPr/>
            </w:pPr>
            <w:r>
              <w:rPr>
                <w:b/>
                <w:bCs/>
                <w:spacing w:val="-3"/>
              </w:rPr>
              <w:t>本项目情况</w:t>
            </w:r>
          </w:p>
        </w:tc>
        <w:tc>
          <w:tcPr>
            <w:tcW w:w="814" w:type="dxa"/>
            <w:vAlign w:val="top"/>
            <w:tcBorders>
              <w:right w:val="nil"/>
              <w:top w:val="single" w:color="000000" w:sz="10" w:space="0"/>
            </w:tcBorders>
          </w:tcPr>
          <w:p>
            <w:pPr>
              <w:pStyle w:val="TableText"/>
              <w:ind w:left="308" w:right="196" w:hanging="108"/>
              <w:spacing w:before="36" w:line="223" w:lineRule="auto"/>
              <w:rPr/>
            </w:pPr>
            <w:r>
              <w:rPr>
                <w:b/>
                <w:bCs/>
                <w:spacing w:val="-6"/>
              </w:rPr>
              <w:t>相符</w:t>
            </w:r>
            <w:r>
              <w:rPr>
                <w:b/>
                <w:bCs/>
                <w:spacing w:val="-3"/>
              </w:rPr>
              <w:t>性</w:t>
            </w:r>
          </w:p>
        </w:tc>
      </w:tr>
      <w:tr>
        <w:trPr>
          <w:trHeight w:val="2445" w:hRule="atLeast"/>
        </w:trPr>
        <w:tc>
          <w:tcPr>
            <w:tcW w:w="1128" w:type="dxa"/>
            <w:vAlign w:val="top"/>
            <w:tcBorders>
              <w:left w:val="nil"/>
            </w:tcBorders>
          </w:tcPr>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543"/>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437" w:type="dxa"/>
            <w:vAlign w:val="top"/>
          </w:tcPr>
          <w:p>
            <w:pPr>
              <w:pStyle w:val="TableText"/>
              <w:ind w:left="115" w:right="27" w:firstLine="45"/>
              <w:spacing w:before="29" w:line="235" w:lineRule="auto"/>
              <w:jc w:val="both"/>
              <w:rPr/>
            </w:pPr>
            <w:r>
              <w:rPr>
                <w:spacing w:val="-2"/>
              </w:rPr>
              <w:t>畜禽粪污资源化时应经无害化处理</w:t>
            </w:r>
            <w:r>
              <w:rPr>
                <w:spacing w:val="1"/>
              </w:rPr>
              <w:t>后方可还田利用，无害化处理应满</w:t>
            </w:r>
            <w:r>
              <w:rPr>
                <w:spacing w:val="1"/>
              </w:rPr>
              <w:t>足下列要求：①液态畜禽粪污宜采</w:t>
            </w:r>
            <w:r>
              <w:rPr>
                <w:spacing w:val="-5"/>
              </w:rPr>
              <w:t>用厌氧工艺进行无害化处理；沼液、</w:t>
            </w:r>
            <w:r>
              <w:rPr>
                <w:spacing w:val="1"/>
              </w:rPr>
              <w:t>沼渣不得作为同等动物的饲料，不</w:t>
            </w:r>
            <w:r>
              <w:rPr>
                <w:spacing w:val="1"/>
              </w:rPr>
              <w:t>得在动物之间进行循环。②固体畜</w:t>
            </w:r>
            <w:r>
              <w:rPr>
                <w:spacing w:val="1"/>
              </w:rPr>
              <w:t>禽粪便宜采用好氧堆肥技术进行无</w:t>
            </w:r>
            <w:r>
              <w:rPr>
                <w:spacing w:val="1"/>
              </w:rPr>
              <w:t>害化处理。③无害化处理后的卫生</w:t>
            </w:r>
            <w:r>
              <w:rPr>
                <w:spacing w:val="-3"/>
              </w:rPr>
              <w:t>学指标应符合</w:t>
            </w:r>
            <w:r>
              <w:rPr>
                <w:spacing w:val="-32"/>
              </w:rPr>
              <w:t xml:space="preserve"> </w:t>
            </w:r>
            <w:r>
              <w:rPr>
                <w:spacing w:val="-3"/>
              </w:rPr>
              <w:t>GB7959</w:t>
            </w:r>
            <w:r>
              <w:rPr>
                <w:spacing w:val="-27"/>
              </w:rPr>
              <w:t xml:space="preserve"> </w:t>
            </w:r>
            <w:r>
              <w:rPr>
                <w:spacing w:val="-3"/>
              </w:rPr>
              <w:t>的有关规定。</w:t>
            </w:r>
          </w:p>
        </w:tc>
        <w:tc>
          <w:tcPr>
            <w:tcW w:w="3356" w:type="dxa"/>
            <w:vAlign w:val="top"/>
          </w:tcPr>
          <w:p>
            <w:pPr>
              <w:spacing w:line="319" w:lineRule="auto"/>
              <w:rPr>
                <w:rFonts w:ascii="Arial"/>
                <w:sz w:val="21"/>
              </w:rPr>
            </w:pPr>
            <w:r/>
          </w:p>
          <w:p>
            <w:pPr>
              <w:spacing w:line="319" w:lineRule="auto"/>
              <w:rPr>
                <w:rFonts w:ascii="Arial"/>
                <w:sz w:val="21"/>
              </w:rPr>
            </w:pPr>
            <w:r/>
          </w:p>
          <w:p>
            <w:pPr>
              <w:pStyle w:val="TableText"/>
              <w:ind w:left="112" w:right="100" w:firstLine="2"/>
              <w:spacing w:before="69" w:line="241" w:lineRule="auto"/>
              <w:jc w:val="both"/>
              <w:rPr/>
            </w:pPr>
            <w:r>
              <w:rPr>
                <w:spacing w:val="-2"/>
              </w:rPr>
              <w:t>本项目牛棚铺设垫料，牛尿及牛粪</w:t>
            </w:r>
            <w:r>
              <w:rPr>
                <w:spacing w:val="-1"/>
              </w:rPr>
              <w:t>进入垫料，废垫料暂存于储粪库，</w:t>
            </w:r>
            <w:r>
              <w:rPr>
                <w:spacing w:val="-1"/>
              </w:rPr>
              <w:t>外售给相关单位生产有机肥；病死</w:t>
            </w:r>
            <w:r>
              <w:rPr>
                <w:spacing w:val="-3"/>
              </w:rPr>
              <w:t>牛委托相关单位进行无害化处置。</w:t>
            </w:r>
          </w:p>
        </w:tc>
        <w:tc>
          <w:tcPr>
            <w:tcW w:w="814" w:type="dxa"/>
            <w:vAlign w:val="top"/>
            <w:tcBorders>
              <w:right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202"/>
              <w:spacing w:before="68" w:line="221" w:lineRule="auto"/>
              <w:rPr/>
            </w:pPr>
            <w:r>
              <w:rPr>
                <w:spacing w:val="-2"/>
              </w:rPr>
              <w:t>符合</w:t>
            </w:r>
          </w:p>
        </w:tc>
      </w:tr>
      <w:tr>
        <w:trPr>
          <w:trHeight w:val="1363" w:hRule="atLeast"/>
        </w:trPr>
        <w:tc>
          <w:tcPr>
            <w:tcW w:w="1128" w:type="dxa"/>
            <w:vAlign w:val="top"/>
            <w:tcBorders>
              <w:left w:val="nil"/>
            </w:tcBorders>
          </w:tcPr>
          <w:p>
            <w:pPr>
              <w:spacing w:line="276" w:lineRule="auto"/>
              <w:rPr>
                <w:rFonts w:ascii="Arial"/>
                <w:sz w:val="21"/>
              </w:rPr>
            </w:pPr>
            <w:r/>
          </w:p>
          <w:p>
            <w:pPr>
              <w:spacing w:line="277" w:lineRule="auto"/>
              <w:rPr>
                <w:rFonts w:ascii="Arial"/>
                <w:sz w:val="21"/>
              </w:rPr>
            </w:pPr>
            <w:r/>
          </w:p>
          <w:p>
            <w:pPr>
              <w:ind w:left="522"/>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437" w:type="dxa"/>
            <w:vAlign w:val="top"/>
          </w:tcPr>
          <w:p>
            <w:pPr>
              <w:pStyle w:val="TableText"/>
              <w:ind w:left="160"/>
              <w:spacing w:before="41" w:line="221" w:lineRule="auto"/>
              <w:rPr/>
            </w:pPr>
            <w:r>
              <w:rPr>
                <w:spacing w:val="-2"/>
              </w:rPr>
              <w:t>畜禽养殖业污染治理工程应与养殖</w:t>
            </w:r>
          </w:p>
          <w:p>
            <w:pPr>
              <w:pStyle w:val="TableText"/>
              <w:ind w:left="146"/>
              <w:spacing w:before="22" w:line="221" w:lineRule="auto"/>
              <w:rPr/>
            </w:pPr>
            <w:r>
              <w:rPr>
                <w:spacing w:val="-1"/>
              </w:rPr>
              <w:t>场生产区、居民区等建筑保持一定</w:t>
            </w:r>
          </w:p>
          <w:p>
            <w:pPr>
              <w:pStyle w:val="TableText"/>
              <w:ind w:left="164"/>
              <w:spacing w:before="19" w:line="221" w:lineRule="auto"/>
              <w:rPr/>
            </w:pPr>
            <w:r>
              <w:rPr>
                <w:spacing w:val="-2"/>
              </w:rPr>
              <w:t>的卫生防护距离，设置在畜禽养殖</w:t>
            </w:r>
          </w:p>
          <w:p>
            <w:pPr>
              <w:pStyle w:val="TableText"/>
              <w:ind w:left="146"/>
              <w:spacing w:before="22" w:line="221" w:lineRule="auto"/>
              <w:rPr/>
            </w:pPr>
            <w:r>
              <w:rPr>
                <w:spacing w:val="-1"/>
              </w:rPr>
              <w:t>场的生产区、生活区主导风向的下</w:t>
            </w:r>
          </w:p>
          <w:p>
            <w:pPr>
              <w:pStyle w:val="TableText"/>
              <w:ind w:left="885"/>
              <w:spacing w:before="20" w:line="194" w:lineRule="auto"/>
              <w:rPr/>
            </w:pPr>
            <w:r>
              <w:rPr>
                <w:spacing w:val="-1"/>
              </w:rPr>
              <w:t>风向或侧风向处。</w:t>
            </w:r>
          </w:p>
        </w:tc>
        <w:tc>
          <w:tcPr>
            <w:tcW w:w="3356" w:type="dxa"/>
            <w:vAlign w:val="top"/>
          </w:tcPr>
          <w:p>
            <w:pPr>
              <w:spacing w:line="378" w:lineRule="auto"/>
              <w:rPr>
                <w:rFonts w:ascii="Arial"/>
                <w:sz w:val="21"/>
              </w:rPr>
            </w:pPr>
            <w:r/>
          </w:p>
          <w:p>
            <w:pPr>
              <w:pStyle w:val="TableText"/>
              <w:ind w:left="113" w:right="102" w:firstLine="1"/>
              <w:spacing w:before="69" w:line="237" w:lineRule="auto"/>
              <w:rPr/>
            </w:pPr>
            <w:r>
              <w:rPr>
                <w:spacing w:val="-1"/>
              </w:rPr>
              <w:t>本项目最近敏感点为西侧</w:t>
            </w:r>
            <w:r>
              <w:rPr>
                <w:spacing w:val="-59"/>
              </w:rPr>
              <w:t xml:space="preserve"> </w:t>
            </w:r>
            <w:r>
              <w:rPr>
                <w:rFonts w:ascii="Times New Roman" w:hAnsi="Times New Roman" w:eastAsia="Times New Roman" w:cs="Times New Roman"/>
                <w:spacing w:val="-1"/>
              </w:rPr>
              <w:t>4.5km </w:t>
            </w:r>
            <w:r>
              <w:rPr>
                <w:spacing w:val="-1"/>
              </w:rPr>
              <w:t>处</w:t>
            </w:r>
            <w:r>
              <w:rPr>
                <w:spacing w:val="-3"/>
              </w:rPr>
              <w:t>锡林浩特市居民，对其影响不大。</w:t>
            </w:r>
          </w:p>
        </w:tc>
        <w:tc>
          <w:tcPr>
            <w:tcW w:w="814" w:type="dxa"/>
            <w:vAlign w:val="top"/>
            <w:tcBorders>
              <w:right w:val="nil"/>
            </w:tcBorders>
          </w:tcPr>
          <w:p>
            <w:pPr>
              <w:spacing w:line="257" w:lineRule="auto"/>
              <w:rPr>
                <w:rFonts w:ascii="Arial"/>
                <w:sz w:val="21"/>
              </w:rPr>
            </w:pPr>
            <w:r/>
          </w:p>
          <w:p>
            <w:pPr>
              <w:spacing w:line="257" w:lineRule="auto"/>
              <w:rPr>
                <w:rFonts w:ascii="Arial"/>
                <w:sz w:val="21"/>
              </w:rPr>
            </w:pPr>
            <w:r/>
          </w:p>
          <w:p>
            <w:pPr>
              <w:pStyle w:val="TableText"/>
              <w:ind w:left="202"/>
              <w:spacing w:before="68" w:line="221" w:lineRule="auto"/>
              <w:rPr/>
            </w:pPr>
            <w:r>
              <w:rPr>
                <w:spacing w:val="-2"/>
              </w:rPr>
              <w:t>符合</w:t>
            </w:r>
          </w:p>
        </w:tc>
      </w:tr>
      <w:tr>
        <w:trPr>
          <w:trHeight w:val="1090" w:hRule="atLeast"/>
        </w:trPr>
        <w:tc>
          <w:tcPr>
            <w:tcW w:w="1128" w:type="dxa"/>
            <w:vAlign w:val="top"/>
            <w:tcBorders>
              <w:left w:val="nil"/>
            </w:tcBorders>
          </w:tcPr>
          <w:p>
            <w:pPr>
              <w:spacing w:line="419" w:lineRule="auto"/>
              <w:rPr>
                <w:rFonts w:ascii="Arial"/>
                <w:sz w:val="21"/>
              </w:rPr>
            </w:pPr>
            <w:r/>
          </w:p>
          <w:p>
            <w:pPr>
              <w:ind w:left="526"/>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437" w:type="dxa"/>
            <w:vAlign w:val="top"/>
          </w:tcPr>
          <w:p>
            <w:pPr>
              <w:pStyle w:val="TableText"/>
              <w:ind w:left="148"/>
              <w:spacing w:before="46" w:line="221" w:lineRule="auto"/>
              <w:rPr/>
            </w:pPr>
            <w:r>
              <w:rPr>
                <w:spacing w:val="-1"/>
              </w:rPr>
              <w:t>新建、改建、扩建的畜禽养殖场宜</w:t>
            </w:r>
          </w:p>
          <w:p>
            <w:pPr>
              <w:pStyle w:val="TableText"/>
              <w:ind w:right="12"/>
              <w:spacing w:before="20" w:line="220" w:lineRule="auto"/>
              <w:jc w:val="right"/>
              <w:rPr/>
            </w:pPr>
            <w:r>
              <w:rPr>
                <w:spacing w:val="-4"/>
              </w:rPr>
              <w:t>采用干清粪工艺。现有采用水冲粪、</w:t>
            </w:r>
          </w:p>
          <w:p>
            <w:pPr>
              <w:pStyle w:val="TableText"/>
              <w:ind w:left="149"/>
              <w:spacing w:before="23" w:line="221" w:lineRule="auto"/>
              <w:rPr/>
            </w:pPr>
            <w:r>
              <w:rPr>
                <w:spacing w:val="-1"/>
              </w:rPr>
              <w:t>水泡粪清粪工艺的养殖场，应逐步</w:t>
            </w:r>
          </w:p>
          <w:p>
            <w:pPr>
              <w:pStyle w:val="TableText"/>
              <w:ind w:left="892"/>
              <w:spacing w:before="19" w:line="191" w:lineRule="auto"/>
              <w:rPr/>
            </w:pPr>
            <w:r>
              <w:rPr>
                <w:spacing w:val="-2"/>
              </w:rPr>
              <w:t>改为干清粪工艺。</w:t>
            </w:r>
          </w:p>
        </w:tc>
        <w:tc>
          <w:tcPr>
            <w:tcW w:w="3356" w:type="dxa"/>
            <w:vAlign w:val="top"/>
          </w:tcPr>
          <w:p>
            <w:pPr>
              <w:spacing w:line="248" w:lineRule="auto"/>
              <w:rPr>
                <w:rFonts w:ascii="Arial"/>
                <w:sz w:val="21"/>
              </w:rPr>
            </w:pPr>
            <w:r/>
          </w:p>
          <w:p>
            <w:pPr>
              <w:pStyle w:val="TableText"/>
              <w:ind w:left="115"/>
              <w:spacing w:before="68" w:line="220" w:lineRule="auto"/>
              <w:rPr/>
            </w:pPr>
            <w:r>
              <w:rPr>
                <w:spacing w:val="-2"/>
              </w:rPr>
              <w:t>本项目为新建项目，采用干清粪工</w:t>
            </w:r>
          </w:p>
          <w:p>
            <w:pPr>
              <w:pStyle w:val="TableText"/>
              <w:ind w:left="1478"/>
              <w:spacing w:before="23" w:line="231" w:lineRule="auto"/>
              <w:rPr/>
            </w:pPr>
            <w:r>
              <w:rPr>
                <w:spacing w:val="-11"/>
              </w:rPr>
              <w:t>艺。</w:t>
            </w:r>
          </w:p>
        </w:tc>
        <w:tc>
          <w:tcPr>
            <w:tcW w:w="814" w:type="dxa"/>
            <w:vAlign w:val="top"/>
            <w:tcBorders>
              <w:right w:val="nil"/>
            </w:tcBorders>
          </w:tcPr>
          <w:p>
            <w:pPr>
              <w:spacing w:line="384" w:lineRule="auto"/>
              <w:rPr>
                <w:rFonts w:ascii="Arial"/>
                <w:sz w:val="21"/>
              </w:rPr>
            </w:pPr>
            <w:r/>
          </w:p>
          <w:p>
            <w:pPr>
              <w:pStyle w:val="TableText"/>
              <w:ind w:left="202"/>
              <w:spacing w:before="68" w:line="221" w:lineRule="auto"/>
              <w:rPr/>
            </w:pPr>
            <w:r>
              <w:rPr>
                <w:spacing w:val="-2"/>
              </w:rPr>
              <w:t>符合</w:t>
            </w:r>
          </w:p>
        </w:tc>
      </w:tr>
      <w:tr>
        <w:trPr>
          <w:trHeight w:val="1114" w:hRule="atLeast"/>
        </w:trPr>
        <w:tc>
          <w:tcPr>
            <w:tcW w:w="1128" w:type="dxa"/>
            <w:vAlign w:val="top"/>
            <w:tcBorders>
              <w:left w:val="nil"/>
              <w:bottom w:val="single" w:color="000000" w:sz="10" w:space="0"/>
            </w:tcBorders>
          </w:tcPr>
          <w:p>
            <w:pPr>
              <w:spacing w:line="424" w:lineRule="auto"/>
              <w:rPr>
                <w:rFonts w:ascii="Arial"/>
                <w:sz w:val="21"/>
              </w:rPr>
            </w:pPr>
            <w:r/>
          </w:p>
          <w:p>
            <w:pPr>
              <w:ind w:left="521"/>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437" w:type="dxa"/>
            <w:vAlign w:val="top"/>
            <w:tcBorders>
              <w:bottom w:val="single" w:color="000000" w:sz="10" w:space="0"/>
            </w:tcBorders>
          </w:tcPr>
          <w:p>
            <w:pPr>
              <w:spacing w:line="251" w:lineRule="auto"/>
              <w:rPr>
                <w:rFonts w:ascii="Arial"/>
                <w:sz w:val="21"/>
              </w:rPr>
            </w:pPr>
            <w:r/>
          </w:p>
          <w:p>
            <w:pPr>
              <w:pStyle w:val="TableText"/>
              <w:ind w:left="113" w:right="28" w:firstLine="13"/>
              <w:spacing w:before="68" w:line="243" w:lineRule="auto"/>
              <w:rPr/>
            </w:pPr>
            <w:r>
              <w:rPr>
                <w:spacing w:val="-2"/>
              </w:rPr>
              <w:t>畜禽粪污应日产日清。畜禽养殖场</w:t>
            </w:r>
            <w:r>
              <w:rPr>
                <w:spacing w:val="-5"/>
              </w:rPr>
              <w:t>应建立排水系统，并实行雨污分流。</w:t>
            </w:r>
          </w:p>
        </w:tc>
        <w:tc>
          <w:tcPr>
            <w:tcW w:w="3356" w:type="dxa"/>
            <w:vAlign w:val="top"/>
            <w:tcBorders>
              <w:bottom w:val="single" w:color="000000" w:sz="10" w:space="0"/>
            </w:tcBorders>
          </w:tcPr>
          <w:p>
            <w:pPr>
              <w:pStyle w:val="TableText"/>
              <w:ind w:left="115"/>
              <w:spacing w:before="51" w:line="220" w:lineRule="auto"/>
              <w:rPr/>
            </w:pPr>
            <w:r>
              <w:rPr>
                <w:spacing w:val="-1"/>
              </w:rPr>
              <w:t>本项目畜禽粪污日产日清。实行雨</w:t>
            </w:r>
          </w:p>
          <w:p>
            <w:pPr>
              <w:pStyle w:val="TableText"/>
              <w:ind w:left="116"/>
              <w:spacing w:before="20" w:line="221" w:lineRule="auto"/>
              <w:rPr/>
            </w:pPr>
            <w:r>
              <w:rPr>
                <w:spacing w:val="-1"/>
              </w:rPr>
              <w:t>污分流，设置专门的堆粪库，粪污</w:t>
            </w:r>
          </w:p>
          <w:p>
            <w:pPr>
              <w:pStyle w:val="TableText"/>
              <w:ind w:left="220"/>
              <w:spacing w:before="22" w:line="220" w:lineRule="auto"/>
              <w:rPr/>
            </w:pPr>
            <w:r>
              <w:rPr>
                <w:spacing w:val="-1"/>
              </w:rPr>
              <w:t>收集后外售给相关单位生产有机</w:t>
            </w:r>
          </w:p>
          <w:p>
            <w:pPr>
              <w:pStyle w:val="TableText"/>
              <w:ind w:left="1473"/>
              <w:spacing w:before="21" w:line="208" w:lineRule="auto"/>
              <w:rPr/>
            </w:pPr>
            <w:r>
              <w:rPr>
                <w:spacing w:val="-4"/>
              </w:rPr>
              <w:t>肥。</w:t>
            </w:r>
          </w:p>
        </w:tc>
        <w:tc>
          <w:tcPr>
            <w:tcW w:w="814" w:type="dxa"/>
            <w:vAlign w:val="top"/>
            <w:tcBorders>
              <w:right w:val="nil"/>
              <w:bottom w:val="single" w:color="000000" w:sz="10" w:space="0"/>
            </w:tcBorders>
          </w:tcPr>
          <w:p>
            <w:pPr>
              <w:spacing w:line="388" w:lineRule="auto"/>
              <w:rPr>
                <w:rFonts w:ascii="Arial"/>
                <w:sz w:val="21"/>
              </w:rPr>
            </w:pPr>
            <w:r/>
          </w:p>
          <w:p>
            <w:pPr>
              <w:pStyle w:val="TableText"/>
              <w:ind w:left="202"/>
              <w:spacing w:before="68" w:line="221" w:lineRule="auto"/>
              <w:rPr/>
            </w:pPr>
            <w:r>
              <w:rPr>
                <w:spacing w:val="-2"/>
              </w:rPr>
              <w:t>符合</w:t>
            </w:r>
          </w:p>
        </w:tc>
      </w:tr>
    </w:tbl>
    <w:p>
      <w:pPr>
        <w:pStyle w:val="BodyText"/>
        <w:rPr/>
      </w:pPr>
      <w:r>
        <w:pict>
          <v:shape id="_x0000_s18" style="position:absolute;margin-left:14.406pt;margin-top:14.234pt;mso-position-vertical-relative:text;mso-position-horizontal-relative:text;width:425.7pt;height:0.6pt;z-index:251662336;" filled="false" strokecolor="#808080" strokeweight="0.50pt" coordsize="8514,12" coordorigin="0,0" path="m5,5l8508,6e">
            <v:stroke endcap="round" miterlimit="10"/>
          </v:shape>
        </w:pict>
      </w:r>
      <w:r/>
    </w:p>
    <w:p>
      <w:pPr>
        <w:sectPr>
          <w:footerReference w:type="default" r:id="rId12"/>
          <w:pgSz w:w="11907" w:h="16839"/>
          <w:pgMar w:top="1422" w:right="1591" w:bottom="1618" w:left="1418" w:header="1033" w:footer="1417" w:gutter="0"/>
        </w:sectPr>
        <w:rPr/>
      </w:pPr>
    </w:p>
    <w:p>
      <w:pPr>
        <w:ind w:left="57" w:firstLine="463"/>
        <w:spacing w:before="312" w:line="351" w:lineRule="auto"/>
        <w:rPr>
          <w:rFonts w:ascii="SimSun" w:hAnsi="SimSun" w:eastAsia="SimSun" w:cs="SimSun"/>
          <w:sz w:val="24"/>
          <w:szCs w:val="24"/>
        </w:rPr>
      </w:pPr>
      <w:r>
        <w:rPr>
          <w:rFonts w:ascii="SimSun" w:hAnsi="SimSun" w:eastAsia="SimSun" w:cs="SimSun"/>
          <w:sz w:val="24"/>
          <w:szCs w:val="24"/>
          <w:spacing w:val="-7"/>
        </w:rPr>
        <w:t>综上所述，本项目符合《畜禽养殖业污染物治理工程技术规范》（</w:t>
      </w:r>
      <w:r>
        <w:rPr>
          <w:rFonts w:ascii="Times New Roman" w:hAnsi="Times New Roman" w:eastAsia="Times New Roman" w:cs="Times New Roman"/>
          <w:sz w:val="24"/>
          <w:szCs w:val="24"/>
          <w:spacing w:val="-7"/>
        </w:rPr>
        <w:t>HJ497-2009</w:t>
      </w:r>
      <w:r>
        <w:rPr>
          <w:rFonts w:ascii="SimSun" w:hAnsi="SimSun" w:eastAsia="SimSun" w:cs="SimSun"/>
          <w:sz w:val="24"/>
          <w:szCs w:val="24"/>
          <w:spacing w:val="-7"/>
        </w:rPr>
        <w:t>）</w:t>
      </w:r>
      <w:r>
        <w:rPr>
          <w:rFonts w:ascii="SimSun" w:hAnsi="SimSun" w:eastAsia="SimSun" w:cs="SimSun"/>
          <w:sz w:val="24"/>
          <w:szCs w:val="24"/>
          <w:spacing w:val="-12"/>
        </w:rPr>
        <w:t>的要求。</w:t>
      </w:r>
    </w:p>
    <w:p>
      <w:pPr>
        <w:ind w:left="37" w:right="111" w:firstLine="7"/>
        <w:spacing w:before="282" w:line="353" w:lineRule="auto"/>
        <w:rPr>
          <w:rFonts w:ascii="SimSun" w:hAnsi="SimSun" w:eastAsia="SimSun" w:cs="SimSun"/>
          <w:sz w:val="24"/>
          <w:szCs w:val="24"/>
        </w:rPr>
      </w:pPr>
      <w:r>
        <w:rPr>
          <w:rFonts w:ascii="Times New Roman" w:hAnsi="Times New Roman" w:eastAsia="Times New Roman" w:cs="Times New Roman"/>
          <w:sz w:val="24"/>
          <w:szCs w:val="24"/>
          <w:b/>
          <w:bCs/>
          <w:spacing w:val="-2"/>
        </w:rPr>
        <w:t>1.4.4</w:t>
      </w:r>
      <w:r>
        <w:rPr>
          <w:rFonts w:ascii="Times New Roman" w:hAnsi="Times New Roman" w:eastAsia="Times New Roman" w:cs="Times New Roman"/>
          <w:sz w:val="24"/>
          <w:szCs w:val="24"/>
          <w:b/>
          <w:bCs/>
          <w:spacing w:val="26"/>
        </w:rPr>
        <w:t xml:space="preserve"> </w:t>
      </w:r>
      <w:r>
        <w:rPr>
          <w:rFonts w:ascii="SimSun" w:hAnsi="SimSun" w:eastAsia="SimSun" w:cs="SimSun"/>
          <w:sz w:val="24"/>
          <w:szCs w:val="24"/>
          <w:b/>
          <w:bCs/>
          <w:spacing w:val="-2"/>
        </w:rPr>
        <w:t>项目与《关于做好畜禽规模养殖项目环境影响评价管</w:t>
      </w:r>
      <w:r>
        <w:rPr>
          <w:rFonts w:ascii="SimSun" w:hAnsi="SimSun" w:eastAsia="SimSun" w:cs="SimSun"/>
          <w:sz w:val="24"/>
          <w:szCs w:val="24"/>
          <w:b/>
          <w:bCs/>
          <w:spacing w:val="-3"/>
        </w:rPr>
        <w:t>理工作的通知（环办环</w:t>
      </w:r>
      <w:r>
        <w:rPr>
          <w:rFonts w:ascii="SimSun" w:hAnsi="SimSun" w:eastAsia="SimSun" w:cs="SimSun"/>
          <w:sz w:val="24"/>
          <w:szCs w:val="24"/>
          <w:b/>
          <w:bCs/>
          <w:spacing w:val="-2"/>
        </w:rPr>
        <w:t>评</w:t>
      </w:r>
      <w:r>
        <w:rPr>
          <w:rFonts w:ascii="Times New Roman" w:hAnsi="Times New Roman" w:eastAsia="Times New Roman" w:cs="Times New Roman"/>
          <w:sz w:val="24"/>
          <w:szCs w:val="24"/>
          <w:b/>
          <w:bCs/>
          <w:spacing w:val="-2"/>
        </w:rPr>
        <w:t>[2018]31 </w:t>
      </w:r>
      <w:r>
        <w:rPr>
          <w:rFonts w:ascii="SimSun" w:hAnsi="SimSun" w:eastAsia="SimSun" w:cs="SimSun"/>
          <w:sz w:val="24"/>
          <w:szCs w:val="24"/>
          <w:b/>
          <w:bCs/>
          <w:spacing w:val="-2"/>
        </w:rPr>
        <w:t>号）》符合性分析</w:t>
      </w:r>
    </w:p>
    <w:p>
      <w:pPr>
        <w:ind w:left="39" w:right="107" w:firstLine="480"/>
        <w:spacing w:before="276" w:line="353" w:lineRule="auto"/>
        <w:jc w:val="both"/>
        <w:rPr>
          <w:rFonts w:ascii="SimSun" w:hAnsi="SimSun" w:eastAsia="SimSun" w:cs="SimSun"/>
          <w:sz w:val="24"/>
          <w:szCs w:val="24"/>
        </w:rPr>
      </w:pPr>
      <w:r>
        <w:rPr>
          <w:rFonts w:ascii="SimSun" w:hAnsi="SimSun" w:eastAsia="SimSun" w:cs="SimSun"/>
          <w:sz w:val="24"/>
          <w:szCs w:val="24"/>
          <w:spacing w:val="-4"/>
        </w:rPr>
        <w:t>生态环境部于</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4"/>
        </w:rPr>
        <w:t>2018 </w:t>
      </w:r>
      <w:r>
        <w:rPr>
          <w:rFonts w:ascii="SimSun" w:hAnsi="SimSun" w:eastAsia="SimSun" w:cs="SimSun"/>
          <w:sz w:val="24"/>
          <w:szCs w:val="24"/>
          <w:spacing w:val="-4"/>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15  </w:t>
      </w:r>
      <w:r>
        <w:rPr>
          <w:rFonts w:ascii="SimSun" w:hAnsi="SimSun" w:eastAsia="SimSun" w:cs="SimSun"/>
          <w:sz w:val="24"/>
          <w:szCs w:val="24"/>
          <w:spacing w:val="-5"/>
        </w:rPr>
        <w:t>日发布了《关于做好畜禽规模养殖项目环境影</w:t>
      </w:r>
      <w:r>
        <w:rPr>
          <w:rFonts w:ascii="SimSun" w:hAnsi="SimSun" w:eastAsia="SimSun" w:cs="SimSun"/>
          <w:sz w:val="24"/>
          <w:szCs w:val="24"/>
          <w:spacing w:val="-2"/>
        </w:rPr>
        <w:t>响评价管理工作的通知》（环办环评</w:t>
      </w:r>
      <w:r>
        <w:rPr>
          <w:rFonts w:ascii="Times New Roman" w:hAnsi="Times New Roman" w:eastAsia="Times New Roman" w:cs="Times New Roman"/>
          <w:sz w:val="24"/>
          <w:szCs w:val="24"/>
          <w:spacing w:val="-2"/>
        </w:rPr>
        <w:t>[2018]31 </w:t>
      </w:r>
      <w:r>
        <w:rPr>
          <w:rFonts w:ascii="SimSun" w:hAnsi="SimSun" w:eastAsia="SimSun" w:cs="SimSun"/>
          <w:sz w:val="24"/>
          <w:szCs w:val="24"/>
          <w:spacing w:val="-2"/>
        </w:rPr>
        <w:t>号</w:t>
      </w:r>
      <w:r>
        <w:rPr>
          <w:rFonts w:ascii="SimSun" w:hAnsi="SimSun" w:eastAsia="SimSun" w:cs="SimSun"/>
          <w:sz w:val="24"/>
          <w:szCs w:val="24"/>
          <w:spacing w:val="-23"/>
        </w:rPr>
        <w:t>），</w:t>
      </w:r>
      <w:r>
        <w:rPr>
          <w:rFonts w:ascii="SimSun" w:hAnsi="SimSun" w:eastAsia="SimSun" w:cs="SimSun"/>
          <w:sz w:val="24"/>
          <w:szCs w:val="24"/>
          <w:spacing w:val="-2"/>
        </w:rPr>
        <w:t>项目与《关于做好</w:t>
      </w:r>
      <w:r>
        <w:rPr>
          <w:rFonts w:ascii="SimSun" w:hAnsi="SimSun" w:eastAsia="SimSun" w:cs="SimSun"/>
          <w:sz w:val="24"/>
          <w:szCs w:val="24"/>
          <w:spacing w:val="-3"/>
        </w:rPr>
        <w:t>畜禽规模养</w:t>
      </w:r>
      <w:r>
        <w:rPr>
          <w:rFonts w:ascii="SimSun" w:hAnsi="SimSun" w:eastAsia="SimSun" w:cs="SimSun"/>
          <w:sz w:val="24"/>
          <w:szCs w:val="24"/>
          <w:spacing w:val="-2"/>
        </w:rPr>
        <w:t>殖项目环境影响评价管理工作的通知》符合性分析如下。</w:t>
      </w:r>
    </w:p>
    <w:p>
      <w:pPr>
        <w:ind w:left="121"/>
        <w:spacing w:before="23"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2"/>
        </w:rPr>
        <w:t>1-3</w:t>
      </w:r>
      <w:r>
        <w:rPr>
          <w:rFonts w:ascii="SimSun" w:hAnsi="SimSun" w:eastAsia="SimSun" w:cs="SimSun"/>
          <w:sz w:val="24"/>
          <w:szCs w:val="24"/>
          <w:b/>
          <w:bCs/>
          <w:spacing w:val="-2"/>
        </w:rPr>
        <w:t>《关于做好畜禽规模养殖项目环境影响评价管理工作的通知》</w:t>
      </w:r>
      <w:r>
        <w:rPr>
          <w:rFonts w:ascii="SimSun" w:hAnsi="SimSun" w:eastAsia="SimSun" w:cs="SimSun"/>
          <w:sz w:val="24"/>
          <w:szCs w:val="24"/>
          <w:b/>
          <w:bCs/>
          <w:spacing w:val="-3"/>
        </w:rPr>
        <w:t>符合性分析</w:t>
      </w:r>
    </w:p>
    <w:p>
      <w:pPr>
        <w:spacing w:line="132" w:lineRule="exact"/>
        <w:rPr/>
      </w:pPr>
      <w:r/>
    </w:p>
    <w:tbl>
      <w:tblPr>
        <w:tblStyle w:val="TableNormal"/>
        <w:tblW w:w="8380"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86"/>
        <w:gridCol w:w="3910"/>
        <w:gridCol w:w="684"/>
      </w:tblGrid>
      <w:tr>
        <w:trPr>
          <w:trHeight w:val="553" w:hRule="atLeast"/>
        </w:trPr>
        <w:tc>
          <w:tcPr>
            <w:tcW w:w="3786" w:type="dxa"/>
            <w:vAlign w:val="top"/>
            <w:tcBorders>
              <w:top w:val="single" w:color="000000" w:sz="10" w:space="0"/>
              <w:left w:val="nil"/>
            </w:tcBorders>
          </w:tcPr>
          <w:p>
            <w:pPr>
              <w:pStyle w:val="TableText"/>
              <w:ind w:left="1481"/>
              <w:spacing w:before="169" w:line="221" w:lineRule="auto"/>
              <w:rPr/>
            </w:pPr>
            <w:r>
              <w:rPr>
                <w:b/>
                <w:bCs/>
                <w:spacing w:val="-4"/>
              </w:rPr>
              <w:t>文件要求</w:t>
            </w:r>
          </w:p>
        </w:tc>
        <w:tc>
          <w:tcPr>
            <w:tcW w:w="3910" w:type="dxa"/>
            <w:vAlign w:val="top"/>
            <w:tcBorders>
              <w:top w:val="single" w:color="000000" w:sz="10" w:space="0"/>
            </w:tcBorders>
          </w:tcPr>
          <w:p>
            <w:pPr>
              <w:pStyle w:val="TableText"/>
              <w:ind w:left="1431"/>
              <w:spacing w:before="170" w:line="220" w:lineRule="auto"/>
              <w:rPr/>
            </w:pPr>
            <w:r>
              <w:rPr>
                <w:b/>
                <w:bCs/>
                <w:spacing w:val="-3"/>
              </w:rPr>
              <w:t>本项目情况</w:t>
            </w:r>
          </w:p>
        </w:tc>
        <w:tc>
          <w:tcPr>
            <w:tcW w:w="684" w:type="dxa"/>
            <w:vAlign w:val="top"/>
            <w:tcBorders>
              <w:top w:val="single" w:color="000000" w:sz="10" w:space="0"/>
              <w:right w:val="nil"/>
            </w:tcBorders>
          </w:tcPr>
          <w:p>
            <w:pPr>
              <w:pStyle w:val="TableText"/>
              <w:ind w:left="240" w:right="134" w:hanging="106"/>
              <w:spacing w:before="33" w:line="224" w:lineRule="auto"/>
              <w:rPr/>
            </w:pPr>
            <w:r>
              <w:rPr>
                <w:b/>
                <w:bCs/>
                <w:spacing w:val="-6"/>
              </w:rPr>
              <w:t>符合</w:t>
            </w:r>
            <w:r>
              <w:rPr>
                <w:b/>
                <w:bCs/>
                <w:spacing w:val="-3"/>
              </w:rPr>
              <w:t>性</w:t>
            </w:r>
          </w:p>
        </w:tc>
      </w:tr>
    </w:tbl>
    <w:p>
      <w:pPr>
        <w:ind w:left="2498"/>
        <w:spacing w:before="30" w:line="214" w:lineRule="auto"/>
        <w:rPr>
          <w:rFonts w:ascii="SimSun" w:hAnsi="SimSun" w:eastAsia="SimSun" w:cs="SimSun"/>
          <w:sz w:val="21"/>
          <w:szCs w:val="21"/>
        </w:rPr>
      </w:pPr>
      <w:r>
        <w:rPr>
          <w:rFonts w:ascii="SimSun" w:hAnsi="SimSun" w:eastAsia="SimSun" w:cs="SimSun"/>
          <w:sz w:val="21"/>
          <w:szCs w:val="21"/>
          <w:b/>
          <w:bCs/>
          <w:spacing w:val="-3"/>
        </w:rPr>
        <w:t>一、优化项目选址、合理布置养殖场区</w:t>
      </w:r>
    </w:p>
    <w:tbl>
      <w:tblPr>
        <w:tblStyle w:val="TableNormal"/>
        <w:tblW w:w="8380"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86"/>
        <w:gridCol w:w="3910"/>
        <w:gridCol w:w="684"/>
      </w:tblGrid>
      <w:tr>
        <w:trPr>
          <w:trHeight w:val="2731" w:hRule="atLeast"/>
        </w:trPr>
        <w:tc>
          <w:tcPr>
            <w:tcW w:w="3786" w:type="dxa"/>
            <w:vAlign w:val="top"/>
            <w:tcBorders>
              <w:left w:val="nil"/>
            </w:tcBorders>
          </w:tcPr>
          <w:p>
            <w:pPr>
              <w:pStyle w:val="TableText"/>
              <w:ind w:left="222"/>
              <w:spacing w:before="34" w:line="221" w:lineRule="auto"/>
              <w:rPr/>
            </w:pPr>
            <w:r>
              <w:rPr>
                <w:spacing w:val="-1"/>
              </w:rPr>
              <w:t>项目环评应充分论证选址的环境合理</w:t>
            </w:r>
          </w:p>
          <w:p>
            <w:pPr>
              <w:pStyle w:val="TableText"/>
              <w:ind w:left="118"/>
              <w:spacing w:before="18" w:line="221" w:lineRule="auto"/>
              <w:rPr/>
            </w:pPr>
            <w:r>
              <w:rPr>
                <w:spacing w:val="-1"/>
              </w:rPr>
              <w:t>性，选址应避开当地划定的禁止养殖区</w:t>
            </w:r>
          </w:p>
          <w:p>
            <w:pPr>
              <w:pStyle w:val="TableText"/>
              <w:ind w:left="117"/>
              <w:spacing w:before="22" w:line="221" w:lineRule="auto"/>
              <w:rPr/>
            </w:pPr>
            <w:r>
              <w:rPr>
                <w:spacing w:val="-1"/>
              </w:rPr>
              <w:t>域，并与区域主体功能区规划、环境功</w:t>
            </w:r>
          </w:p>
          <w:p>
            <w:pPr>
              <w:pStyle w:val="TableText"/>
              <w:ind w:left="124"/>
              <w:spacing w:before="19" w:line="221" w:lineRule="auto"/>
              <w:rPr/>
            </w:pPr>
            <w:r>
              <w:rPr>
                <w:spacing w:val="-2"/>
              </w:rPr>
              <w:t>能区划、土地利用规划、城乡规划、畜</w:t>
            </w:r>
          </w:p>
          <w:p>
            <w:pPr>
              <w:pStyle w:val="TableText"/>
              <w:ind w:left="117"/>
              <w:spacing w:before="22" w:line="221" w:lineRule="auto"/>
              <w:rPr/>
            </w:pPr>
            <w:r>
              <w:rPr>
                <w:spacing w:val="-1"/>
              </w:rPr>
              <w:t>牧业发展规划、畜禽养殖污染防治规划</w:t>
            </w:r>
          </w:p>
          <w:p>
            <w:pPr>
              <w:pStyle w:val="TableText"/>
              <w:ind w:left="117"/>
              <w:spacing w:before="20" w:line="221" w:lineRule="auto"/>
              <w:rPr/>
            </w:pPr>
            <w:r>
              <w:rPr>
                <w:spacing w:val="-1"/>
              </w:rPr>
              <w:t>等规划相协调。当地未划定禁止养殖区</w:t>
            </w:r>
          </w:p>
          <w:p>
            <w:pPr>
              <w:pStyle w:val="TableText"/>
              <w:ind w:left="117"/>
              <w:spacing w:before="23" w:line="221" w:lineRule="auto"/>
              <w:rPr/>
            </w:pPr>
            <w:r>
              <w:rPr>
                <w:spacing w:val="-1"/>
              </w:rPr>
              <w:t>域的，应避开饮用水水源保护区、风景</w:t>
            </w:r>
          </w:p>
          <w:p>
            <w:pPr>
              <w:pStyle w:val="TableText"/>
              <w:ind w:left="221"/>
              <w:spacing w:before="20" w:line="221" w:lineRule="auto"/>
              <w:rPr/>
            </w:pPr>
            <w:r>
              <w:rPr>
                <w:spacing w:val="-1"/>
              </w:rPr>
              <w:t>名胜区、自然保护区的核心区和缓冲</w:t>
            </w:r>
          </w:p>
          <w:p>
            <w:pPr>
              <w:pStyle w:val="TableText"/>
              <w:ind w:left="131"/>
              <w:spacing w:before="22" w:line="220" w:lineRule="auto"/>
              <w:rPr/>
            </w:pPr>
            <w:r>
              <w:rPr>
                <w:spacing w:val="-2"/>
              </w:rPr>
              <w:t>区、村镇人口集中区域，以及法律、法</w:t>
            </w:r>
          </w:p>
          <w:p>
            <w:pPr>
              <w:pStyle w:val="TableText"/>
              <w:ind w:left="745"/>
              <w:spacing w:before="22" w:line="207" w:lineRule="auto"/>
              <w:rPr/>
            </w:pPr>
            <w:r>
              <w:rPr>
                <w:spacing w:val="-2"/>
              </w:rPr>
              <w:t>规规定的禁止养殖区域。</w:t>
            </w:r>
          </w:p>
        </w:tc>
        <w:tc>
          <w:tcPr>
            <w:tcW w:w="3910" w:type="dxa"/>
            <w:vAlign w:val="top"/>
          </w:tcPr>
          <w:p>
            <w:pPr>
              <w:spacing w:line="371" w:lineRule="auto"/>
              <w:rPr>
                <w:rFonts w:ascii="Arial"/>
                <w:sz w:val="21"/>
              </w:rPr>
            </w:pPr>
            <w:r/>
          </w:p>
          <w:p>
            <w:pPr>
              <w:pStyle w:val="TableText"/>
              <w:ind w:left="114"/>
              <w:spacing w:before="68" w:line="220" w:lineRule="auto"/>
              <w:rPr/>
            </w:pPr>
            <w:r>
              <w:rPr>
                <w:spacing w:val="-6"/>
              </w:rPr>
              <w:t>本项目选址不在禁养区内，符合主体功能</w:t>
            </w:r>
          </w:p>
          <w:p>
            <w:pPr>
              <w:pStyle w:val="TableText"/>
              <w:ind w:left="129"/>
              <w:spacing w:before="23" w:line="220" w:lineRule="auto"/>
              <w:rPr/>
            </w:pPr>
            <w:r>
              <w:rPr>
                <w:spacing w:val="-7"/>
              </w:rPr>
              <w:t>区和环境功能区划要求，本项目为肉牛育</w:t>
            </w:r>
          </w:p>
          <w:p>
            <w:pPr>
              <w:pStyle w:val="TableText"/>
              <w:ind w:left="113"/>
              <w:spacing w:before="20" w:line="220" w:lineRule="auto"/>
              <w:rPr/>
            </w:pPr>
            <w:r>
              <w:rPr>
                <w:spacing w:val="-6"/>
              </w:rPr>
              <w:t>肥基地建设项目，已经取得农牧业设施用</w:t>
            </w:r>
          </w:p>
          <w:p>
            <w:pPr>
              <w:pStyle w:val="TableText"/>
              <w:ind w:left="113"/>
              <w:spacing w:before="23" w:line="221" w:lineRule="auto"/>
              <w:rPr/>
            </w:pPr>
            <w:r>
              <w:rPr>
                <w:spacing w:val="-5"/>
              </w:rPr>
              <w:t>地的备案文件，符合土地利用规划，符合</w:t>
            </w:r>
          </w:p>
          <w:p>
            <w:pPr>
              <w:pStyle w:val="TableText"/>
              <w:ind w:left="126"/>
              <w:spacing w:before="20" w:line="220" w:lineRule="auto"/>
              <w:rPr/>
            </w:pPr>
            <w:r>
              <w:rPr>
                <w:spacing w:val="-7"/>
              </w:rPr>
              <w:t>当地规划和畜牧业发展规划，本项目建设</w:t>
            </w:r>
          </w:p>
          <w:p>
            <w:pPr>
              <w:pStyle w:val="TableText"/>
              <w:ind w:left="115"/>
              <w:spacing w:before="23" w:line="221" w:lineRule="auto"/>
              <w:rPr/>
            </w:pPr>
            <w:r>
              <w:rPr>
                <w:spacing w:val="-6"/>
              </w:rPr>
              <w:t>可带动当地肉牛养殖业的发展，符合当地</w:t>
            </w:r>
          </w:p>
          <w:p>
            <w:pPr>
              <w:pStyle w:val="TableText"/>
              <w:ind w:left="1433"/>
              <w:spacing w:before="20" w:line="221" w:lineRule="auto"/>
              <w:rPr/>
            </w:pPr>
            <w:r>
              <w:rPr>
                <w:spacing w:val="-5"/>
              </w:rPr>
              <w:t>城乡规划。</w:t>
            </w:r>
          </w:p>
        </w:tc>
        <w:tc>
          <w:tcPr>
            <w:tcW w:w="684" w:type="dxa"/>
            <w:vAlign w:val="top"/>
            <w:tcBorders>
              <w:right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36"/>
              <w:spacing w:before="68" w:line="221" w:lineRule="auto"/>
              <w:rPr/>
            </w:pPr>
            <w:r>
              <w:rPr>
                <w:spacing w:val="-2"/>
              </w:rPr>
              <w:t>符合</w:t>
            </w:r>
          </w:p>
        </w:tc>
      </w:tr>
      <w:tr>
        <w:trPr>
          <w:trHeight w:val="3547" w:hRule="atLeast"/>
        </w:trPr>
        <w:tc>
          <w:tcPr>
            <w:tcW w:w="3786" w:type="dxa"/>
            <w:vAlign w:val="top"/>
            <w:tcBorders>
              <w:left w:val="nil"/>
            </w:tcBorders>
          </w:tcPr>
          <w:p>
            <w:pPr>
              <w:pStyle w:val="TableText"/>
              <w:ind w:left="222"/>
              <w:spacing w:before="31" w:line="221" w:lineRule="auto"/>
              <w:rPr/>
            </w:pPr>
            <w:r>
              <w:rPr>
                <w:spacing w:val="-1"/>
              </w:rPr>
              <w:t>项目环评应结合环境保护要求优化养</w:t>
            </w:r>
          </w:p>
          <w:p>
            <w:pPr>
              <w:pStyle w:val="TableText"/>
              <w:ind w:left="117"/>
              <w:spacing w:before="20" w:line="220" w:lineRule="auto"/>
              <w:rPr/>
            </w:pPr>
            <w:r>
              <w:rPr>
                <w:spacing w:val="-1"/>
              </w:rPr>
              <w:t>殖场区内部布置。畜禽养殖区及畜禽粪</w:t>
            </w:r>
          </w:p>
          <w:p>
            <w:pPr>
              <w:pStyle w:val="TableText"/>
              <w:ind w:left="117"/>
              <w:spacing w:before="23" w:line="221" w:lineRule="auto"/>
              <w:rPr/>
            </w:pPr>
            <w:r>
              <w:rPr>
                <w:spacing w:val="-1"/>
              </w:rPr>
              <w:t>污贮存、处理和畜禽尸体无害化处理等</w:t>
            </w:r>
          </w:p>
          <w:p>
            <w:pPr>
              <w:pStyle w:val="TableText"/>
              <w:ind w:left="116"/>
              <w:spacing w:before="19" w:line="221" w:lineRule="auto"/>
              <w:rPr/>
            </w:pPr>
            <w:r>
              <w:rPr>
                <w:spacing w:val="-1"/>
              </w:rPr>
              <w:t>产生恶臭影响的设施，应位于养殖场区</w:t>
            </w:r>
          </w:p>
          <w:p>
            <w:pPr>
              <w:pStyle w:val="TableText"/>
              <w:ind w:left="117"/>
              <w:spacing w:before="22" w:line="221" w:lineRule="auto"/>
              <w:rPr/>
            </w:pPr>
            <w:r>
              <w:rPr>
                <w:spacing w:val="-1"/>
              </w:rPr>
              <w:t>主导风向的下风向位置，并尽量远离周</w:t>
            </w:r>
          </w:p>
          <w:p>
            <w:pPr>
              <w:pStyle w:val="TableText"/>
              <w:ind w:left="115"/>
              <w:spacing w:before="19" w:line="221" w:lineRule="auto"/>
              <w:rPr/>
            </w:pPr>
            <w:r>
              <w:rPr>
                <w:spacing w:val="-1"/>
              </w:rPr>
              <w:t>边环境保护目标。参照《畜禽养殖业污</w:t>
            </w:r>
          </w:p>
          <w:p>
            <w:pPr>
              <w:pStyle w:val="TableText"/>
              <w:ind w:left="119"/>
              <w:spacing w:before="23" w:line="221" w:lineRule="auto"/>
              <w:rPr/>
            </w:pPr>
            <w:r>
              <w:rPr>
                <w:spacing w:val="-1"/>
              </w:rPr>
              <w:t>染防治技术规范》，并根据恶臭污染物</w:t>
            </w:r>
          </w:p>
          <w:p>
            <w:pPr>
              <w:pStyle w:val="TableText"/>
              <w:ind w:left="117"/>
              <w:spacing w:before="20" w:line="221" w:lineRule="auto"/>
              <w:rPr/>
            </w:pPr>
            <w:r>
              <w:rPr>
                <w:spacing w:val="-1"/>
              </w:rPr>
              <w:t>无组织排放源强，以及当地的环境及气</w:t>
            </w:r>
          </w:p>
          <w:p>
            <w:pPr>
              <w:pStyle w:val="TableText"/>
              <w:ind w:left="123"/>
              <w:spacing w:before="22" w:line="219" w:lineRule="auto"/>
              <w:rPr/>
            </w:pPr>
            <w:r>
              <w:rPr>
                <w:spacing w:val="-1"/>
              </w:rPr>
              <w:t>象等因素，按照《环境影响评价技术导</w:t>
            </w:r>
          </w:p>
          <w:p>
            <w:pPr>
              <w:pStyle w:val="TableText"/>
              <w:ind w:left="120"/>
              <w:spacing w:before="22" w:line="221" w:lineRule="auto"/>
              <w:rPr/>
            </w:pPr>
            <w:r>
              <w:rPr>
                <w:spacing w:val="-1"/>
              </w:rPr>
              <w:t>则大气环境》要求计算大气环境防护距</w:t>
            </w:r>
          </w:p>
          <w:p>
            <w:pPr>
              <w:pStyle w:val="TableText"/>
              <w:ind w:left="119"/>
              <w:spacing w:before="23" w:line="221" w:lineRule="auto"/>
              <w:rPr/>
            </w:pPr>
            <w:r>
              <w:rPr>
                <w:spacing w:val="-1"/>
              </w:rPr>
              <w:t>离，作为养殖场选址以及周边规划控制</w:t>
            </w:r>
          </w:p>
          <w:p>
            <w:pPr>
              <w:pStyle w:val="TableText"/>
              <w:ind w:left="133"/>
              <w:spacing w:before="20" w:line="220" w:lineRule="auto"/>
              <w:rPr/>
            </w:pPr>
            <w:r>
              <w:rPr>
                <w:spacing w:val="-2"/>
              </w:rPr>
              <w:t>的依据，减轻对周围环境保护目标的不</w:t>
            </w:r>
          </w:p>
          <w:p>
            <w:pPr>
              <w:pStyle w:val="TableText"/>
              <w:ind w:left="1480"/>
              <w:spacing w:before="23" w:line="207" w:lineRule="auto"/>
              <w:rPr/>
            </w:pPr>
            <w:r>
              <w:rPr>
                <w:spacing w:val="-2"/>
              </w:rPr>
              <w:t>利影响。</w:t>
            </w:r>
          </w:p>
        </w:tc>
        <w:tc>
          <w:tcPr>
            <w:tcW w:w="3910"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14"/>
              <w:spacing w:before="68" w:line="220" w:lineRule="auto"/>
              <w:rPr/>
            </w:pPr>
            <w:r>
              <w:rPr>
                <w:spacing w:val="-6"/>
              </w:rPr>
              <w:t>本项目采用干清粪工艺，储粪库位于厂区</w:t>
            </w:r>
          </w:p>
          <w:p>
            <w:pPr>
              <w:pStyle w:val="TableText"/>
              <w:ind w:left="120"/>
              <w:spacing w:before="23" w:line="221" w:lineRule="auto"/>
              <w:rPr/>
            </w:pPr>
            <w:r>
              <w:rPr>
                <w:spacing w:val="-6"/>
              </w:rPr>
              <w:t>东南侧，牛舍位于厂区西侧，该地区常年</w:t>
            </w:r>
          </w:p>
          <w:p>
            <w:pPr>
              <w:pStyle w:val="TableText"/>
              <w:ind w:left="115"/>
              <w:spacing w:before="19" w:line="221" w:lineRule="auto"/>
              <w:rPr/>
            </w:pPr>
            <w:r>
              <w:rPr>
                <w:spacing w:val="-6"/>
              </w:rPr>
              <w:t>主导风向为西南风，均位于整个厂区侧风</w:t>
            </w:r>
          </w:p>
          <w:p>
            <w:pPr>
              <w:pStyle w:val="TableText"/>
              <w:ind w:left="194"/>
              <w:spacing w:before="22" w:line="220" w:lineRule="auto"/>
              <w:rPr/>
            </w:pPr>
            <w:r>
              <w:rPr>
                <w:spacing w:val="-2"/>
              </w:rPr>
              <w:t>向及下风向，本项目最近敏感点为西侧</w:t>
            </w:r>
          </w:p>
          <w:p>
            <w:pPr>
              <w:pStyle w:val="TableText"/>
              <w:ind w:left="108"/>
              <w:spacing w:before="21" w:line="234" w:lineRule="auto"/>
              <w:rPr/>
            </w:pPr>
            <w:r>
              <w:rPr>
                <w:rFonts w:ascii="Times New Roman" w:hAnsi="Times New Roman" w:eastAsia="Times New Roman" w:cs="Times New Roman"/>
                <w:spacing w:val="-2"/>
              </w:rPr>
              <w:t>4.5km </w:t>
            </w:r>
            <w:r>
              <w:rPr>
                <w:spacing w:val="-2"/>
              </w:rPr>
              <w:t>处锡林浩特市居民，属于厂区侧上</w:t>
            </w:r>
          </w:p>
          <w:p>
            <w:pPr>
              <w:pStyle w:val="TableText"/>
              <w:ind w:left="114"/>
              <w:spacing w:before="7" w:line="220" w:lineRule="auto"/>
              <w:rPr/>
            </w:pPr>
            <w:r>
              <w:rPr>
                <w:spacing w:val="-6"/>
              </w:rPr>
              <w:t>风向，本项目做到了远离周边环境敏感目</w:t>
            </w:r>
          </w:p>
          <w:p>
            <w:pPr>
              <w:pStyle w:val="TableText"/>
              <w:ind w:left="1748"/>
              <w:spacing w:before="22" w:line="221" w:lineRule="auto"/>
              <w:rPr/>
            </w:pPr>
            <w:r>
              <w:rPr>
                <w:spacing w:val="-4"/>
              </w:rPr>
              <w:t>标。</w:t>
            </w:r>
          </w:p>
        </w:tc>
        <w:tc>
          <w:tcPr>
            <w:tcW w:w="684" w:type="dxa"/>
            <w:vAlign w:val="top"/>
            <w:tcBorders>
              <w:right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36"/>
              <w:spacing w:before="68" w:line="221" w:lineRule="auto"/>
              <w:rPr/>
            </w:pPr>
            <w:r>
              <w:rPr>
                <w:spacing w:val="-2"/>
              </w:rPr>
              <w:t>符合</w:t>
            </w:r>
          </w:p>
        </w:tc>
      </w:tr>
    </w:tbl>
    <w:p>
      <w:pPr>
        <w:ind w:left="1761"/>
        <w:spacing w:before="30" w:line="214" w:lineRule="auto"/>
        <w:rPr>
          <w:rFonts w:ascii="SimSun" w:hAnsi="SimSun" w:eastAsia="SimSun" w:cs="SimSun"/>
          <w:sz w:val="21"/>
          <w:szCs w:val="21"/>
        </w:rPr>
      </w:pPr>
      <w:r>
        <w:rPr>
          <w:rFonts w:ascii="SimSun" w:hAnsi="SimSun" w:eastAsia="SimSun" w:cs="SimSun"/>
          <w:sz w:val="21"/>
          <w:szCs w:val="21"/>
          <w:b/>
          <w:bCs/>
          <w:spacing w:val="-2"/>
        </w:rPr>
        <w:t>二、加强粪污减量控制，促进畜禽养殖粪污资源化利用</w:t>
      </w:r>
    </w:p>
    <w:tbl>
      <w:tblPr>
        <w:tblStyle w:val="TableNormal"/>
        <w:tblW w:w="8394" w:type="dxa"/>
        <w:tblInd w:w="7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00"/>
        <w:gridCol w:w="3910"/>
        <w:gridCol w:w="684"/>
      </w:tblGrid>
      <w:tr>
        <w:trPr>
          <w:trHeight w:val="1642" w:hRule="atLeast"/>
        </w:trPr>
        <w:tc>
          <w:tcPr>
            <w:tcW w:w="3800" w:type="dxa"/>
            <w:vAlign w:val="top"/>
            <w:tcBorders>
              <w:bottom w:val="single" w:color="000000" w:sz="10" w:space="0"/>
              <w:left w:val="nil"/>
            </w:tcBorders>
          </w:tcPr>
          <w:p>
            <w:pPr>
              <w:pStyle w:val="TableText"/>
              <w:ind w:left="129" w:right="100" w:firstLine="4"/>
              <w:spacing w:before="34" w:line="234" w:lineRule="auto"/>
              <w:jc w:val="both"/>
              <w:rPr/>
            </w:pPr>
            <w:r>
              <w:rPr>
                <w:spacing w:val="-1"/>
              </w:rPr>
              <w:t>项目环评应以农业绿色发展为导向，优</w:t>
            </w:r>
            <w:r>
              <w:rPr>
                <w:spacing w:val="-1"/>
              </w:rPr>
              <w:t>化工艺，通过采取优化饲料配方、提高</w:t>
            </w:r>
            <w:r>
              <w:rPr>
                <w:spacing w:val="-1"/>
              </w:rPr>
              <w:t>饲养技术等措施，从源头减少粪污的产</w:t>
            </w:r>
            <w:r>
              <w:rPr>
                <w:spacing w:val="-1"/>
              </w:rPr>
              <w:t>生量。鼓励采取干清粪方式，采取水泡</w:t>
            </w:r>
            <w:r>
              <w:rPr>
                <w:spacing w:val="-1"/>
              </w:rPr>
              <w:t>粪工艺的应最大限度降低用水量。场区</w:t>
            </w:r>
            <w:r>
              <w:rPr>
                <w:spacing w:val="-1"/>
              </w:rPr>
              <w:t>应采取雨污分离措施，防止雨水进入粪</w:t>
            </w:r>
          </w:p>
        </w:tc>
        <w:tc>
          <w:tcPr>
            <w:tcW w:w="3910" w:type="dxa"/>
            <w:vAlign w:val="top"/>
            <w:tcBorders>
              <w:bottom w:val="single" w:color="000000" w:sz="10" w:space="0"/>
            </w:tcBorders>
          </w:tcPr>
          <w:p>
            <w:pPr>
              <w:pStyle w:val="TableText"/>
              <w:ind w:left="173"/>
              <w:spacing w:before="171" w:line="220" w:lineRule="auto"/>
              <w:rPr/>
            </w:pPr>
            <w:r>
              <w:rPr>
                <w:spacing w:val="-1"/>
              </w:rPr>
              <w:t>场区采用雨污分流，生活污水排入防渗</w:t>
            </w:r>
          </w:p>
          <w:p>
            <w:pPr>
              <w:pStyle w:val="TableText"/>
              <w:ind w:left="113"/>
              <w:spacing w:before="20" w:line="220" w:lineRule="auto"/>
              <w:rPr/>
            </w:pPr>
            <w:r>
              <w:rPr>
                <w:spacing w:val="-6"/>
              </w:rPr>
              <w:t>池，本项目牛棚铺设垫料，牛尿及牛粪进</w:t>
            </w:r>
          </w:p>
          <w:p>
            <w:pPr>
              <w:pStyle w:val="TableText"/>
              <w:ind w:left="113"/>
              <w:spacing w:before="23" w:line="221" w:lineRule="auto"/>
              <w:rPr/>
            </w:pPr>
            <w:r>
              <w:rPr>
                <w:spacing w:val="-6"/>
              </w:rPr>
              <w:t>入垫料，废垫料暂存于储粪库，定期外售</w:t>
            </w:r>
          </w:p>
          <w:p>
            <w:pPr>
              <w:pStyle w:val="TableText"/>
              <w:ind w:left="114"/>
              <w:spacing w:before="20" w:line="220" w:lineRule="auto"/>
              <w:rPr/>
            </w:pPr>
            <w:r>
              <w:rPr>
                <w:spacing w:val="-6"/>
              </w:rPr>
              <w:t>给相关单位生产有机肥，雨水经排水沟收</w:t>
            </w:r>
          </w:p>
          <w:p>
            <w:pPr>
              <w:pStyle w:val="TableText"/>
              <w:ind w:left="1119"/>
              <w:spacing w:before="23" w:line="221" w:lineRule="auto"/>
              <w:rPr/>
            </w:pPr>
            <w:r>
              <w:rPr>
                <w:spacing w:val="-1"/>
              </w:rPr>
              <w:t>集，收集至场外。</w:t>
            </w:r>
          </w:p>
        </w:tc>
        <w:tc>
          <w:tcPr>
            <w:tcW w:w="684" w:type="dxa"/>
            <w:vAlign w:val="top"/>
            <w:tcBorders>
              <w:bottom w:val="single" w:color="000000" w:sz="10" w:space="0"/>
              <w:right w:val="nil"/>
            </w:tcBorders>
          </w:tcPr>
          <w:p>
            <w:pPr>
              <w:spacing w:line="321" w:lineRule="auto"/>
              <w:rPr>
                <w:rFonts w:ascii="Arial"/>
                <w:sz w:val="21"/>
              </w:rPr>
            </w:pPr>
            <w:r/>
          </w:p>
          <w:p>
            <w:pPr>
              <w:spacing w:line="322" w:lineRule="auto"/>
              <w:rPr>
                <w:rFonts w:ascii="Arial"/>
                <w:sz w:val="21"/>
              </w:rPr>
            </w:pPr>
            <w:r/>
          </w:p>
          <w:p>
            <w:pPr>
              <w:pStyle w:val="TableText"/>
              <w:ind w:left="137"/>
              <w:spacing w:before="68" w:line="221" w:lineRule="auto"/>
              <w:rPr/>
            </w:pPr>
            <w:r>
              <w:rPr>
                <w:spacing w:val="-2"/>
              </w:rPr>
              <w:t>符合</w:t>
            </w:r>
          </w:p>
        </w:tc>
      </w:tr>
    </w:tbl>
    <w:p>
      <w:pPr>
        <w:pStyle w:val="BodyText"/>
        <w:spacing w:line="155" w:lineRule="exact"/>
        <w:rPr>
          <w:sz w:val="13"/>
        </w:rPr>
      </w:pPr>
      <w:r>
        <w:pict>
          <v:shape id="_x0000_s22" style="position:absolute;margin-left:1.68601pt;margin-top:7.514pt;mso-position-vertical-relative:text;mso-position-horizontal-relative:text;width:425.7pt;height:0.6pt;z-index:251663360;" filled="false" strokecolor="#808080" strokeweight="0.50pt" coordsize="8514,12" coordorigin="0,0" path="m5,5l8508,6e">
            <v:stroke endcap="round" miterlimit="10"/>
          </v:shape>
        </w:pict>
      </w:r>
      <w:r/>
    </w:p>
    <w:p>
      <w:pPr>
        <w:spacing w:line="155" w:lineRule="exact"/>
        <w:sectPr>
          <w:headerReference w:type="default" r:id="rId13"/>
          <w:footerReference w:type="default" r:id="rId14"/>
          <w:pgSz w:w="11907" w:h="16839"/>
          <w:pgMar w:top="1422" w:right="1592" w:bottom="1618" w:left="1673" w:header="1033" w:footer="1417" w:gutter="0"/>
        </w:sectPr>
        <w:rPr>
          <w:sz w:val="13"/>
          <w:szCs w:val="13"/>
        </w:rPr>
      </w:pPr>
    </w:p>
    <w:p>
      <w:pPr>
        <w:spacing w:before="37"/>
        <w:rPr/>
      </w:pPr>
      <w:r/>
    </w:p>
    <w:tbl>
      <w:tblPr>
        <w:tblStyle w:val="TableNormal"/>
        <w:tblW w:w="8380" w:type="dxa"/>
        <w:tblInd w:w="9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786"/>
        <w:gridCol w:w="3910"/>
        <w:gridCol w:w="684"/>
      </w:tblGrid>
      <w:tr>
        <w:trPr>
          <w:trHeight w:val="282" w:hRule="atLeast"/>
        </w:trPr>
        <w:tc>
          <w:tcPr>
            <w:tcW w:w="3786" w:type="dxa"/>
            <w:vAlign w:val="top"/>
            <w:tcBorders>
              <w:left w:val="nil"/>
              <w:top w:val="single" w:color="000000" w:sz="10" w:space="0"/>
            </w:tcBorders>
          </w:tcPr>
          <w:p>
            <w:pPr>
              <w:pStyle w:val="TableText"/>
              <w:ind w:left="1375"/>
              <w:spacing w:before="34" w:line="209" w:lineRule="auto"/>
              <w:rPr/>
            </w:pPr>
            <w:r>
              <w:rPr>
                <w:spacing w:val="-2"/>
              </w:rPr>
              <w:t>污收集系统</w:t>
            </w:r>
          </w:p>
        </w:tc>
        <w:tc>
          <w:tcPr>
            <w:tcW w:w="3910" w:type="dxa"/>
            <w:vAlign w:val="top"/>
            <w:tcBorders>
              <w:top w:val="single" w:color="000000" w:sz="10" w:space="0"/>
            </w:tcBorders>
          </w:tcPr>
          <w:p>
            <w:pPr>
              <w:rPr>
                <w:rFonts w:ascii="Arial"/>
                <w:sz w:val="21"/>
              </w:rPr>
            </w:pPr>
            <w:r/>
          </w:p>
        </w:tc>
        <w:tc>
          <w:tcPr>
            <w:tcW w:w="684" w:type="dxa"/>
            <w:vAlign w:val="top"/>
            <w:tcBorders>
              <w:right w:val="nil"/>
              <w:top w:val="single" w:color="000000" w:sz="10" w:space="0"/>
            </w:tcBorders>
          </w:tcPr>
          <w:p>
            <w:pPr>
              <w:rPr>
                <w:rFonts w:ascii="Arial"/>
                <w:sz w:val="21"/>
              </w:rPr>
            </w:pPr>
            <w:r/>
          </w:p>
        </w:tc>
      </w:tr>
      <w:tr>
        <w:trPr>
          <w:trHeight w:val="2453" w:hRule="atLeast"/>
        </w:trPr>
        <w:tc>
          <w:tcPr>
            <w:tcW w:w="3786" w:type="dxa"/>
            <w:vAlign w:val="top"/>
            <w:tcBorders>
              <w:left w:val="nil"/>
            </w:tcBorders>
          </w:tcPr>
          <w:p>
            <w:pPr>
              <w:pStyle w:val="TableText"/>
              <w:ind w:left="119"/>
              <w:spacing w:before="29" w:line="221" w:lineRule="auto"/>
              <w:rPr/>
            </w:pPr>
            <w:r>
              <w:rPr>
                <w:spacing w:val="-1"/>
              </w:rPr>
              <w:t>项目环评应结合地域、畜种、规模等特</w:t>
            </w:r>
          </w:p>
          <w:p>
            <w:pPr>
              <w:pStyle w:val="TableText"/>
              <w:ind w:left="230"/>
              <w:spacing w:before="19" w:line="221" w:lineRule="auto"/>
              <w:rPr/>
            </w:pPr>
            <w:r>
              <w:rPr>
                <w:spacing w:val="-1"/>
              </w:rPr>
              <w:t>点以及地方相关部门制定的畜禽粪污</w:t>
            </w:r>
          </w:p>
          <w:p>
            <w:pPr>
              <w:pStyle w:val="TableText"/>
              <w:ind w:left="118"/>
              <w:spacing w:before="22" w:line="221" w:lineRule="auto"/>
              <w:rPr/>
            </w:pPr>
            <w:r>
              <w:rPr>
                <w:spacing w:val="-1"/>
              </w:rPr>
              <w:t>综合利用目标等要求，加强畜禽养殖粪</w:t>
            </w:r>
          </w:p>
          <w:p>
            <w:pPr>
              <w:pStyle w:val="TableText"/>
              <w:ind w:left="117"/>
              <w:spacing w:before="19" w:line="221" w:lineRule="auto"/>
              <w:rPr/>
            </w:pPr>
            <w:r>
              <w:rPr>
                <w:spacing w:val="-1"/>
              </w:rPr>
              <w:t>污资源化利用，因地制宜选择经济高效</w:t>
            </w:r>
          </w:p>
          <w:p>
            <w:pPr>
              <w:pStyle w:val="TableText"/>
              <w:ind w:left="116"/>
              <w:spacing w:before="23" w:line="220" w:lineRule="auto"/>
              <w:rPr/>
            </w:pPr>
            <w:r>
              <w:rPr>
                <w:spacing w:val="-1"/>
              </w:rPr>
              <w:t>适用的处理利用模式，采取粪污全量收</w:t>
            </w:r>
          </w:p>
          <w:p>
            <w:pPr>
              <w:pStyle w:val="TableText"/>
              <w:ind w:left="116"/>
              <w:spacing w:before="21" w:line="220" w:lineRule="auto"/>
              <w:rPr/>
            </w:pPr>
            <w:r>
              <w:rPr>
                <w:spacing w:val="-1"/>
              </w:rPr>
              <w:t>集还田利用、污水肥料化利用、粪便垫</w:t>
            </w:r>
          </w:p>
          <w:p>
            <w:pPr>
              <w:pStyle w:val="TableText"/>
              <w:ind w:left="116"/>
              <w:spacing w:before="23" w:line="221" w:lineRule="auto"/>
              <w:rPr/>
            </w:pPr>
            <w:r>
              <w:rPr>
                <w:spacing w:val="-1"/>
              </w:rPr>
              <w:t>料回用、异位发酵床、粪污专业化能源</w:t>
            </w:r>
          </w:p>
          <w:p>
            <w:pPr>
              <w:pStyle w:val="TableText"/>
              <w:ind w:left="117"/>
              <w:spacing w:before="20" w:line="220" w:lineRule="auto"/>
              <w:rPr/>
            </w:pPr>
            <w:r>
              <w:rPr>
                <w:spacing w:val="-1"/>
              </w:rPr>
              <w:t>利用等模式处理利用畜禽粪污，促进畜</w:t>
            </w:r>
          </w:p>
          <w:p>
            <w:pPr>
              <w:pStyle w:val="TableText"/>
              <w:ind w:right="19"/>
              <w:spacing w:before="24" w:line="205" w:lineRule="auto"/>
              <w:jc w:val="right"/>
              <w:rPr/>
            </w:pPr>
            <w:r>
              <w:rPr>
                <w:spacing w:val="-8"/>
              </w:rPr>
              <w:t>禽规模养殖项目“种养结合”绿色发展。</w:t>
            </w:r>
          </w:p>
        </w:tc>
        <w:tc>
          <w:tcPr>
            <w:tcW w:w="3910"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3" w:right="48"/>
              <w:spacing w:before="68" w:line="241" w:lineRule="auto"/>
              <w:jc w:val="both"/>
              <w:rPr/>
            </w:pPr>
            <w:r>
              <w:rPr>
                <w:spacing w:val="-6"/>
              </w:rPr>
              <w:t>本项目牛舍铺设垫料，牛尿及牛粪进入垫</w:t>
            </w:r>
            <w:r>
              <w:rPr>
                <w:spacing w:val="-6"/>
              </w:rPr>
              <w:t>料，废垫料暂存于储粪库，最终外售给相</w:t>
            </w:r>
            <w:r>
              <w:rPr>
                <w:spacing w:val="-3"/>
              </w:rPr>
              <w:t>关单位生产有机肥，可实现资源化利用。</w:t>
            </w:r>
          </w:p>
        </w:tc>
        <w:tc>
          <w:tcPr>
            <w:tcW w:w="684" w:type="dxa"/>
            <w:vAlign w:val="top"/>
            <w:tcBorders>
              <w:right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36"/>
              <w:spacing w:before="68" w:line="221" w:lineRule="auto"/>
              <w:rPr/>
            </w:pPr>
            <w:r>
              <w:rPr>
                <w:spacing w:val="-2"/>
              </w:rPr>
              <w:t>符合</w:t>
            </w:r>
          </w:p>
        </w:tc>
      </w:tr>
      <w:tr>
        <w:trPr>
          <w:trHeight w:val="3821" w:hRule="atLeast"/>
        </w:trPr>
        <w:tc>
          <w:tcPr>
            <w:tcW w:w="3786" w:type="dxa"/>
            <w:vAlign w:val="top"/>
            <w:tcBorders>
              <w:left w:val="nil"/>
            </w:tcBorders>
          </w:tcPr>
          <w:p>
            <w:pPr>
              <w:pStyle w:val="TableText"/>
              <w:ind w:left="221"/>
              <w:spacing w:before="31" w:line="221" w:lineRule="auto"/>
              <w:rPr/>
            </w:pPr>
            <w:r>
              <w:rPr>
                <w:spacing w:val="-1"/>
              </w:rPr>
              <w:t>鼓励根据土地承载能力确定畜禽养殖</w:t>
            </w:r>
          </w:p>
          <w:p>
            <w:pPr>
              <w:pStyle w:val="TableText"/>
              <w:ind w:left="115"/>
              <w:spacing w:before="22" w:line="220" w:lineRule="auto"/>
              <w:rPr/>
            </w:pPr>
            <w:r>
              <w:rPr>
                <w:spacing w:val="-1"/>
              </w:rPr>
              <w:t>场的适宜养殖规模，土地承载能力可采</w:t>
            </w:r>
          </w:p>
          <w:p>
            <w:pPr>
              <w:pStyle w:val="TableText"/>
              <w:ind w:left="221"/>
              <w:spacing w:before="21" w:line="220" w:lineRule="auto"/>
              <w:rPr/>
            </w:pPr>
            <w:r>
              <w:rPr>
                <w:spacing w:val="-1"/>
              </w:rPr>
              <w:t>用农业农村主管部门发布的测算技术</w:t>
            </w:r>
          </w:p>
          <w:p>
            <w:pPr>
              <w:pStyle w:val="TableText"/>
              <w:ind w:left="117"/>
              <w:spacing w:before="23" w:line="220" w:lineRule="auto"/>
              <w:rPr/>
            </w:pPr>
            <w:r>
              <w:rPr>
                <w:spacing w:val="-1"/>
              </w:rPr>
              <w:t>方法确定。耕地面积大、土地消纳能力</w:t>
            </w:r>
          </w:p>
          <w:p>
            <w:pPr>
              <w:pStyle w:val="TableText"/>
              <w:ind w:left="116"/>
              <w:spacing w:before="20" w:line="221" w:lineRule="auto"/>
              <w:rPr/>
            </w:pPr>
            <w:r>
              <w:rPr>
                <w:spacing w:val="-1"/>
              </w:rPr>
              <w:t>相对较高的区域，畜禽养殖场产生的粪</w:t>
            </w:r>
          </w:p>
          <w:p>
            <w:pPr>
              <w:pStyle w:val="TableText"/>
              <w:ind w:left="221"/>
              <w:spacing w:before="23" w:line="221" w:lineRule="auto"/>
              <w:rPr/>
            </w:pPr>
            <w:r>
              <w:rPr>
                <w:spacing w:val="-1"/>
              </w:rPr>
              <w:t>污应力争实现全部就地就近资源化利</w:t>
            </w:r>
          </w:p>
          <w:p>
            <w:pPr>
              <w:pStyle w:val="TableText"/>
              <w:ind w:left="117"/>
              <w:spacing w:before="19" w:line="221" w:lineRule="auto"/>
              <w:rPr/>
            </w:pPr>
            <w:r>
              <w:rPr>
                <w:spacing w:val="-1"/>
              </w:rPr>
              <w:t>用或委托第三方处理；当土地消纳能力</w:t>
            </w:r>
          </w:p>
          <w:p>
            <w:pPr>
              <w:pStyle w:val="TableText"/>
              <w:ind w:left="119"/>
              <w:spacing w:before="23" w:line="221" w:lineRule="auto"/>
              <w:rPr/>
            </w:pPr>
            <w:r>
              <w:rPr>
                <w:spacing w:val="-1"/>
              </w:rPr>
              <w:t>不足时，应进一步提高资源化利用能力</w:t>
            </w:r>
          </w:p>
          <w:p>
            <w:pPr>
              <w:pStyle w:val="TableText"/>
              <w:ind w:left="118"/>
              <w:spacing w:before="20" w:line="220" w:lineRule="auto"/>
              <w:rPr/>
            </w:pPr>
            <w:r>
              <w:rPr>
                <w:spacing w:val="-1"/>
              </w:rPr>
              <w:t>或适当减少养殖规模。鼓励依托符合环</w:t>
            </w:r>
          </w:p>
          <w:p>
            <w:pPr>
              <w:pStyle w:val="TableText"/>
              <w:ind w:left="117"/>
              <w:spacing w:before="23" w:line="221" w:lineRule="auto"/>
              <w:rPr/>
            </w:pPr>
            <w:r>
              <w:rPr>
                <w:spacing w:val="-1"/>
              </w:rPr>
              <w:t>保要求的专业化粪污处理利用企业，提</w:t>
            </w:r>
          </w:p>
          <w:p>
            <w:pPr>
              <w:pStyle w:val="TableText"/>
              <w:ind w:left="121"/>
              <w:spacing w:before="20" w:line="221" w:lineRule="auto"/>
              <w:rPr/>
            </w:pPr>
            <w:r>
              <w:rPr>
                <w:spacing w:val="-1"/>
              </w:rPr>
              <w:t>高畜禽养殖粪污集中收集利用能力。环</w:t>
            </w:r>
          </w:p>
          <w:p>
            <w:pPr>
              <w:pStyle w:val="TableText"/>
              <w:ind w:left="218"/>
              <w:spacing w:before="22" w:line="221" w:lineRule="auto"/>
              <w:rPr/>
            </w:pPr>
            <w:r>
              <w:rPr>
                <w:spacing w:val="-1"/>
              </w:rPr>
              <w:t>评应明确畜禽养殖粪污资源化利用的</w:t>
            </w:r>
          </w:p>
          <w:p>
            <w:pPr>
              <w:pStyle w:val="TableText"/>
              <w:ind w:left="117"/>
              <w:spacing w:before="20" w:line="221" w:lineRule="auto"/>
              <w:rPr/>
            </w:pPr>
            <w:r>
              <w:rPr>
                <w:spacing w:val="-1"/>
              </w:rPr>
              <w:t>主体，严格落实利用渠道或途径，确保</w:t>
            </w:r>
          </w:p>
          <w:p>
            <w:pPr>
              <w:pStyle w:val="TableText"/>
              <w:ind w:left="859"/>
              <w:spacing w:before="23" w:line="207" w:lineRule="auto"/>
              <w:rPr/>
            </w:pPr>
            <w:r>
              <w:rPr>
                <w:spacing w:val="-2"/>
              </w:rPr>
              <w:t>资源化利用有效实施。</w:t>
            </w:r>
          </w:p>
        </w:tc>
        <w:tc>
          <w:tcPr>
            <w:tcW w:w="3910"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14"/>
              <w:spacing w:before="68" w:line="220" w:lineRule="auto"/>
              <w:rPr/>
            </w:pPr>
            <w:r>
              <w:rPr>
                <w:spacing w:val="-5"/>
              </w:rPr>
              <w:t>本项目废垫料及粪便暂存于储粪库内，定</w:t>
            </w:r>
          </w:p>
          <w:p>
            <w:pPr>
              <w:pStyle w:val="TableText"/>
              <w:ind w:left="115"/>
              <w:spacing w:before="23" w:line="220" w:lineRule="auto"/>
              <w:rPr/>
            </w:pPr>
            <w:r>
              <w:rPr>
                <w:spacing w:val="-6"/>
              </w:rPr>
              <w:t>期外售给相关单位生产有机肥，属于委托</w:t>
            </w:r>
          </w:p>
          <w:p>
            <w:pPr>
              <w:pStyle w:val="TableText"/>
              <w:ind w:left="696"/>
              <w:spacing w:before="20" w:line="221" w:lineRule="auto"/>
              <w:rPr/>
            </w:pPr>
            <w:r>
              <w:rPr>
                <w:spacing w:val="-1"/>
              </w:rPr>
              <w:t>第三方处理，不自行还田。</w:t>
            </w:r>
          </w:p>
        </w:tc>
        <w:tc>
          <w:tcPr>
            <w:tcW w:w="684" w:type="dxa"/>
            <w:vAlign w:val="top"/>
            <w:tcBorders>
              <w:right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36"/>
              <w:spacing w:before="68" w:line="221" w:lineRule="auto"/>
              <w:rPr/>
            </w:pPr>
            <w:r>
              <w:rPr>
                <w:spacing w:val="-2"/>
              </w:rPr>
              <w:t>符合</w:t>
            </w:r>
          </w:p>
        </w:tc>
      </w:tr>
    </w:tbl>
    <w:p>
      <w:pPr>
        <w:ind w:left="2495"/>
        <w:spacing w:before="30" w:line="214" w:lineRule="auto"/>
        <w:rPr>
          <w:rFonts w:ascii="SimSun" w:hAnsi="SimSun" w:eastAsia="SimSun" w:cs="SimSun"/>
          <w:sz w:val="21"/>
          <w:szCs w:val="21"/>
        </w:rPr>
      </w:pPr>
      <w:r>
        <w:rPr>
          <w:rFonts w:ascii="SimSun" w:hAnsi="SimSun" w:eastAsia="SimSun" w:cs="SimSun"/>
          <w:sz w:val="21"/>
          <w:szCs w:val="21"/>
          <w:b/>
          <w:bCs/>
          <w:spacing w:val="-2"/>
        </w:rPr>
        <w:t>三、强化粪污处理措施，做好污染防治</w:t>
      </w:r>
    </w:p>
    <w:tbl>
      <w:tblPr>
        <w:tblStyle w:val="TableNormal"/>
        <w:tblW w:w="8394" w:type="dxa"/>
        <w:tblInd w:w="7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00"/>
        <w:gridCol w:w="3910"/>
        <w:gridCol w:w="684"/>
      </w:tblGrid>
      <w:tr>
        <w:trPr>
          <w:trHeight w:val="2723" w:hRule="atLeast"/>
        </w:trPr>
        <w:tc>
          <w:tcPr>
            <w:tcW w:w="3800" w:type="dxa"/>
            <w:vAlign w:val="top"/>
            <w:tcBorders>
              <w:left w:val="nil"/>
            </w:tcBorders>
          </w:tcPr>
          <w:p>
            <w:pPr>
              <w:pStyle w:val="TableText"/>
              <w:ind w:left="134"/>
              <w:spacing w:before="34" w:line="221" w:lineRule="auto"/>
              <w:rPr/>
            </w:pPr>
            <w:r>
              <w:rPr>
                <w:spacing w:val="-1"/>
              </w:rPr>
              <w:t>项目环评应强化对粪污的治理措施，加</w:t>
            </w:r>
          </w:p>
          <w:p>
            <w:pPr>
              <w:pStyle w:val="TableText"/>
              <w:ind w:left="238"/>
              <w:spacing w:before="19" w:line="221" w:lineRule="auto"/>
              <w:rPr/>
            </w:pPr>
            <w:r>
              <w:rPr>
                <w:spacing w:val="-1"/>
              </w:rPr>
              <w:t>强畜禽养殖粪污资源化利用过程中的</w:t>
            </w:r>
          </w:p>
          <w:p>
            <w:pPr>
              <w:pStyle w:val="TableText"/>
              <w:ind w:left="132"/>
              <w:spacing w:before="22" w:line="221" w:lineRule="auto"/>
              <w:rPr/>
            </w:pPr>
            <w:r>
              <w:rPr>
                <w:spacing w:val="-1"/>
              </w:rPr>
              <w:t>污染控制，推进粪污资源的良性利用，</w:t>
            </w:r>
          </w:p>
          <w:p>
            <w:pPr>
              <w:pStyle w:val="TableText"/>
              <w:ind w:left="233"/>
              <w:spacing w:before="20" w:line="220" w:lineRule="auto"/>
              <w:rPr/>
            </w:pPr>
            <w:r>
              <w:rPr>
                <w:spacing w:val="-1"/>
              </w:rPr>
              <w:t>应对无法资源化利用的粪污采取治理</w:t>
            </w:r>
          </w:p>
          <w:p>
            <w:pPr>
              <w:pStyle w:val="TableText"/>
              <w:ind w:left="130"/>
              <w:spacing w:before="23" w:line="221" w:lineRule="auto"/>
              <w:rPr/>
            </w:pPr>
            <w:r>
              <w:rPr>
                <w:spacing w:val="-1"/>
              </w:rPr>
              <w:t>措施确保达标排放。畜禽规模养殖项目</w:t>
            </w:r>
          </w:p>
          <w:p>
            <w:pPr>
              <w:pStyle w:val="TableText"/>
              <w:ind w:left="233"/>
              <w:spacing w:before="19" w:line="221" w:lineRule="auto"/>
              <w:rPr/>
            </w:pPr>
            <w:r>
              <w:rPr>
                <w:spacing w:val="-1"/>
              </w:rPr>
              <w:t>应配套建设与养殖规模相匹配的雨污</w:t>
            </w:r>
          </w:p>
          <w:p>
            <w:pPr>
              <w:pStyle w:val="TableText"/>
              <w:ind w:left="133"/>
              <w:spacing w:before="22" w:line="221" w:lineRule="auto"/>
              <w:rPr/>
            </w:pPr>
            <w:r>
              <w:rPr>
                <w:spacing w:val="-1"/>
              </w:rPr>
              <w:t>分离设施，以及粪污贮存、处理和利用</w:t>
            </w:r>
          </w:p>
          <w:p>
            <w:pPr>
              <w:pStyle w:val="TableText"/>
              <w:ind w:left="134"/>
              <w:spacing w:before="20" w:line="221" w:lineRule="auto"/>
              <w:rPr/>
            </w:pPr>
            <w:r>
              <w:rPr>
                <w:spacing w:val="-1"/>
              </w:rPr>
              <w:t>设施等，委托满足相关环保要求的第三</w:t>
            </w:r>
          </w:p>
          <w:p>
            <w:pPr>
              <w:pStyle w:val="TableText"/>
              <w:ind w:left="131"/>
              <w:spacing w:before="22" w:line="221" w:lineRule="auto"/>
              <w:rPr/>
            </w:pPr>
            <w:r>
              <w:rPr>
                <w:spacing w:val="-1"/>
              </w:rPr>
              <w:t>方代为利用或者处理的，可不自行建设</w:t>
            </w:r>
          </w:p>
          <w:p>
            <w:pPr>
              <w:pStyle w:val="TableText"/>
              <w:ind w:left="969"/>
              <w:spacing w:before="21" w:line="200" w:lineRule="auto"/>
              <w:rPr/>
            </w:pPr>
            <w:r>
              <w:rPr>
                <w:spacing w:val="-1"/>
              </w:rPr>
              <w:t>粪污处理或利用设施</w:t>
            </w:r>
          </w:p>
        </w:tc>
        <w:tc>
          <w:tcPr>
            <w:tcW w:w="3910" w:type="dxa"/>
            <w:vAlign w:val="top"/>
          </w:tcPr>
          <w:p>
            <w:pPr>
              <w:spacing w:line="304" w:lineRule="auto"/>
              <w:rPr>
                <w:rFonts w:ascii="Arial"/>
                <w:sz w:val="21"/>
              </w:rPr>
            </w:pPr>
            <w:r/>
          </w:p>
          <w:p>
            <w:pPr>
              <w:spacing w:line="304" w:lineRule="auto"/>
              <w:rPr>
                <w:rFonts w:ascii="Arial"/>
                <w:sz w:val="21"/>
              </w:rPr>
            </w:pPr>
            <w:r/>
          </w:p>
          <w:p>
            <w:pPr>
              <w:spacing w:line="305" w:lineRule="auto"/>
              <w:rPr>
                <w:rFonts w:ascii="Arial"/>
                <w:sz w:val="21"/>
              </w:rPr>
            </w:pPr>
            <w:r/>
          </w:p>
          <w:p>
            <w:pPr>
              <w:pStyle w:val="TableText"/>
              <w:ind w:left="114"/>
              <w:spacing w:before="68" w:line="220" w:lineRule="auto"/>
              <w:rPr/>
            </w:pPr>
            <w:r>
              <w:rPr>
                <w:spacing w:val="-6"/>
              </w:rPr>
              <w:t>本项目牛舍铺设垫料，牛尿及牛粪进入垫</w:t>
            </w:r>
          </w:p>
          <w:p>
            <w:pPr>
              <w:pStyle w:val="TableText"/>
              <w:ind w:left="113"/>
              <w:spacing w:before="20" w:line="221" w:lineRule="auto"/>
              <w:rPr/>
            </w:pPr>
            <w:r>
              <w:rPr>
                <w:spacing w:val="-6"/>
              </w:rPr>
              <w:t>料，废垫料暂存于储粪库，最终外售给相</w:t>
            </w:r>
          </w:p>
          <w:p>
            <w:pPr>
              <w:pStyle w:val="TableText"/>
              <w:ind w:left="1017"/>
              <w:spacing w:before="22" w:line="220" w:lineRule="auto"/>
              <w:rPr/>
            </w:pPr>
            <w:r>
              <w:rPr>
                <w:spacing w:val="-3"/>
              </w:rPr>
              <w:t>关单位生产有机肥。</w:t>
            </w:r>
          </w:p>
        </w:tc>
        <w:tc>
          <w:tcPr>
            <w:tcW w:w="684" w:type="dxa"/>
            <w:vAlign w:val="top"/>
            <w:tcBorders>
              <w:right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37"/>
              <w:spacing w:before="69" w:line="221" w:lineRule="auto"/>
              <w:rPr/>
            </w:pPr>
            <w:r>
              <w:rPr>
                <w:spacing w:val="-2"/>
              </w:rPr>
              <w:t>符合</w:t>
            </w:r>
          </w:p>
        </w:tc>
      </w:tr>
      <w:tr>
        <w:trPr>
          <w:trHeight w:val="1633" w:hRule="atLeast"/>
        </w:trPr>
        <w:tc>
          <w:tcPr>
            <w:tcW w:w="3800" w:type="dxa"/>
            <w:vAlign w:val="top"/>
            <w:tcBorders>
              <w:left w:val="nil"/>
            </w:tcBorders>
          </w:tcPr>
          <w:p>
            <w:pPr>
              <w:spacing w:line="241" w:lineRule="auto"/>
              <w:rPr>
                <w:rFonts w:ascii="Arial"/>
                <w:sz w:val="21"/>
              </w:rPr>
            </w:pPr>
            <w:r/>
          </w:p>
          <w:p>
            <w:pPr>
              <w:pStyle w:val="TableText"/>
              <w:ind w:left="134"/>
              <w:spacing w:before="68" w:line="221" w:lineRule="auto"/>
              <w:rPr/>
            </w:pPr>
            <w:r>
              <w:rPr>
                <w:spacing w:val="-1"/>
              </w:rPr>
              <w:t>项目环评应明确畜禽粪污贮存、处理和</w:t>
            </w:r>
          </w:p>
          <w:p>
            <w:pPr>
              <w:pStyle w:val="TableText"/>
              <w:ind w:left="131"/>
              <w:spacing w:before="22" w:line="220" w:lineRule="auto"/>
              <w:rPr/>
            </w:pPr>
            <w:r>
              <w:rPr>
                <w:spacing w:val="-1"/>
              </w:rPr>
              <w:t>利用措施。贮存池应采取有效的防雨、</w:t>
            </w:r>
          </w:p>
          <w:p>
            <w:pPr>
              <w:pStyle w:val="TableText"/>
              <w:ind w:left="143"/>
              <w:spacing w:before="21" w:line="221" w:lineRule="auto"/>
              <w:rPr/>
            </w:pPr>
            <w:r>
              <w:rPr>
                <w:spacing w:val="-2"/>
              </w:rPr>
              <w:t>防渗和防溢流措施，防止畜禽粪污污染</w:t>
            </w:r>
          </w:p>
          <w:p>
            <w:pPr>
              <w:pStyle w:val="TableText"/>
              <w:ind w:left="1493"/>
              <w:spacing w:before="22" w:line="221" w:lineRule="auto"/>
              <w:rPr/>
            </w:pPr>
            <w:r>
              <w:rPr>
                <w:spacing w:val="-2"/>
              </w:rPr>
              <w:t>地下水。</w:t>
            </w:r>
          </w:p>
        </w:tc>
        <w:tc>
          <w:tcPr>
            <w:tcW w:w="3910" w:type="dxa"/>
            <w:vAlign w:val="top"/>
          </w:tcPr>
          <w:p>
            <w:pPr>
              <w:pStyle w:val="TableText"/>
              <w:ind w:left="113" w:right="45" w:firstLine="1"/>
              <w:spacing w:before="39" w:line="232" w:lineRule="auto"/>
              <w:jc w:val="both"/>
              <w:rPr/>
            </w:pPr>
            <w:r>
              <w:rPr>
                <w:spacing w:val="-6"/>
              </w:rPr>
              <w:t>本项目牛舍铺设垫料，牛尿及牛粪进入垫</w:t>
            </w:r>
            <w:r>
              <w:rPr>
                <w:spacing w:val="-6"/>
              </w:rPr>
              <w:t>料，废垫料暂存于储粪库，最终外售给相</w:t>
            </w:r>
            <w:r>
              <w:rPr>
                <w:spacing w:val="-2"/>
              </w:rPr>
              <w:t>关单位生产有机肥，储粪库为罩棚结构，</w:t>
            </w:r>
            <w:r>
              <w:rPr>
                <w:spacing w:val="-2"/>
              </w:rPr>
              <w:t>储粪库内进行防渗处理，可有效的防雨、</w:t>
            </w:r>
            <w:r>
              <w:rPr>
                <w:spacing w:val="-6"/>
              </w:rPr>
              <w:t>防渗和防溢流，病死牛委托相关单位进行</w:t>
            </w:r>
            <w:r>
              <w:rPr>
                <w:spacing w:val="-2"/>
              </w:rPr>
              <w:t>无害化处置，防止畜禽粪污污染地下水。</w:t>
            </w:r>
          </w:p>
        </w:tc>
        <w:tc>
          <w:tcPr>
            <w:tcW w:w="684" w:type="dxa"/>
            <w:vAlign w:val="top"/>
            <w:tcBorders>
              <w:right w:val="nil"/>
            </w:tcBorders>
          </w:tcPr>
          <w:p>
            <w:pPr>
              <w:spacing w:line="323" w:lineRule="auto"/>
              <w:rPr>
                <w:rFonts w:ascii="Arial"/>
                <w:sz w:val="21"/>
              </w:rPr>
            </w:pPr>
            <w:r/>
          </w:p>
          <w:p>
            <w:pPr>
              <w:spacing w:line="324" w:lineRule="auto"/>
              <w:rPr>
                <w:rFonts w:ascii="Arial"/>
                <w:sz w:val="21"/>
              </w:rPr>
            </w:pPr>
            <w:r/>
          </w:p>
          <w:p>
            <w:pPr>
              <w:pStyle w:val="TableText"/>
              <w:ind w:left="137"/>
              <w:spacing w:before="68" w:line="221" w:lineRule="auto"/>
              <w:rPr/>
            </w:pPr>
            <w:r>
              <w:rPr>
                <w:spacing w:val="-2"/>
              </w:rPr>
              <w:t>符合</w:t>
            </w:r>
          </w:p>
        </w:tc>
      </w:tr>
      <w:tr>
        <w:trPr>
          <w:trHeight w:val="1928" w:hRule="atLeast"/>
        </w:trPr>
        <w:tc>
          <w:tcPr>
            <w:tcW w:w="3800" w:type="dxa"/>
            <w:vAlign w:val="top"/>
            <w:tcBorders>
              <w:left w:val="nil"/>
              <w:bottom w:val="single" w:color="000000" w:sz="10" w:space="0"/>
            </w:tcBorders>
          </w:tcPr>
          <w:p>
            <w:pPr>
              <w:pStyle w:val="TableText"/>
              <w:ind w:left="132"/>
              <w:spacing w:before="46" w:line="220" w:lineRule="auto"/>
              <w:rPr/>
            </w:pPr>
            <w:r>
              <w:rPr>
                <w:spacing w:val="-1"/>
              </w:rPr>
              <w:t>依据相关法律法规和技术规范，制定明</w:t>
            </w:r>
          </w:p>
          <w:p>
            <w:pPr>
              <w:pStyle w:val="TableText"/>
              <w:ind w:left="130"/>
              <w:spacing w:before="20" w:line="221" w:lineRule="auto"/>
              <w:rPr/>
            </w:pPr>
            <w:r>
              <w:rPr>
                <w:spacing w:val="-1"/>
              </w:rPr>
              <w:t>确的病死畜禽处理、处置方案，及时处</w:t>
            </w:r>
          </w:p>
          <w:p>
            <w:pPr>
              <w:pStyle w:val="TableText"/>
              <w:ind w:left="133"/>
              <w:spacing w:before="22" w:line="221" w:lineRule="auto"/>
              <w:rPr/>
            </w:pPr>
            <w:r>
              <w:rPr>
                <w:spacing w:val="-1"/>
              </w:rPr>
              <w:t>理病死畜禽。针对畜禽规模养殖项目的</w:t>
            </w:r>
          </w:p>
          <w:p>
            <w:pPr>
              <w:pStyle w:val="TableText"/>
              <w:ind w:left="131"/>
              <w:spacing w:before="20" w:line="220" w:lineRule="auto"/>
              <w:rPr/>
            </w:pPr>
            <w:r>
              <w:rPr>
                <w:spacing w:val="-1"/>
              </w:rPr>
              <w:t>恶臭影响，可采取控制饲养密度、改善</w:t>
            </w:r>
          </w:p>
          <w:p>
            <w:pPr>
              <w:pStyle w:val="TableText"/>
              <w:ind w:left="131"/>
              <w:spacing w:before="23" w:line="220" w:lineRule="auto"/>
              <w:rPr/>
            </w:pPr>
            <w:r>
              <w:rPr>
                <w:spacing w:val="-1"/>
              </w:rPr>
              <w:t>舍内通风、及时清粪、采用除臭剂、集</w:t>
            </w:r>
          </w:p>
          <w:p>
            <w:pPr>
              <w:pStyle w:val="TableText"/>
              <w:ind w:left="150"/>
              <w:spacing w:before="20" w:line="221" w:lineRule="auto"/>
              <w:rPr/>
            </w:pPr>
            <w:r>
              <w:rPr>
                <w:spacing w:val="-2"/>
              </w:rPr>
              <w:t>中收集处理等措施，确保项目恶臭污染</w:t>
            </w:r>
          </w:p>
          <w:p>
            <w:pPr>
              <w:pStyle w:val="TableText"/>
              <w:ind w:left="1284"/>
              <w:spacing w:before="23" w:line="208" w:lineRule="auto"/>
              <w:rPr/>
            </w:pPr>
            <w:r>
              <w:rPr>
                <w:spacing w:val="-1"/>
              </w:rPr>
              <w:t>物达标排放。</w:t>
            </w:r>
          </w:p>
        </w:tc>
        <w:tc>
          <w:tcPr>
            <w:tcW w:w="3910" w:type="dxa"/>
            <w:vAlign w:val="top"/>
            <w:tcBorders>
              <w:bottom w:val="single" w:color="000000" w:sz="10" w:space="0"/>
            </w:tcBorders>
          </w:tcPr>
          <w:p>
            <w:pPr>
              <w:spacing w:line="248" w:lineRule="auto"/>
              <w:rPr>
                <w:rFonts w:ascii="Arial"/>
                <w:sz w:val="21"/>
              </w:rPr>
            </w:pPr>
            <w:r/>
          </w:p>
          <w:p>
            <w:pPr>
              <w:pStyle w:val="TableText"/>
              <w:ind w:left="174"/>
              <w:spacing w:before="68" w:line="220" w:lineRule="auto"/>
              <w:rPr/>
            </w:pPr>
            <w:r>
              <w:rPr>
                <w:spacing w:val="-1"/>
              </w:rPr>
              <w:t>本项目病死牛委托相关单位进行无害化</w:t>
            </w:r>
          </w:p>
          <w:p>
            <w:pPr>
              <w:pStyle w:val="TableText"/>
              <w:ind w:left="118"/>
              <w:spacing w:before="23" w:line="220" w:lineRule="auto"/>
              <w:rPr/>
            </w:pPr>
            <w:r>
              <w:rPr>
                <w:spacing w:val="-6"/>
              </w:rPr>
              <w:t>处置，本项目产臭场所主要为牛舍、储粪</w:t>
            </w:r>
          </w:p>
          <w:p>
            <w:pPr>
              <w:pStyle w:val="TableText"/>
              <w:ind w:left="114"/>
              <w:spacing w:before="20" w:line="220" w:lineRule="auto"/>
              <w:rPr/>
            </w:pPr>
            <w:r>
              <w:rPr>
                <w:spacing w:val="-2"/>
              </w:rPr>
              <w:t>库，牛舍设置风机通风，及时进行清粪，</w:t>
            </w:r>
          </w:p>
          <w:p>
            <w:pPr>
              <w:pStyle w:val="TableText"/>
              <w:ind w:left="113"/>
              <w:spacing w:before="23" w:line="220" w:lineRule="auto"/>
              <w:rPr/>
            </w:pPr>
            <w:r>
              <w:rPr>
                <w:spacing w:val="-6"/>
              </w:rPr>
              <w:t>对产臭场所定期喷洒除臭剂，可确保项目</w:t>
            </w:r>
          </w:p>
          <w:p>
            <w:pPr>
              <w:pStyle w:val="TableText"/>
              <w:ind w:left="909"/>
              <w:spacing w:before="20" w:line="221" w:lineRule="auto"/>
              <w:rPr/>
            </w:pPr>
            <w:r>
              <w:rPr>
                <w:spacing w:val="-1"/>
              </w:rPr>
              <w:t>恶臭污染物达标排放。</w:t>
            </w:r>
          </w:p>
        </w:tc>
        <w:tc>
          <w:tcPr>
            <w:tcW w:w="684" w:type="dxa"/>
            <w:vAlign w:val="top"/>
            <w:tcBorders>
              <w:right w:val="nil"/>
              <w:bottom w:val="single" w:color="000000" w:sz="10"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37"/>
              <w:spacing w:before="68" w:line="221" w:lineRule="auto"/>
              <w:rPr/>
            </w:pPr>
            <w:r>
              <w:rPr>
                <w:spacing w:val="-2"/>
              </w:rPr>
              <w:t>符合</w:t>
            </w:r>
          </w:p>
        </w:tc>
      </w:tr>
    </w:tbl>
    <w:p>
      <w:pPr>
        <w:pStyle w:val="BodyText"/>
        <w:rPr/>
      </w:pPr>
      <w:r>
        <w:pict>
          <v:shape id="_x0000_s26" style="position:absolute;margin-left:1.68601pt;margin-top:15.434pt;mso-position-vertical-relative:text;mso-position-horizontal-relative:text;width:425.7pt;height:0.6pt;z-index:251664384;" filled="false" strokecolor="#808080" strokeweight="0.50pt" coordsize="8514,12" coordorigin="0,0" path="m5,5l8508,6e">
            <v:stroke endcap="round" miterlimit="10"/>
          </v:shape>
        </w:pict>
      </w:r>
      <w:r/>
    </w:p>
    <w:p>
      <w:pPr>
        <w:sectPr>
          <w:headerReference w:type="default" r:id="rId15"/>
          <w:footerReference w:type="default" r:id="rId16"/>
          <w:pgSz w:w="11907" w:h="16839"/>
          <w:pgMar w:top="1422" w:right="1670" w:bottom="1618" w:left="1673" w:header="1033" w:footer="1417" w:gutter="0"/>
        </w:sectPr>
        <w:rPr/>
      </w:pPr>
    </w:p>
    <w:p>
      <w:pPr>
        <w:ind w:left="151" w:right="117" w:firstLine="463"/>
        <w:spacing w:before="313" w:line="361" w:lineRule="auto"/>
        <w:rPr>
          <w:rFonts w:ascii="SimSun" w:hAnsi="SimSun" w:eastAsia="SimSun" w:cs="SimSun"/>
          <w:sz w:val="24"/>
          <w:szCs w:val="24"/>
        </w:rPr>
      </w:pPr>
      <w:r>
        <w:rPr>
          <w:rFonts w:ascii="SimSun" w:hAnsi="SimSun" w:eastAsia="SimSun" w:cs="SimSun"/>
          <w:sz w:val="24"/>
          <w:szCs w:val="24"/>
          <w:spacing w:val="2"/>
        </w:rPr>
        <w:t>综上所述，本项目与“《关于做好畜禽规模养殖项目环境影响评价管理工作</w:t>
      </w:r>
      <w:r>
        <w:rPr>
          <w:rFonts w:ascii="SimSun" w:hAnsi="SimSun" w:eastAsia="SimSun" w:cs="SimSun"/>
          <w:sz w:val="24"/>
          <w:szCs w:val="24"/>
          <w:spacing w:val="-3"/>
        </w:rPr>
        <w:t>的通知》（环办环评</w:t>
      </w:r>
      <w:r>
        <w:rPr>
          <w:rFonts w:ascii="Times New Roman" w:hAnsi="Times New Roman" w:eastAsia="Times New Roman" w:cs="Times New Roman"/>
          <w:sz w:val="24"/>
          <w:szCs w:val="24"/>
          <w:spacing w:val="-3"/>
        </w:rPr>
        <w:t>[2018]31</w:t>
      </w:r>
      <w:r>
        <w:rPr>
          <w:rFonts w:ascii="Times New Roman" w:hAnsi="Times New Roman" w:eastAsia="Times New Roman" w:cs="Times New Roman"/>
          <w:sz w:val="24"/>
          <w:szCs w:val="24"/>
          <w:spacing w:val="30"/>
          <w:w w:val="101"/>
        </w:rPr>
        <w:t xml:space="preserve"> </w:t>
      </w:r>
      <w:r>
        <w:rPr>
          <w:rFonts w:ascii="SimSun" w:hAnsi="SimSun" w:eastAsia="SimSun" w:cs="SimSun"/>
          <w:sz w:val="24"/>
          <w:szCs w:val="24"/>
          <w:spacing w:val="-3"/>
        </w:rPr>
        <w:t>号）”的要求相符。</w:t>
      </w:r>
    </w:p>
    <w:p>
      <w:pPr>
        <w:ind w:left="138"/>
        <w:spacing w:before="256"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1.4.5 </w:t>
      </w:r>
      <w:r>
        <w:rPr>
          <w:rFonts w:ascii="SimSun" w:hAnsi="SimSun" w:eastAsia="SimSun" w:cs="SimSun"/>
          <w:sz w:val="24"/>
          <w:szCs w:val="24"/>
          <w:b/>
          <w:bCs/>
          <w:spacing w:val="-2"/>
        </w:rPr>
        <w:t>项目与养殖相关规划、法律、规范等符合性分析</w:t>
      </w:r>
    </w:p>
    <w:p>
      <w:pPr>
        <w:pStyle w:val="BodyText"/>
        <w:spacing w:line="341" w:lineRule="auto"/>
        <w:rPr/>
      </w:pPr>
      <w:r/>
    </w:p>
    <w:p>
      <w:pPr>
        <w:ind w:left="134" w:right="115" w:firstLine="483"/>
        <w:spacing w:before="78" w:line="359" w:lineRule="auto"/>
        <w:rPr>
          <w:rFonts w:ascii="SimSun" w:hAnsi="SimSun" w:eastAsia="SimSun" w:cs="SimSun"/>
          <w:sz w:val="24"/>
          <w:szCs w:val="24"/>
        </w:rPr>
      </w:pPr>
      <w:r>
        <w:rPr>
          <w:rFonts w:ascii="SimSun" w:hAnsi="SimSun" w:eastAsia="SimSun" w:cs="SimSun"/>
          <w:sz w:val="24"/>
          <w:szCs w:val="24"/>
          <w:spacing w:val="-1"/>
        </w:rPr>
        <w:t>（1）《锡林郭勒盟现代设施畜牧业建设专项实施方案(2024—2025)》符合性</w:t>
      </w:r>
      <w:r>
        <w:rPr>
          <w:rFonts w:ascii="SimSun" w:hAnsi="SimSun" w:eastAsia="SimSun" w:cs="SimSun"/>
          <w:sz w:val="24"/>
          <w:szCs w:val="24"/>
          <w:spacing w:val="-4"/>
        </w:rPr>
        <w:t>分析</w:t>
      </w:r>
    </w:p>
    <w:p>
      <w:pPr>
        <w:ind w:left="133" w:right="127" w:firstLine="478"/>
        <w:spacing w:line="359" w:lineRule="auto"/>
        <w:rPr>
          <w:rFonts w:ascii="SimSun" w:hAnsi="SimSun" w:eastAsia="SimSun" w:cs="SimSun"/>
          <w:sz w:val="24"/>
          <w:szCs w:val="24"/>
        </w:rPr>
      </w:pPr>
      <w:r>
        <w:rPr>
          <w:rFonts w:ascii="SimSun" w:hAnsi="SimSun" w:eastAsia="SimSun" w:cs="SimSun"/>
          <w:sz w:val="24"/>
          <w:szCs w:val="24"/>
          <w:spacing w:val="2"/>
        </w:rPr>
        <w:t>本项目与《锡林郭勒盟现代设施畜牧业建设专项实施方案(2024—2025)</w:t>
      </w:r>
      <w:r>
        <w:rPr>
          <w:rFonts w:ascii="SimSun" w:hAnsi="SimSun" w:eastAsia="SimSun" w:cs="SimSun"/>
          <w:sz w:val="24"/>
          <w:szCs w:val="24"/>
          <w:spacing w:val="1"/>
        </w:rPr>
        <w:t>》的</w:t>
      </w:r>
      <w:r>
        <w:rPr>
          <w:rFonts w:ascii="SimSun" w:hAnsi="SimSun" w:eastAsia="SimSun" w:cs="SimSun"/>
          <w:sz w:val="24"/>
          <w:szCs w:val="24"/>
          <w:spacing w:val="-4"/>
        </w:rPr>
        <w:t>符合性分析详见表</w:t>
      </w:r>
      <w:r>
        <w:rPr>
          <w:rFonts w:ascii="SimSun" w:hAnsi="SimSun" w:eastAsia="SimSun" w:cs="SimSun"/>
          <w:sz w:val="24"/>
          <w:szCs w:val="24"/>
          <w:spacing w:val="-24"/>
        </w:rPr>
        <w:t xml:space="preserve"> </w:t>
      </w:r>
      <w:r>
        <w:rPr>
          <w:rFonts w:ascii="SimSun" w:hAnsi="SimSun" w:eastAsia="SimSun" w:cs="SimSun"/>
          <w:sz w:val="24"/>
          <w:szCs w:val="24"/>
          <w:spacing w:val="-4"/>
        </w:rPr>
        <w:t>1-4。</w:t>
      </w:r>
    </w:p>
    <w:p>
      <w:pPr>
        <w:ind w:left="817"/>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1"/>
        </w:rPr>
        <w:t xml:space="preserve"> </w:t>
      </w:r>
      <w:r>
        <w:rPr>
          <w:rFonts w:ascii="Times New Roman" w:hAnsi="Times New Roman" w:eastAsia="Times New Roman" w:cs="Times New Roman"/>
          <w:sz w:val="24"/>
          <w:szCs w:val="24"/>
          <w:b/>
          <w:bCs/>
          <w:spacing w:val="-2"/>
        </w:rPr>
        <w:t>1-4</w:t>
      </w:r>
      <w:r>
        <w:rPr>
          <w:rFonts w:ascii="SimSun" w:hAnsi="SimSun" w:eastAsia="SimSun" w:cs="SimSun"/>
          <w:sz w:val="24"/>
          <w:szCs w:val="24"/>
          <w:b/>
          <w:bCs/>
          <w:spacing w:val="-2"/>
        </w:rPr>
        <w:t>《锡林郭勒盟现代设施畜牧业建设专项实施</w:t>
      </w:r>
      <w:r>
        <w:rPr>
          <w:rFonts w:ascii="SimSun" w:hAnsi="SimSun" w:eastAsia="SimSun" w:cs="SimSun"/>
          <w:sz w:val="24"/>
          <w:szCs w:val="24"/>
          <w:b/>
          <w:bCs/>
          <w:spacing w:val="-3"/>
        </w:rPr>
        <w:t>方案》符合性分析</w:t>
      </w:r>
    </w:p>
    <w:p>
      <w:pPr>
        <w:spacing w:line="132"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3"/>
        <w:gridCol w:w="4551"/>
        <w:gridCol w:w="2185"/>
        <w:gridCol w:w="876"/>
      </w:tblGrid>
      <w:tr>
        <w:trPr>
          <w:trHeight w:val="552" w:hRule="atLeast"/>
        </w:trPr>
        <w:tc>
          <w:tcPr>
            <w:tcW w:w="1123" w:type="dxa"/>
            <w:vAlign w:val="top"/>
            <w:tcBorders>
              <w:left w:val="nil"/>
              <w:top w:val="single" w:color="000000" w:sz="10" w:space="0"/>
            </w:tcBorders>
          </w:tcPr>
          <w:p>
            <w:pPr>
              <w:pStyle w:val="TableText"/>
              <w:ind w:left="364"/>
              <w:spacing w:before="170" w:line="222" w:lineRule="auto"/>
              <w:rPr/>
            </w:pPr>
            <w:r>
              <w:rPr>
                <w:b/>
                <w:bCs/>
                <w:spacing w:val="-4"/>
              </w:rPr>
              <w:t>序号</w:t>
            </w:r>
          </w:p>
        </w:tc>
        <w:tc>
          <w:tcPr>
            <w:tcW w:w="4551" w:type="dxa"/>
            <w:vAlign w:val="top"/>
            <w:tcBorders>
              <w:top w:val="single" w:color="000000" w:sz="10" w:space="0"/>
            </w:tcBorders>
          </w:tcPr>
          <w:p>
            <w:pPr>
              <w:pStyle w:val="TableText"/>
              <w:ind w:left="1860"/>
              <w:spacing w:before="169" w:line="221" w:lineRule="auto"/>
              <w:rPr/>
            </w:pPr>
            <w:r>
              <w:rPr>
                <w:b/>
                <w:bCs/>
                <w:spacing w:val="-4"/>
              </w:rPr>
              <w:t>文件要求</w:t>
            </w:r>
          </w:p>
        </w:tc>
        <w:tc>
          <w:tcPr>
            <w:tcW w:w="2185" w:type="dxa"/>
            <w:vAlign w:val="top"/>
            <w:tcBorders>
              <w:top w:val="single" w:color="000000" w:sz="10" w:space="0"/>
            </w:tcBorders>
          </w:tcPr>
          <w:p>
            <w:pPr>
              <w:pStyle w:val="TableText"/>
              <w:ind w:left="569"/>
              <w:spacing w:before="170" w:line="220" w:lineRule="auto"/>
              <w:rPr/>
            </w:pPr>
            <w:r>
              <w:rPr>
                <w:b/>
                <w:bCs/>
                <w:spacing w:val="-3"/>
              </w:rPr>
              <w:t>本项目情况</w:t>
            </w:r>
          </w:p>
        </w:tc>
        <w:tc>
          <w:tcPr>
            <w:tcW w:w="876" w:type="dxa"/>
            <w:vAlign w:val="top"/>
            <w:tcBorders>
              <w:right w:val="nil"/>
              <w:top w:val="single" w:color="000000" w:sz="10" w:space="0"/>
            </w:tcBorders>
          </w:tcPr>
          <w:p>
            <w:pPr>
              <w:pStyle w:val="TableText"/>
              <w:ind w:left="233" w:right="122" w:hanging="106"/>
              <w:spacing w:before="34" w:line="223" w:lineRule="auto"/>
              <w:rPr/>
            </w:pPr>
            <w:r>
              <w:rPr>
                <w:b/>
                <w:bCs/>
                <w:spacing w:val="-5"/>
              </w:rPr>
              <w:t>符合性</w:t>
            </w:r>
            <w:r>
              <w:rPr>
                <w:b/>
                <w:bCs/>
                <w:spacing w:val="-5"/>
              </w:rPr>
              <w:t>分析</w:t>
            </w:r>
          </w:p>
        </w:tc>
      </w:tr>
      <w:tr>
        <w:trPr>
          <w:trHeight w:val="2178" w:hRule="atLeast"/>
        </w:trPr>
        <w:tc>
          <w:tcPr>
            <w:tcW w:w="1123" w:type="dxa"/>
            <w:vAlign w:val="top"/>
            <w:tcBorders>
              <w:left w:val="nil"/>
            </w:tcBorders>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ind w:left="540"/>
              <w:spacing w:before="6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551" w:type="dxa"/>
            <w:vAlign w:val="top"/>
          </w:tcPr>
          <w:p>
            <w:pPr>
              <w:pStyle w:val="TableText"/>
              <w:ind w:left="134"/>
              <w:spacing w:before="304" w:line="221" w:lineRule="auto"/>
              <w:rPr/>
            </w:pPr>
            <w:r>
              <w:rPr>
                <w:spacing w:val="-5"/>
              </w:rPr>
              <w:t>肉牛产业重点在南部区域、沙区和主要水系流域</w:t>
            </w:r>
          </w:p>
          <w:p>
            <w:pPr>
              <w:pStyle w:val="TableText"/>
              <w:ind w:left="116"/>
              <w:spacing w:before="19" w:line="221" w:lineRule="auto"/>
              <w:rPr/>
            </w:pPr>
            <w:r>
              <w:rPr>
                <w:spacing w:val="-4"/>
              </w:rPr>
              <w:t>建设以西门塔尔牛为主、安格斯牛和夏洛莱牛为</w:t>
            </w:r>
          </w:p>
          <w:p>
            <w:pPr>
              <w:pStyle w:val="TableText"/>
              <w:ind w:left="115"/>
              <w:spacing w:before="22" w:line="221" w:lineRule="auto"/>
              <w:rPr/>
            </w:pPr>
            <w:r>
              <w:rPr>
                <w:spacing w:val="-4"/>
              </w:rPr>
              <w:t>辅的优质良种肉牛产业带，着力推动实现规模养</w:t>
            </w:r>
          </w:p>
          <w:p>
            <w:pPr>
              <w:pStyle w:val="TableText"/>
              <w:ind w:left="114"/>
              <w:spacing w:before="20" w:line="220" w:lineRule="auto"/>
              <w:rPr/>
            </w:pPr>
            <w:r>
              <w:rPr>
                <w:spacing w:val="-4"/>
              </w:rPr>
              <w:t>殖、精深加工、市场拓展、产业链延伸目标，持</w:t>
            </w:r>
          </w:p>
          <w:p>
            <w:pPr>
              <w:pStyle w:val="TableText"/>
              <w:ind w:left="116"/>
              <w:spacing w:before="23" w:line="221" w:lineRule="auto"/>
              <w:rPr/>
            </w:pPr>
            <w:r>
              <w:rPr>
                <w:spacing w:val="-4"/>
              </w:rPr>
              <w:t>续扩大华西牛育种群规模，加快建设华西牛种源</w:t>
            </w:r>
          </w:p>
          <w:p>
            <w:pPr>
              <w:pStyle w:val="TableText"/>
              <w:ind w:left="1964"/>
              <w:spacing w:before="20" w:line="227" w:lineRule="auto"/>
              <w:rPr/>
            </w:pPr>
            <w:r>
              <w:rPr>
                <w:spacing w:val="-8"/>
              </w:rPr>
              <w:t>基地。</w:t>
            </w:r>
          </w:p>
        </w:tc>
        <w:tc>
          <w:tcPr>
            <w:tcW w:w="2185" w:type="dxa"/>
            <w:vAlign w:val="top"/>
          </w:tcPr>
          <w:p>
            <w:pPr>
              <w:pStyle w:val="TableText"/>
              <w:ind w:left="111" w:right="126" w:firstLine="39"/>
              <w:spacing w:before="29" w:line="235" w:lineRule="auto"/>
              <w:jc w:val="both"/>
              <w:rPr/>
            </w:pPr>
            <w:r>
              <w:rPr>
                <w:spacing w:val="-1"/>
              </w:rPr>
              <w:t>本项目位于锡林郭勒</w:t>
            </w:r>
            <w:r>
              <w:rPr>
                <w:spacing w:val="3"/>
              </w:rPr>
              <w:t>盟锡林浩特市额尔顿</w:t>
            </w:r>
            <w:r>
              <w:rPr>
                <w:spacing w:val="3"/>
              </w:rPr>
              <w:t>街道办事处新兴社区</w:t>
            </w:r>
            <w:r>
              <w:rPr>
                <w:spacing w:val="3"/>
              </w:rPr>
              <w:t>沃源奶牛场，位于内</w:t>
            </w:r>
            <w:r>
              <w:rPr>
                <w:spacing w:val="3"/>
              </w:rPr>
              <w:t>蒙古南部区域，年出</w:t>
            </w:r>
            <w:r>
              <w:rPr>
                <w:spacing w:val="-9"/>
              </w:rPr>
              <w:t>栏</w:t>
            </w:r>
            <w:r>
              <w:rPr>
                <w:spacing w:val="-20"/>
              </w:rPr>
              <w:t xml:space="preserve"> </w:t>
            </w:r>
            <w:r>
              <w:rPr>
                <w:rFonts w:ascii="Times New Roman" w:hAnsi="Times New Roman" w:eastAsia="Times New Roman" w:cs="Times New Roman"/>
                <w:spacing w:val="-9"/>
              </w:rPr>
              <w:t>1200</w:t>
            </w:r>
            <w:r>
              <w:rPr>
                <w:rFonts w:ascii="Times New Roman" w:hAnsi="Times New Roman" w:eastAsia="Times New Roman" w:cs="Times New Roman"/>
                <w:spacing w:val="12"/>
              </w:rPr>
              <w:t xml:space="preserve"> </w:t>
            </w:r>
            <w:r>
              <w:rPr>
                <w:spacing w:val="-9"/>
              </w:rPr>
              <w:t>头肉牛项目，</w:t>
            </w:r>
            <w:r>
              <w:rPr>
                <w:spacing w:val="2"/>
              </w:rPr>
              <w:t>属于规模化养殖，可</w:t>
            </w:r>
            <w:r>
              <w:rPr>
                <w:spacing w:val="2"/>
              </w:rPr>
              <w:t>带动肉业产业发展。</w:t>
            </w:r>
          </w:p>
        </w:tc>
        <w:tc>
          <w:tcPr>
            <w:tcW w:w="876" w:type="dxa"/>
            <w:vAlign w:val="top"/>
            <w:tcBorders>
              <w:right w:val="nil"/>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235"/>
              <w:spacing w:before="68" w:line="221" w:lineRule="auto"/>
              <w:rPr/>
            </w:pPr>
            <w:r>
              <w:rPr>
                <w:spacing w:val="-2"/>
              </w:rPr>
              <w:t>符合</w:t>
            </w:r>
          </w:p>
        </w:tc>
      </w:tr>
      <w:tr>
        <w:trPr>
          <w:trHeight w:val="3264" w:hRule="atLeast"/>
        </w:trPr>
        <w:tc>
          <w:tcPr>
            <w:tcW w:w="1123" w:type="dxa"/>
            <w:vAlign w:val="top"/>
            <w:tcBorders>
              <w:left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520"/>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551" w:type="dxa"/>
            <w:vAlign w:val="top"/>
          </w:tcPr>
          <w:p>
            <w:pPr>
              <w:pStyle w:val="TableText"/>
              <w:ind w:left="179"/>
              <w:spacing w:before="36" w:line="221" w:lineRule="auto"/>
              <w:rPr/>
            </w:pPr>
            <w:r>
              <w:rPr>
                <w:spacing w:val="-1"/>
              </w:rPr>
              <w:t>夯实我盟国家主要优质畜产品生产基地基础地</w:t>
            </w:r>
          </w:p>
          <w:p>
            <w:pPr>
              <w:pStyle w:val="TableText"/>
              <w:ind w:left="178"/>
              <w:spacing w:before="22" w:line="221" w:lineRule="auto"/>
              <w:rPr/>
            </w:pPr>
            <w:r>
              <w:rPr>
                <w:spacing w:val="-1"/>
              </w:rPr>
              <w:t>位，创建一批肉牛肉羊养殖提质增效标杆养殖</w:t>
            </w:r>
          </w:p>
          <w:p>
            <w:pPr>
              <w:pStyle w:val="TableText"/>
              <w:ind w:left="113"/>
              <w:spacing w:before="20" w:line="220" w:lineRule="auto"/>
              <w:rPr/>
            </w:pPr>
            <w:r>
              <w:rPr>
                <w:spacing w:val="-4"/>
              </w:rPr>
              <w:t>场，带动社会资本参与肉牛肉羊产业发展，提高</w:t>
            </w:r>
          </w:p>
          <w:p>
            <w:pPr>
              <w:pStyle w:val="TableText"/>
              <w:ind w:left="114"/>
              <w:spacing w:before="23" w:line="221" w:lineRule="auto"/>
              <w:rPr/>
            </w:pPr>
            <w:r>
              <w:rPr>
                <w:spacing w:val="-4"/>
              </w:rPr>
              <w:t>养殖效率，推动提升产业规模化、标准化水平和</w:t>
            </w:r>
          </w:p>
          <w:p>
            <w:pPr>
              <w:pStyle w:val="TableText"/>
              <w:ind w:left="113"/>
              <w:spacing w:before="20" w:line="220" w:lineRule="auto"/>
              <w:rPr/>
            </w:pPr>
            <w:r>
              <w:rPr>
                <w:spacing w:val="-4"/>
              </w:rPr>
              <w:t>产品竞争力，强化肉牛肉羊增产保供。重点支持</w:t>
            </w:r>
          </w:p>
          <w:p>
            <w:pPr>
              <w:pStyle w:val="TableText"/>
              <w:ind w:left="134"/>
              <w:spacing w:before="24" w:line="234" w:lineRule="auto"/>
              <w:rPr/>
            </w:pPr>
            <w:r>
              <w:rPr>
                <w:spacing w:val="-7"/>
              </w:rPr>
              <w:t>肉牛</w:t>
            </w:r>
            <w:r>
              <w:rPr>
                <w:spacing w:val="-43"/>
              </w:rPr>
              <w:t xml:space="preserve"> </w:t>
            </w:r>
            <w:r>
              <w:rPr>
                <w:rFonts w:ascii="Times New Roman" w:hAnsi="Times New Roman" w:eastAsia="Times New Roman" w:cs="Times New Roman"/>
                <w:spacing w:val="-7"/>
              </w:rPr>
              <w:t>300</w:t>
            </w:r>
            <w:r>
              <w:rPr>
                <w:rFonts w:ascii="Times New Roman" w:hAnsi="Times New Roman" w:eastAsia="Times New Roman" w:cs="Times New Roman"/>
                <w:spacing w:val="12"/>
              </w:rPr>
              <w:t xml:space="preserve"> </w:t>
            </w:r>
            <w:r>
              <w:rPr>
                <w:spacing w:val="-7"/>
              </w:rPr>
              <w:t>头以上、肉羊</w:t>
            </w:r>
            <w:r>
              <w:rPr>
                <w:spacing w:val="-28"/>
              </w:rPr>
              <w:t xml:space="preserve"> </w:t>
            </w:r>
            <w:r>
              <w:rPr>
                <w:rFonts w:ascii="Times New Roman" w:hAnsi="Times New Roman" w:eastAsia="Times New Roman" w:cs="Times New Roman"/>
                <w:spacing w:val="-7"/>
              </w:rPr>
              <w:t>10000</w:t>
            </w:r>
            <w:r>
              <w:rPr>
                <w:rFonts w:ascii="Times New Roman" w:hAnsi="Times New Roman" w:eastAsia="Times New Roman" w:cs="Times New Roman"/>
                <w:spacing w:val="21"/>
                <w:w w:val="101"/>
              </w:rPr>
              <w:t xml:space="preserve"> </w:t>
            </w:r>
            <w:r>
              <w:rPr>
                <w:spacing w:val="-7"/>
              </w:rPr>
              <w:t>只以上高效</w:t>
            </w:r>
            <w:r>
              <w:rPr>
                <w:spacing w:val="-8"/>
              </w:rPr>
              <w:t>集约养</w:t>
            </w:r>
          </w:p>
          <w:p>
            <w:pPr>
              <w:pStyle w:val="TableText"/>
              <w:ind w:left="114"/>
              <w:spacing w:before="4" w:line="220" w:lineRule="auto"/>
              <w:rPr/>
            </w:pPr>
            <w:r>
              <w:rPr>
                <w:spacing w:val="-4"/>
              </w:rPr>
              <w:t>殖场建设提升养殖圈舍、饲草料收贮加工、精准</w:t>
            </w:r>
          </w:p>
          <w:p>
            <w:pPr>
              <w:pStyle w:val="TableText"/>
              <w:ind w:left="113"/>
              <w:spacing w:before="23" w:line="221" w:lineRule="auto"/>
              <w:rPr/>
            </w:pPr>
            <w:r>
              <w:rPr>
                <w:spacing w:val="-1"/>
              </w:rPr>
              <w:t>饲喂、环境控制和粪污处理等环节设施化水平，</w:t>
            </w:r>
          </w:p>
          <w:p>
            <w:pPr>
              <w:pStyle w:val="TableText"/>
              <w:ind w:left="113"/>
              <w:spacing w:before="19" w:line="221" w:lineRule="auto"/>
              <w:rPr/>
            </w:pPr>
            <w:r>
              <w:rPr>
                <w:spacing w:val="-4"/>
              </w:rPr>
              <w:t>探索推广集约养殖集成技术模式，推广与养殖模</w:t>
            </w:r>
          </w:p>
          <w:p>
            <w:pPr>
              <w:pStyle w:val="TableText"/>
              <w:ind w:left="130"/>
              <w:spacing w:before="23" w:line="234" w:lineRule="auto"/>
              <w:rPr/>
            </w:pPr>
            <w:r>
              <w:rPr>
                <w:spacing w:val="-2"/>
              </w:rPr>
              <w:t>式相配套的成套技术装备。到</w:t>
            </w:r>
            <w:r>
              <w:rPr>
                <w:spacing w:val="-15"/>
              </w:rPr>
              <w:t xml:space="preserve"> </w:t>
            </w:r>
            <w:r>
              <w:rPr>
                <w:rFonts w:ascii="Times New Roman" w:hAnsi="Times New Roman" w:eastAsia="Times New Roman" w:cs="Times New Roman"/>
                <w:spacing w:val="-2"/>
              </w:rPr>
              <w:t>2025 </w:t>
            </w:r>
            <w:r>
              <w:rPr>
                <w:spacing w:val="-2"/>
              </w:rPr>
              <w:t>年，肉牛肉</w:t>
            </w:r>
          </w:p>
          <w:p>
            <w:pPr>
              <w:pStyle w:val="TableText"/>
              <w:ind w:left="120"/>
              <w:spacing w:before="5" w:line="234" w:lineRule="auto"/>
              <w:rPr/>
            </w:pPr>
            <w:r>
              <w:rPr>
                <w:spacing w:val="-5"/>
              </w:rPr>
              <w:t>羊高效集约养殖场各建</w:t>
            </w:r>
            <w:r>
              <w:rPr>
                <w:spacing w:val="-31"/>
              </w:rPr>
              <w:t xml:space="preserve"> </w:t>
            </w:r>
            <w:r>
              <w:rPr>
                <w:rFonts w:ascii="Times New Roman" w:hAnsi="Times New Roman" w:eastAsia="Times New Roman" w:cs="Times New Roman"/>
                <w:spacing w:val="-5"/>
              </w:rPr>
              <w:t>3 </w:t>
            </w:r>
            <w:r>
              <w:rPr>
                <w:spacing w:val="-5"/>
              </w:rPr>
              <w:t>处，肉牛肉羊托养基地</w:t>
            </w:r>
          </w:p>
          <w:p>
            <w:pPr>
              <w:pStyle w:val="TableText"/>
              <w:ind w:left="404"/>
              <w:spacing w:before="7" w:line="193" w:lineRule="auto"/>
              <w:rPr/>
            </w:pPr>
            <w:r>
              <w:rPr>
                <w:rFonts w:ascii="Times New Roman" w:hAnsi="Times New Roman" w:eastAsia="Times New Roman" w:cs="Times New Roman"/>
                <w:spacing w:val="-2"/>
              </w:rPr>
              <w:t>85</w:t>
            </w:r>
            <w:r>
              <w:rPr>
                <w:rFonts w:ascii="Times New Roman" w:hAnsi="Times New Roman" w:eastAsia="Times New Roman" w:cs="Times New Roman"/>
                <w:spacing w:val="29"/>
              </w:rPr>
              <w:t xml:space="preserve"> </w:t>
            </w:r>
            <w:r>
              <w:rPr>
                <w:spacing w:val="-2"/>
              </w:rPr>
              <w:t>处，做到盟内所有苏木镇</w:t>
            </w:r>
            <w:r>
              <w:rPr>
                <w:rFonts w:ascii="Times New Roman" w:hAnsi="Times New Roman" w:eastAsia="Times New Roman" w:cs="Times New Roman"/>
                <w:spacing w:val="-2"/>
              </w:rPr>
              <w:t>(</w:t>
            </w:r>
            <w:r>
              <w:rPr>
                <w:spacing w:val="-2"/>
              </w:rPr>
              <w:t>乡</w:t>
            </w:r>
            <w:r>
              <w:rPr>
                <w:rFonts w:ascii="Times New Roman" w:hAnsi="Times New Roman" w:eastAsia="Times New Roman" w:cs="Times New Roman"/>
                <w:spacing w:val="-2"/>
              </w:rPr>
              <w:t>)</w:t>
            </w:r>
            <w:r>
              <w:rPr>
                <w:spacing w:val="-2"/>
              </w:rPr>
              <w:t>全覆盖。</w:t>
            </w:r>
          </w:p>
        </w:tc>
        <w:tc>
          <w:tcPr>
            <w:tcW w:w="2185"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2"/>
              <w:spacing w:before="68" w:line="234" w:lineRule="auto"/>
              <w:rPr/>
            </w:pPr>
            <w:r>
              <w:rPr>
                <w:spacing w:val="-3"/>
              </w:rPr>
              <w:t>本项目年出栏</w:t>
            </w:r>
            <w:r>
              <w:rPr>
                <w:spacing w:val="-41"/>
              </w:rPr>
              <w:t xml:space="preserve"> </w:t>
            </w:r>
            <w:r>
              <w:rPr>
                <w:rFonts w:ascii="Times New Roman" w:hAnsi="Times New Roman" w:eastAsia="Times New Roman" w:cs="Times New Roman"/>
                <w:spacing w:val="-3"/>
              </w:rPr>
              <w:t>1200 </w:t>
            </w:r>
            <w:r>
              <w:rPr>
                <w:spacing w:val="-3"/>
              </w:rPr>
              <w:t>头</w:t>
            </w:r>
          </w:p>
          <w:p>
            <w:pPr>
              <w:pStyle w:val="TableText"/>
              <w:ind w:left="170"/>
              <w:spacing w:before="5" w:line="221" w:lineRule="auto"/>
              <w:rPr/>
            </w:pPr>
            <w:r>
              <w:rPr>
                <w:spacing w:val="-3"/>
              </w:rPr>
              <w:t>肉牛项目，属于肉牛</w:t>
            </w:r>
          </w:p>
          <w:p>
            <w:pPr>
              <w:pStyle w:val="TableText"/>
              <w:ind w:left="177"/>
              <w:spacing w:before="22" w:line="234" w:lineRule="auto"/>
              <w:rPr/>
            </w:pPr>
            <w:r>
              <w:rPr>
                <w:rFonts w:ascii="Times New Roman" w:hAnsi="Times New Roman" w:eastAsia="Times New Roman" w:cs="Times New Roman"/>
                <w:spacing w:val="-1"/>
              </w:rPr>
              <w:t>300 </w:t>
            </w:r>
            <w:r>
              <w:rPr>
                <w:spacing w:val="-1"/>
              </w:rPr>
              <w:t>头以上高效集约</w:t>
            </w:r>
          </w:p>
          <w:p>
            <w:pPr>
              <w:pStyle w:val="TableText"/>
              <w:ind w:left="151"/>
              <w:spacing w:before="4" w:line="220" w:lineRule="auto"/>
              <w:rPr/>
            </w:pPr>
            <w:r>
              <w:rPr>
                <w:spacing w:val="-2"/>
              </w:rPr>
              <w:t>养殖场，采用圈舍养</w:t>
            </w:r>
          </w:p>
          <w:p>
            <w:pPr>
              <w:pStyle w:val="TableText"/>
              <w:ind w:left="151"/>
              <w:spacing w:before="23" w:line="221" w:lineRule="auto"/>
              <w:rPr/>
            </w:pPr>
            <w:r>
              <w:rPr>
                <w:spacing w:val="-1"/>
              </w:rPr>
              <w:t>殖，属于重点支持项</w:t>
            </w:r>
          </w:p>
          <w:p>
            <w:pPr>
              <w:pStyle w:val="TableText"/>
              <w:ind w:left="925"/>
              <w:spacing w:before="20" w:line="223" w:lineRule="auto"/>
              <w:rPr/>
            </w:pPr>
            <w:r>
              <w:rPr>
                <w:spacing w:val="-20"/>
              </w:rPr>
              <w:t>目。</w:t>
            </w:r>
          </w:p>
        </w:tc>
        <w:tc>
          <w:tcPr>
            <w:tcW w:w="876" w:type="dxa"/>
            <w:vAlign w:val="top"/>
            <w:tcBorders>
              <w:right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235"/>
              <w:spacing w:before="68" w:line="221" w:lineRule="auto"/>
              <w:rPr/>
            </w:pPr>
            <w:r>
              <w:rPr>
                <w:spacing w:val="-2"/>
              </w:rPr>
              <w:t>符合</w:t>
            </w:r>
          </w:p>
        </w:tc>
      </w:tr>
      <w:tr>
        <w:trPr>
          <w:trHeight w:val="2745" w:hRule="atLeast"/>
        </w:trPr>
        <w:tc>
          <w:tcPr>
            <w:tcW w:w="1123" w:type="dxa"/>
            <w:vAlign w:val="top"/>
            <w:tcBorders>
              <w:left w:val="nil"/>
              <w:bottom w:val="single" w:color="000000" w:sz="10"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524"/>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551" w:type="dxa"/>
            <w:vAlign w:val="top"/>
            <w:tcBorders>
              <w:bottom w:val="single" w:color="000000" w:sz="10" w:space="0"/>
            </w:tcBorders>
          </w:tcPr>
          <w:p>
            <w:pPr>
              <w:pStyle w:val="TableText"/>
              <w:ind w:left="218"/>
              <w:spacing w:before="46" w:line="214" w:lineRule="auto"/>
              <w:rPr/>
            </w:pPr>
            <w:r>
              <w:rPr>
                <w:spacing w:val="-1"/>
              </w:rPr>
              <w:t>半农半牧区和禁牧区</w:t>
            </w:r>
            <w:r>
              <w:rPr>
                <w:rFonts w:ascii="Times New Roman" w:hAnsi="Times New Roman" w:eastAsia="Times New Roman" w:cs="Times New Roman"/>
                <w:spacing w:val="-1"/>
              </w:rPr>
              <w:t>(</w:t>
            </w:r>
            <w:r>
              <w:rPr>
                <w:spacing w:val="-1"/>
              </w:rPr>
              <w:t>浑善达克流动沙地</w:t>
            </w:r>
            <w:r>
              <w:rPr>
                <w:rFonts w:ascii="Times New Roman" w:hAnsi="Times New Roman" w:eastAsia="Times New Roman" w:cs="Times New Roman"/>
                <w:spacing w:val="-1"/>
              </w:rPr>
              <w:t>)</w:t>
            </w:r>
            <w:r>
              <w:rPr>
                <w:spacing w:val="-1"/>
              </w:rPr>
              <w:t>实行</w:t>
            </w:r>
          </w:p>
          <w:p>
            <w:pPr>
              <w:pStyle w:val="TableText"/>
              <w:ind w:left="114"/>
              <w:spacing w:before="29" w:line="221" w:lineRule="auto"/>
              <w:rPr/>
            </w:pPr>
            <w:r>
              <w:rPr>
                <w:spacing w:val="-4"/>
              </w:rPr>
              <w:t>舍饲圈养饲养方式，推行集中养殖小区模式发展</w:t>
            </w:r>
          </w:p>
          <w:p>
            <w:pPr>
              <w:pStyle w:val="TableText"/>
              <w:ind w:left="114"/>
              <w:spacing w:before="19" w:line="221" w:lineRule="auto"/>
              <w:rPr/>
            </w:pPr>
            <w:r>
              <w:rPr>
                <w:spacing w:val="-4"/>
              </w:rPr>
              <w:t>规模化设施畜牧业，集中建设棚圈、储草库等配</w:t>
            </w:r>
          </w:p>
          <w:p>
            <w:pPr>
              <w:pStyle w:val="TableText"/>
              <w:ind w:left="114"/>
              <w:spacing w:before="23" w:line="220" w:lineRule="auto"/>
              <w:rPr/>
            </w:pPr>
            <w:r>
              <w:rPr>
                <w:spacing w:val="-4"/>
              </w:rPr>
              <w:t>套养殖设施，采取统一管理、集中防疫、分户饲</w:t>
            </w:r>
          </w:p>
          <w:p>
            <w:pPr>
              <w:pStyle w:val="TableText"/>
              <w:ind w:left="114"/>
              <w:spacing w:before="21" w:line="220" w:lineRule="auto"/>
              <w:rPr/>
            </w:pPr>
            <w:r>
              <w:rPr>
                <w:spacing w:val="-1"/>
              </w:rPr>
              <w:t>养的方式，促进粗放生产经营向高效集约转型。</w:t>
            </w:r>
          </w:p>
          <w:p>
            <w:pPr>
              <w:pStyle w:val="TableText"/>
              <w:ind w:left="115"/>
              <w:spacing w:before="23" w:line="221" w:lineRule="auto"/>
              <w:rPr/>
            </w:pPr>
            <w:r>
              <w:rPr>
                <w:spacing w:val="-4"/>
              </w:rPr>
              <w:t>按照“节约实用、因地制宜”的原则，充分尊重</w:t>
            </w:r>
          </w:p>
          <w:p>
            <w:pPr>
              <w:pStyle w:val="TableText"/>
              <w:ind w:left="113"/>
              <w:spacing w:before="20" w:line="220" w:lineRule="auto"/>
              <w:rPr/>
            </w:pPr>
            <w:r>
              <w:rPr>
                <w:spacing w:val="-4"/>
              </w:rPr>
              <w:t>农牧民意愿，以自然村为单位，建立人畜分离养</w:t>
            </w:r>
          </w:p>
          <w:p>
            <w:pPr>
              <w:pStyle w:val="TableText"/>
              <w:ind w:left="114"/>
              <w:spacing w:before="21" w:line="220" w:lineRule="auto"/>
              <w:rPr/>
            </w:pPr>
            <w:r>
              <w:rPr>
                <w:spacing w:val="-1"/>
              </w:rPr>
              <w:t>殖小区，集中饲养，健全运行机制和管理办法，</w:t>
            </w:r>
          </w:p>
          <w:p>
            <w:pPr>
              <w:pStyle w:val="TableText"/>
              <w:ind w:left="126"/>
              <w:spacing w:before="24" w:line="234" w:lineRule="auto"/>
              <w:rPr/>
            </w:pPr>
            <w:r>
              <w:rPr>
                <w:spacing w:val="-1"/>
              </w:rPr>
              <w:t>提高集约化水平。到</w:t>
            </w:r>
            <w:r>
              <w:rPr>
                <w:spacing w:val="-36"/>
              </w:rPr>
              <w:t xml:space="preserve"> </w:t>
            </w:r>
            <w:r>
              <w:rPr>
                <w:rFonts w:ascii="Times New Roman" w:hAnsi="Times New Roman" w:eastAsia="Times New Roman" w:cs="Times New Roman"/>
                <w:spacing w:val="-1"/>
              </w:rPr>
              <w:t>2025 </w:t>
            </w:r>
            <w:r>
              <w:rPr>
                <w:spacing w:val="-1"/>
              </w:rPr>
              <w:t>年，建成肉牛养殖小</w:t>
            </w:r>
          </w:p>
          <w:p>
            <w:pPr>
              <w:pStyle w:val="TableText"/>
              <w:ind w:left="826"/>
              <w:spacing w:before="4" w:line="209" w:lineRule="auto"/>
              <w:rPr/>
            </w:pPr>
            <w:r>
              <w:rPr/>
              <w:t>区</w:t>
            </w:r>
            <w:r>
              <w:rPr>
                <w:spacing w:val="-33"/>
              </w:rPr>
              <w:t xml:space="preserve"> </w:t>
            </w:r>
            <w:r>
              <w:rPr>
                <w:rFonts w:ascii="Times New Roman" w:hAnsi="Times New Roman" w:eastAsia="Times New Roman" w:cs="Times New Roman"/>
              </w:rPr>
              <w:t>60 </w:t>
            </w:r>
            <w:r>
              <w:rPr/>
              <w:t>处、肉羊养殖小区</w:t>
            </w:r>
            <w:r>
              <w:rPr>
                <w:rFonts w:ascii="Times New Roman" w:hAnsi="Times New Roman" w:eastAsia="Times New Roman" w:cs="Times New Roman"/>
              </w:rPr>
              <w:t>40 </w:t>
            </w:r>
            <w:r>
              <w:rPr/>
              <w:t>处。</w:t>
            </w:r>
          </w:p>
        </w:tc>
        <w:tc>
          <w:tcPr>
            <w:tcW w:w="2185" w:type="dxa"/>
            <w:vAlign w:val="top"/>
            <w:tcBorders>
              <w:bottom w:val="single" w:color="000000" w:sz="10" w:space="0"/>
            </w:tcBorders>
          </w:tcPr>
          <w:p>
            <w:pPr>
              <w:pStyle w:val="TableText"/>
              <w:ind w:left="151"/>
              <w:spacing w:before="47" w:line="220" w:lineRule="auto"/>
              <w:rPr/>
            </w:pPr>
            <w:r>
              <w:rPr>
                <w:spacing w:val="-1"/>
              </w:rPr>
              <w:t>本项目租用锡林郭勒</w:t>
            </w:r>
          </w:p>
          <w:p>
            <w:pPr>
              <w:pStyle w:val="TableText"/>
              <w:ind w:left="150"/>
              <w:spacing w:before="23" w:line="221" w:lineRule="auto"/>
              <w:rPr/>
            </w:pPr>
            <w:r>
              <w:rPr>
                <w:spacing w:val="-1"/>
              </w:rPr>
              <w:t>盟锡林浩特市额尔顿</w:t>
            </w:r>
          </w:p>
          <w:p>
            <w:pPr>
              <w:pStyle w:val="TableText"/>
              <w:ind w:left="150"/>
              <w:spacing w:before="19" w:line="221" w:lineRule="auto"/>
              <w:rPr/>
            </w:pPr>
            <w:r>
              <w:rPr>
                <w:spacing w:val="-1"/>
              </w:rPr>
              <w:t>街道办事处新兴社区</w:t>
            </w:r>
          </w:p>
          <w:p>
            <w:pPr>
              <w:pStyle w:val="TableText"/>
              <w:ind w:left="151"/>
              <w:spacing w:before="23" w:line="221" w:lineRule="auto"/>
              <w:rPr/>
            </w:pPr>
            <w:r>
              <w:rPr>
                <w:spacing w:val="-2"/>
              </w:rPr>
              <w:t>沃源奶牛场，不属于</w:t>
            </w:r>
          </w:p>
          <w:p>
            <w:pPr>
              <w:pStyle w:val="TableText"/>
              <w:ind w:left="150"/>
              <w:spacing w:before="19" w:line="220" w:lineRule="auto"/>
              <w:rPr/>
            </w:pPr>
            <w:r>
              <w:rPr>
                <w:spacing w:val="-1"/>
              </w:rPr>
              <w:t>禁牧区，采用圈舍养</w:t>
            </w:r>
          </w:p>
          <w:p>
            <w:pPr>
              <w:pStyle w:val="TableText"/>
              <w:ind w:left="112"/>
              <w:spacing w:before="24" w:line="234" w:lineRule="auto"/>
              <w:rPr/>
            </w:pPr>
            <w:r>
              <w:rPr>
                <w:spacing w:val="-6"/>
              </w:rPr>
              <w:t>殖，年出栏</w:t>
            </w:r>
            <w:r>
              <w:rPr>
                <w:spacing w:val="-27"/>
              </w:rPr>
              <w:t xml:space="preserve"> </w:t>
            </w:r>
            <w:r>
              <w:rPr>
                <w:rFonts w:ascii="Times New Roman" w:hAnsi="Times New Roman" w:eastAsia="Times New Roman" w:cs="Times New Roman"/>
                <w:spacing w:val="-6"/>
              </w:rPr>
              <w:t>1200</w:t>
            </w:r>
            <w:r>
              <w:rPr>
                <w:rFonts w:ascii="Times New Roman" w:hAnsi="Times New Roman" w:eastAsia="Times New Roman" w:cs="Times New Roman"/>
                <w:spacing w:val="12"/>
              </w:rPr>
              <w:t xml:space="preserve"> </w:t>
            </w:r>
            <w:r>
              <w:rPr>
                <w:spacing w:val="-6"/>
              </w:rPr>
              <w:t>头肉</w:t>
            </w:r>
          </w:p>
          <w:p>
            <w:pPr>
              <w:pStyle w:val="TableText"/>
              <w:ind w:left="155"/>
              <w:spacing w:before="3" w:line="221" w:lineRule="auto"/>
              <w:rPr/>
            </w:pPr>
            <w:r>
              <w:rPr>
                <w:spacing w:val="-2"/>
              </w:rPr>
              <w:t>牛项目，属于规模化</w:t>
            </w:r>
          </w:p>
          <w:p>
            <w:pPr>
              <w:pStyle w:val="TableText"/>
              <w:spacing w:before="20" w:line="221" w:lineRule="auto"/>
              <w:jc w:val="right"/>
              <w:rPr/>
            </w:pPr>
            <w:r>
              <w:rPr>
                <w:spacing w:val="-7"/>
              </w:rPr>
              <w:t>养殖，属于统一管理、</w:t>
            </w:r>
          </w:p>
          <w:p>
            <w:pPr>
              <w:pStyle w:val="TableText"/>
              <w:ind w:left="255"/>
              <w:spacing w:before="22" w:line="221" w:lineRule="auto"/>
              <w:rPr/>
            </w:pPr>
            <w:r>
              <w:rPr>
                <w:spacing w:val="-1"/>
              </w:rPr>
              <w:t>集中防疫的养殖方</w:t>
            </w:r>
          </w:p>
          <w:p>
            <w:pPr>
              <w:pStyle w:val="TableText"/>
              <w:ind w:left="889"/>
              <w:spacing w:before="20" w:line="209" w:lineRule="auto"/>
              <w:rPr/>
            </w:pPr>
            <w:r>
              <w:rPr>
                <w:spacing w:val="-11"/>
              </w:rPr>
              <w:t>式。</w:t>
            </w:r>
          </w:p>
        </w:tc>
        <w:tc>
          <w:tcPr>
            <w:tcW w:w="876" w:type="dxa"/>
            <w:vAlign w:val="top"/>
            <w:tcBorders>
              <w:right w:val="nil"/>
              <w:bottom w:val="single" w:color="000000" w:sz="10" w:space="0"/>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pStyle w:val="TableText"/>
              <w:ind w:left="235"/>
              <w:spacing w:before="68" w:line="221" w:lineRule="auto"/>
              <w:rPr/>
            </w:pPr>
            <w:r>
              <w:rPr>
                <w:spacing w:val="-2"/>
              </w:rPr>
              <w:t>符合</w:t>
            </w:r>
          </w:p>
        </w:tc>
      </w:tr>
    </w:tbl>
    <w:p>
      <w:pPr>
        <w:ind w:left="614"/>
        <w:spacing w:before="33" w:line="219" w:lineRule="auto"/>
        <w:rPr>
          <w:rFonts w:ascii="SimSun" w:hAnsi="SimSun" w:eastAsia="SimSun" w:cs="SimSun"/>
          <w:sz w:val="24"/>
          <w:szCs w:val="24"/>
        </w:rPr>
      </w:pPr>
      <w:r>
        <w:pict>
          <v:shape id="_x0000_s30" style="position:absolute;margin-left:6.36601pt;margin-top:22.1369pt;mso-position-vertical-relative:text;mso-position-horizontal-relative:text;width:425.7pt;height:0.6pt;z-index:251665408;" filled="false" strokecolor="#808080" strokeweight="0.50pt" coordsize="8514,12" coordorigin="0,0" path="m5,5l8508,6e">
            <v:stroke endcap="round" miterlimit="10"/>
          </v:shape>
        </w:pict>
      </w:r>
      <w:r>
        <w:rPr>
          <w:rFonts w:ascii="SimSun" w:hAnsi="SimSun" w:eastAsia="SimSun" w:cs="SimSun"/>
          <w:sz w:val="24"/>
          <w:szCs w:val="24"/>
          <w:spacing w:val="-1"/>
        </w:rPr>
        <w:t>综上所述，本项目符合《锡林郭勒盟现代设施畜牧业建设专项实施方案(2024</w:t>
      </w:r>
    </w:p>
    <w:p>
      <w:pPr>
        <w:spacing w:line="219" w:lineRule="auto"/>
        <w:sectPr>
          <w:headerReference w:type="default" r:id="rId17"/>
          <w:footerReference w:type="default" r:id="rId18"/>
          <w:pgSz w:w="11907" w:h="16839"/>
          <w:pgMar w:top="1422" w:right="1591" w:bottom="1618" w:left="1579" w:header="1033" w:footer="1417" w:gutter="0"/>
        </w:sectPr>
        <w:rPr>
          <w:rFonts w:ascii="SimSun" w:hAnsi="SimSun" w:eastAsia="SimSun" w:cs="SimSun"/>
          <w:sz w:val="24"/>
          <w:szCs w:val="24"/>
        </w:rPr>
      </w:pPr>
    </w:p>
    <w:p>
      <w:pPr>
        <w:ind w:left="129"/>
        <w:spacing w:before="313" w:line="221" w:lineRule="auto"/>
        <w:rPr>
          <w:rFonts w:ascii="SimSun" w:hAnsi="SimSun" w:eastAsia="SimSun" w:cs="SimSun"/>
          <w:sz w:val="24"/>
          <w:szCs w:val="24"/>
        </w:rPr>
      </w:pPr>
      <w:r>
        <w:rPr>
          <w:rFonts w:ascii="SimSun" w:hAnsi="SimSun" w:eastAsia="SimSun" w:cs="SimSun"/>
          <w:sz w:val="24"/>
          <w:szCs w:val="24"/>
          <w:spacing w:val="-3"/>
        </w:rPr>
        <w:t>—2025)》要求。</w:t>
      </w:r>
    </w:p>
    <w:p>
      <w:pPr>
        <w:ind w:left="133" w:firstLine="484"/>
        <w:spacing w:before="178" w:line="359" w:lineRule="auto"/>
        <w:rPr>
          <w:rFonts w:ascii="SimSun" w:hAnsi="SimSun" w:eastAsia="SimSun" w:cs="SimSun"/>
          <w:sz w:val="24"/>
          <w:szCs w:val="24"/>
        </w:rPr>
      </w:pPr>
      <w:r>
        <w:rPr>
          <w:rFonts w:ascii="SimSun" w:hAnsi="SimSun" w:eastAsia="SimSun" w:cs="SimSun"/>
          <w:sz w:val="24"/>
          <w:szCs w:val="24"/>
          <w:spacing w:val="-5"/>
        </w:rPr>
        <w:t>（2）内蒙古自治区人民政府办公厅印发《关于支持设施畜牧业发展若干措施》</w:t>
      </w:r>
      <w:r>
        <w:rPr>
          <w:rFonts w:ascii="SimSun" w:hAnsi="SimSun" w:eastAsia="SimSun" w:cs="SimSun"/>
          <w:sz w:val="24"/>
          <w:szCs w:val="24"/>
          <w:spacing w:val="-2"/>
        </w:rPr>
        <w:t>符合性分析</w:t>
      </w:r>
    </w:p>
    <w:p>
      <w:pPr>
        <w:ind w:left="131" w:right="120" w:firstLine="480"/>
        <w:spacing w:line="359" w:lineRule="auto"/>
        <w:rPr>
          <w:rFonts w:ascii="SimSun" w:hAnsi="SimSun" w:eastAsia="SimSun" w:cs="SimSun"/>
          <w:sz w:val="24"/>
          <w:szCs w:val="24"/>
        </w:rPr>
      </w:pPr>
      <w:r>
        <w:rPr>
          <w:rFonts w:ascii="SimSun" w:hAnsi="SimSun" w:eastAsia="SimSun" w:cs="SimSun"/>
          <w:sz w:val="24"/>
          <w:szCs w:val="24"/>
          <w:spacing w:val="2"/>
        </w:rPr>
        <w:t>本项目与内蒙古自治区人民政府办公厅印发《关于支持设施畜牧业发展若干</w:t>
      </w:r>
      <w:r>
        <w:rPr>
          <w:rFonts w:ascii="SimSun" w:hAnsi="SimSun" w:eastAsia="SimSun" w:cs="SimSun"/>
          <w:sz w:val="24"/>
          <w:szCs w:val="24"/>
          <w:spacing w:val="-2"/>
        </w:rPr>
        <w:t>措施》（内政办发〔2024〕4</w:t>
      </w:r>
      <w:r>
        <w:rPr>
          <w:rFonts w:ascii="SimSun" w:hAnsi="SimSun" w:eastAsia="SimSun" w:cs="SimSun"/>
          <w:sz w:val="24"/>
          <w:szCs w:val="24"/>
          <w:spacing w:val="-37"/>
        </w:rPr>
        <w:t xml:space="preserve"> </w:t>
      </w:r>
      <w:r>
        <w:rPr>
          <w:rFonts w:ascii="SimSun" w:hAnsi="SimSun" w:eastAsia="SimSun" w:cs="SimSun"/>
          <w:sz w:val="24"/>
          <w:szCs w:val="24"/>
          <w:spacing w:val="-2"/>
        </w:rPr>
        <w:t>号）的符合性分析详见表</w:t>
      </w:r>
      <w:r>
        <w:rPr>
          <w:rFonts w:ascii="SimSun" w:hAnsi="SimSun" w:eastAsia="SimSun" w:cs="SimSun"/>
          <w:sz w:val="24"/>
          <w:szCs w:val="24"/>
          <w:spacing w:val="-32"/>
        </w:rPr>
        <w:t xml:space="preserve"> </w:t>
      </w:r>
      <w:r>
        <w:rPr>
          <w:rFonts w:ascii="SimSun" w:hAnsi="SimSun" w:eastAsia="SimSun" w:cs="SimSun"/>
          <w:sz w:val="24"/>
          <w:szCs w:val="24"/>
          <w:spacing w:val="-2"/>
        </w:rPr>
        <w:t>1-5。</w:t>
      </w:r>
    </w:p>
    <w:p>
      <w:pPr>
        <w:ind w:left="1299"/>
        <w:spacing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2"/>
        </w:rPr>
        <w:t>1-5    </w:t>
      </w:r>
      <w:r>
        <w:rPr>
          <w:rFonts w:ascii="SimSun" w:hAnsi="SimSun" w:eastAsia="SimSun" w:cs="SimSun"/>
          <w:sz w:val="24"/>
          <w:szCs w:val="24"/>
          <w:b/>
          <w:bCs/>
          <w:spacing w:val="-2"/>
        </w:rPr>
        <w:t>《关于支持设施畜牧业发展若干措施》符合性分析</w:t>
      </w:r>
    </w:p>
    <w:p>
      <w:pPr>
        <w:spacing w:line="13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6"/>
        <w:gridCol w:w="4782"/>
        <w:gridCol w:w="2633"/>
        <w:gridCol w:w="814"/>
      </w:tblGrid>
      <w:tr>
        <w:trPr>
          <w:trHeight w:val="822" w:hRule="atLeast"/>
        </w:trPr>
        <w:tc>
          <w:tcPr>
            <w:tcW w:w="506" w:type="dxa"/>
            <w:vAlign w:val="top"/>
            <w:textDirection w:val="tbRlV"/>
            <w:tcBorders>
              <w:top w:val="single" w:color="000000" w:sz="10" w:space="0"/>
              <w:left w:val="nil"/>
            </w:tcBorders>
          </w:tcPr>
          <w:p>
            <w:pPr>
              <w:pStyle w:val="TableText"/>
              <w:ind w:left="170"/>
              <w:spacing w:before="138" w:line="211" w:lineRule="auto"/>
              <w:rPr/>
            </w:pPr>
            <w:r>
              <w:rPr>
                <w:b/>
                <w:bCs/>
                <w:spacing w:val="-2"/>
              </w:rPr>
              <w:t>序</w:t>
            </w:r>
            <w:r>
              <w:rPr>
                <w:spacing w:val="-42"/>
              </w:rPr>
              <w:t xml:space="preserve"> </w:t>
            </w:r>
            <w:r>
              <w:rPr>
                <w:b/>
                <w:bCs/>
                <w:spacing w:val="-2"/>
              </w:rPr>
              <w:t>号</w:t>
            </w:r>
          </w:p>
        </w:tc>
        <w:tc>
          <w:tcPr>
            <w:tcW w:w="4782" w:type="dxa"/>
            <w:vAlign w:val="top"/>
            <w:tcBorders>
              <w:top w:val="single" w:color="000000" w:sz="10" w:space="0"/>
            </w:tcBorders>
          </w:tcPr>
          <w:p>
            <w:pPr>
              <w:pStyle w:val="TableText"/>
              <w:ind w:left="1973"/>
              <w:spacing w:before="306" w:line="221" w:lineRule="auto"/>
              <w:rPr/>
            </w:pPr>
            <w:r>
              <w:rPr>
                <w:b/>
                <w:bCs/>
                <w:spacing w:val="-4"/>
              </w:rPr>
              <w:t>文件要求</w:t>
            </w:r>
          </w:p>
        </w:tc>
        <w:tc>
          <w:tcPr>
            <w:tcW w:w="2633" w:type="dxa"/>
            <w:vAlign w:val="top"/>
            <w:tcBorders>
              <w:top w:val="single" w:color="000000" w:sz="10" w:space="0"/>
            </w:tcBorders>
          </w:tcPr>
          <w:p>
            <w:pPr>
              <w:pStyle w:val="TableText"/>
              <w:ind w:left="794"/>
              <w:spacing w:before="307" w:line="220" w:lineRule="auto"/>
              <w:rPr/>
            </w:pPr>
            <w:r>
              <w:rPr>
                <w:b/>
                <w:bCs/>
                <w:spacing w:val="-3"/>
              </w:rPr>
              <w:t>本项目情况</w:t>
            </w:r>
          </w:p>
        </w:tc>
        <w:tc>
          <w:tcPr>
            <w:tcW w:w="814" w:type="dxa"/>
            <w:vAlign w:val="top"/>
            <w:tcBorders>
              <w:top w:val="single" w:color="000000" w:sz="10" w:space="0"/>
              <w:right w:val="nil"/>
            </w:tcBorders>
          </w:tcPr>
          <w:p>
            <w:pPr>
              <w:pStyle w:val="TableText"/>
              <w:ind w:left="204"/>
              <w:spacing w:before="33" w:line="221" w:lineRule="auto"/>
              <w:rPr/>
            </w:pPr>
            <w:r>
              <w:rPr>
                <w:b/>
                <w:bCs/>
                <w:spacing w:val="-5"/>
              </w:rPr>
              <w:t>符合</w:t>
            </w:r>
          </w:p>
          <w:p>
            <w:pPr>
              <w:pStyle w:val="TableText"/>
              <w:ind w:left="310" w:right="194" w:hanging="105"/>
              <w:spacing w:before="22" w:line="222" w:lineRule="auto"/>
              <w:rPr/>
            </w:pPr>
            <w:r>
              <w:rPr>
                <w:b/>
                <w:bCs/>
                <w:spacing w:val="-7"/>
              </w:rPr>
              <w:t>性分</w:t>
            </w:r>
            <w:r>
              <w:rPr>
                <w:b/>
                <w:bCs/>
                <w:spacing w:val="-3"/>
              </w:rPr>
              <w:t>析</w:t>
            </w:r>
          </w:p>
        </w:tc>
      </w:tr>
      <w:tr>
        <w:trPr>
          <w:trHeight w:val="2733" w:hRule="atLeast"/>
        </w:trPr>
        <w:tc>
          <w:tcPr>
            <w:tcW w:w="506" w:type="dxa"/>
            <w:vAlign w:val="top"/>
            <w:tcBorders>
              <w:bottom w:val="single" w:color="000000" w:sz="10" w:space="0"/>
              <w:left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231"/>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782" w:type="dxa"/>
            <w:vAlign w:val="top"/>
            <w:tcBorders>
              <w:bottom w:val="single" w:color="000000" w:sz="10" w:space="0"/>
            </w:tcBorders>
          </w:tcPr>
          <w:p>
            <w:pPr>
              <w:pStyle w:val="TableText"/>
              <w:ind w:left="114"/>
              <w:spacing w:before="35" w:line="220" w:lineRule="auto"/>
              <w:rPr/>
            </w:pPr>
            <w:r>
              <w:rPr>
                <w:spacing w:val="-4"/>
              </w:rPr>
              <w:t>大力推进舍饲圈养，对实际年出栏育肥肉牛</w:t>
            </w:r>
            <w:r>
              <w:rPr>
                <w:spacing w:val="-24"/>
              </w:rPr>
              <w:t xml:space="preserve"> </w:t>
            </w:r>
            <w:r>
              <w:rPr>
                <w:spacing w:val="-4"/>
              </w:rPr>
              <w:t>500</w:t>
            </w:r>
            <w:r>
              <w:rPr>
                <w:spacing w:val="-40"/>
              </w:rPr>
              <w:t xml:space="preserve"> </w:t>
            </w:r>
            <w:r>
              <w:rPr>
                <w:spacing w:val="-4"/>
              </w:rPr>
              <w:t>头</w:t>
            </w:r>
          </w:p>
          <w:p>
            <w:pPr>
              <w:pStyle w:val="TableText"/>
              <w:ind w:left="138"/>
              <w:spacing w:before="23" w:line="221" w:lineRule="auto"/>
              <w:rPr/>
            </w:pPr>
            <w:r>
              <w:rPr>
                <w:spacing w:val="-2"/>
              </w:rPr>
              <w:t>或肉羊</w:t>
            </w:r>
            <w:r>
              <w:rPr>
                <w:spacing w:val="-37"/>
              </w:rPr>
              <w:t xml:space="preserve"> </w:t>
            </w:r>
            <w:r>
              <w:rPr>
                <w:spacing w:val="-2"/>
              </w:rPr>
              <w:t>3000</w:t>
            </w:r>
            <w:r>
              <w:rPr>
                <w:spacing w:val="-31"/>
              </w:rPr>
              <w:t xml:space="preserve"> </w:t>
            </w:r>
            <w:r>
              <w:rPr>
                <w:spacing w:val="-2"/>
              </w:rPr>
              <w:t>只以上的规模养殖场、合作社、养殖</w:t>
            </w:r>
          </w:p>
          <w:p>
            <w:pPr>
              <w:pStyle w:val="TableText"/>
              <w:ind w:left="128"/>
              <w:spacing w:before="19" w:line="221" w:lineRule="auto"/>
              <w:rPr/>
            </w:pPr>
            <w:r>
              <w:rPr>
                <w:spacing w:val="-2"/>
              </w:rPr>
              <w:t>园区，并在自治区内屠宰且具有产地检疫证明的，</w:t>
            </w:r>
          </w:p>
          <w:p>
            <w:pPr>
              <w:pStyle w:val="TableText"/>
              <w:ind w:right="18"/>
              <w:spacing w:before="19" w:line="221" w:lineRule="auto"/>
              <w:jc w:val="right"/>
              <w:rPr/>
            </w:pPr>
            <w:r>
              <w:rPr>
                <w:spacing w:val="-3"/>
              </w:rPr>
              <w:t>按出栏每头肉牛</w:t>
            </w:r>
            <w:r>
              <w:rPr>
                <w:spacing w:val="-28"/>
              </w:rPr>
              <w:t xml:space="preserve"> </w:t>
            </w:r>
            <w:r>
              <w:rPr>
                <w:spacing w:val="-3"/>
              </w:rPr>
              <w:t>300</w:t>
            </w:r>
            <w:r>
              <w:rPr>
                <w:spacing w:val="-44"/>
              </w:rPr>
              <w:t xml:space="preserve"> </w:t>
            </w:r>
            <w:r>
              <w:rPr>
                <w:spacing w:val="-3"/>
              </w:rPr>
              <w:t>元、每只肉羊60</w:t>
            </w:r>
            <w:r>
              <w:rPr>
                <w:spacing w:val="-42"/>
              </w:rPr>
              <w:t xml:space="preserve"> </w:t>
            </w:r>
            <w:r>
              <w:rPr>
                <w:spacing w:val="-3"/>
              </w:rPr>
              <w:t>元给予奖励。</w:t>
            </w:r>
          </w:p>
          <w:p>
            <w:pPr>
              <w:pStyle w:val="TableText"/>
              <w:ind w:left="113"/>
              <w:spacing w:before="22" w:line="221" w:lineRule="auto"/>
              <w:rPr/>
            </w:pPr>
            <w:r>
              <w:rPr>
                <w:spacing w:val="-3"/>
              </w:rPr>
              <w:t>奖励资金重点用于基础设施建设、粪污处理设施配</w:t>
            </w:r>
          </w:p>
          <w:p>
            <w:pPr>
              <w:pStyle w:val="TableText"/>
              <w:ind w:left="112"/>
              <w:spacing w:before="20" w:line="220" w:lineRule="auto"/>
              <w:rPr/>
            </w:pPr>
            <w:r>
              <w:rPr>
                <w:spacing w:val="-3"/>
              </w:rPr>
              <w:t>套及现代养殖设施设备升级改造，提高牛羊育肥规</w:t>
            </w:r>
          </w:p>
          <w:p>
            <w:pPr>
              <w:pStyle w:val="TableText"/>
              <w:ind w:left="110"/>
              <w:spacing w:before="23" w:line="221" w:lineRule="auto"/>
              <w:rPr/>
            </w:pPr>
            <w:r>
              <w:rPr>
                <w:spacing w:val="-3"/>
              </w:rPr>
              <w:t>模化、标准化、智能化水平。引导农牧民发展适度</w:t>
            </w:r>
          </w:p>
          <w:p>
            <w:pPr>
              <w:pStyle w:val="TableText"/>
              <w:ind w:left="112"/>
              <w:spacing w:before="20" w:line="220" w:lineRule="auto"/>
              <w:rPr/>
            </w:pPr>
            <w:r>
              <w:rPr>
                <w:spacing w:val="-3"/>
              </w:rPr>
              <w:t>规模牛羊育肥。支持鸡、鸭、鹅规模化高效设施养</w:t>
            </w:r>
          </w:p>
          <w:p>
            <w:pPr>
              <w:pStyle w:val="TableText"/>
              <w:ind w:left="112"/>
              <w:spacing w:before="23" w:line="221" w:lineRule="auto"/>
              <w:rPr/>
            </w:pPr>
            <w:r>
              <w:rPr>
                <w:spacing w:val="-3"/>
              </w:rPr>
              <w:t>殖场建设。鼓励和引导马、驴、驼、鹿、鸵鸟等特</w:t>
            </w:r>
          </w:p>
          <w:p>
            <w:pPr>
              <w:pStyle w:val="TableText"/>
              <w:ind w:left="399"/>
              <w:spacing w:before="20" w:line="209" w:lineRule="auto"/>
              <w:rPr/>
            </w:pPr>
            <w:r>
              <w:rPr>
                <w:spacing w:val="-1"/>
              </w:rPr>
              <w:t>色畜禽养殖，延伸打造特色产品加工链条。</w:t>
            </w:r>
          </w:p>
        </w:tc>
        <w:tc>
          <w:tcPr>
            <w:tcW w:w="2633" w:type="dxa"/>
            <w:vAlign w:val="top"/>
            <w:tcBorders>
              <w:bottom w:val="single" w:color="000000" w:sz="10" w:space="0"/>
            </w:tcBorders>
          </w:tcPr>
          <w:p>
            <w:pPr>
              <w:spacing w:line="322" w:lineRule="auto"/>
              <w:rPr>
                <w:rFonts w:ascii="Arial"/>
                <w:sz w:val="21"/>
              </w:rPr>
            </w:pPr>
            <w:r/>
          </w:p>
          <w:p>
            <w:pPr>
              <w:spacing w:line="322" w:lineRule="auto"/>
              <w:rPr>
                <w:rFonts w:ascii="Arial"/>
                <w:sz w:val="21"/>
              </w:rPr>
            </w:pPr>
            <w:r/>
          </w:p>
          <w:p>
            <w:pPr>
              <w:pStyle w:val="TableText"/>
              <w:ind w:left="112"/>
              <w:spacing w:before="68" w:line="234" w:lineRule="auto"/>
              <w:rPr/>
            </w:pPr>
            <w:r>
              <w:rPr>
                <w:spacing w:val="-3"/>
              </w:rPr>
              <w:t>本项目年出栏</w:t>
            </w:r>
            <w:r>
              <w:rPr>
                <w:spacing w:val="-17"/>
              </w:rPr>
              <w:t xml:space="preserve"> </w:t>
            </w:r>
            <w:r>
              <w:rPr>
                <w:rFonts w:ascii="Times New Roman" w:hAnsi="Times New Roman" w:eastAsia="Times New Roman" w:cs="Times New Roman"/>
                <w:spacing w:val="-3"/>
              </w:rPr>
              <w:t>1200 </w:t>
            </w:r>
            <w:r>
              <w:rPr>
                <w:spacing w:val="-3"/>
              </w:rPr>
              <w:t>头肉牛</w:t>
            </w:r>
          </w:p>
          <w:p>
            <w:pPr>
              <w:pStyle w:val="TableText"/>
              <w:ind w:left="114"/>
              <w:spacing w:before="5" w:line="220" w:lineRule="auto"/>
              <w:rPr/>
            </w:pPr>
            <w:r>
              <w:rPr>
                <w:spacing w:val="-10"/>
              </w:rPr>
              <w:t>项目，属于年出栏育肥肉牛</w:t>
            </w:r>
          </w:p>
          <w:p>
            <w:pPr>
              <w:pStyle w:val="TableText"/>
              <w:ind w:left="113"/>
              <w:spacing w:before="24" w:line="234" w:lineRule="auto"/>
              <w:rPr/>
            </w:pPr>
            <w:r>
              <w:rPr>
                <w:rFonts w:ascii="Times New Roman" w:hAnsi="Times New Roman" w:eastAsia="Times New Roman" w:cs="Times New Roman"/>
                <w:spacing w:val="-1"/>
              </w:rPr>
              <w:t>500 </w:t>
            </w:r>
            <w:r>
              <w:rPr>
                <w:spacing w:val="-1"/>
              </w:rPr>
              <w:t>头以上的规模养殖场，</w:t>
            </w:r>
          </w:p>
          <w:p>
            <w:pPr>
              <w:pStyle w:val="TableText"/>
              <w:ind w:left="110"/>
              <w:spacing w:before="4" w:line="220" w:lineRule="auto"/>
              <w:rPr/>
            </w:pPr>
            <w:r>
              <w:rPr>
                <w:spacing w:val="-9"/>
              </w:rPr>
              <w:t>采用圈舍养殖，属于重点支</w:t>
            </w:r>
          </w:p>
          <w:p>
            <w:pPr>
              <w:pStyle w:val="TableText"/>
              <w:ind w:left="901"/>
              <w:spacing w:before="23" w:line="221" w:lineRule="auto"/>
              <w:rPr/>
            </w:pPr>
            <w:r>
              <w:rPr>
                <w:spacing w:val="-2"/>
              </w:rPr>
              <w:t>持项目。</w:t>
            </w:r>
          </w:p>
        </w:tc>
        <w:tc>
          <w:tcPr>
            <w:tcW w:w="814" w:type="dxa"/>
            <w:vAlign w:val="top"/>
            <w:tcBorders>
              <w:bottom w:val="single" w:color="000000" w:sz="10" w:space="0"/>
              <w:right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204"/>
              <w:spacing w:before="68" w:line="221" w:lineRule="auto"/>
              <w:rPr/>
            </w:pPr>
            <w:r>
              <w:rPr>
                <w:spacing w:val="-2"/>
              </w:rPr>
              <w:t>符合</w:t>
            </w:r>
          </w:p>
        </w:tc>
      </w:tr>
    </w:tbl>
    <w:p>
      <w:pPr>
        <w:ind w:left="614"/>
        <w:spacing w:before="34" w:line="219" w:lineRule="auto"/>
        <w:rPr>
          <w:rFonts w:ascii="SimSun" w:hAnsi="SimSun" w:eastAsia="SimSun" w:cs="SimSun"/>
          <w:sz w:val="24"/>
          <w:szCs w:val="24"/>
        </w:rPr>
      </w:pPr>
      <w:r>
        <w:rPr>
          <w:rFonts w:ascii="SimSun" w:hAnsi="SimSun" w:eastAsia="SimSun" w:cs="SimSun"/>
          <w:sz w:val="24"/>
          <w:szCs w:val="24"/>
          <w:spacing w:val="-1"/>
        </w:rPr>
        <w:t>综上所述，本项目与《关于支持设施畜牧业发展若干措施</w:t>
      </w:r>
      <w:r>
        <w:rPr>
          <w:rFonts w:ascii="SimSun" w:hAnsi="SimSun" w:eastAsia="SimSun" w:cs="SimSun"/>
          <w:sz w:val="24"/>
          <w:szCs w:val="24"/>
          <w:spacing w:val="-2"/>
        </w:rPr>
        <w:t>》是相符的。</w:t>
      </w:r>
    </w:p>
    <w:p>
      <w:pPr>
        <w:ind w:left="558"/>
        <w:spacing w:before="184" w:line="220" w:lineRule="auto"/>
        <w:rPr>
          <w:rFonts w:ascii="SimSun" w:hAnsi="SimSun" w:eastAsia="SimSun" w:cs="SimSun"/>
          <w:sz w:val="24"/>
          <w:szCs w:val="24"/>
        </w:rPr>
      </w:pPr>
      <w:r>
        <w:rPr>
          <w:rFonts w:ascii="SimSun" w:hAnsi="SimSun" w:eastAsia="SimSun" w:cs="SimSun"/>
          <w:sz w:val="24"/>
          <w:szCs w:val="24"/>
          <w:spacing w:val="-5"/>
        </w:rPr>
        <w:t>（3）其他</w:t>
      </w:r>
    </w:p>
    <w:p>
      <w:pPr>
        <w:ind w:left="150" w:right="115" w:firstLine="466"/>
        <w:spacing w:before="179" w:line="359" w:lineRule="auto"/>
        <w:rPr>
          <w:rFonts w:ascii="SimSun" w:hAnsi="SimSun" w:eastAsia="SimSun" w:cs="SimSun"/>
          <w:sz w:val="24"/>
          <w:szCs w:val="24"/>
        </w:rPr>
      </w:pPr>
      <w:r>
        <w:rPr>
          <w:rFonts w:ascii="SimSun" w:hAnsi="SimSun" w:eastAsia="SimSun" w:cs="SimSun"/>
          <w:sz w:val="24"/>
          <w:szCs w:val="24"/>
          <w:spacing w:val="10"/>
        </w:rPr>
        <w:t>与我国有关畜禽养殖污染物防治的法律法规及相关政策符合性分析详见表</w:t>
      </w:r>
      <w:r>
        <w:rPr>
          <w:rFonts w:ascii="Times New Roman" w:hAnsi="Times New Roman" w:eastAsia="Times New Roman" w:cs="Times New Roman"/>
          <w:sz w:val="24"/>
          <w:szCs w:val="24"/>
          <w:spacing w:val="-8"/>
        </w:rPr>
        <w:t>1-6</w:t>
      </w:r>
      <w:r>
        <w:rPr>
          <w:rFonts w:ascii="SimSun" w:hAnsi="SimSun" w:eastAsia="SimSun" w:cs="SimSun"/>
          <w:sz w:val="24"/>
          <w:szCs w:val="24"/>
          <w:spacing w:val="-8"/>
        </w:rPr>
        <w:t>。</w:t>
      </w:r>
    </w:p>
    <w:p>
      <w:pPr>
        <w:ind w:left="1059"/>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2"/>
        </w:rPr>
        <w:t>1-6    </w:t>
      </w:r>
      <w:r>
        <w:rPr>
          <w:rFonts w:ascii="SimSun" w:hAnsi="SimSun" w:eastAsia="SimSun" w:cs="SimSun"/>
          <w:sz w:val="24"/>
          <w:szCs w:val="24"/>
          <w:b/>
          <w:bCs/>
          <w:spacing w:val="-2"/>
        </w:rPr>
        <w:t>本项目选址与相关规划、法律、规范性文件符合性分析</w:t>
      </w:r>
    </w:p>
    <w:p>
      <w:pPr>
        <w:spacing w:line="132"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6"/>
        <w:gridCol w:w="3252"/>
        <w:gridCol w:w="2556"/>
        <w:gridCol w:w="891"/>
      </w:tblGrid>
      <w:tr>
        <w:trPr>
          <w:trHeight w:val="550" w:hRule="atLeast"/>
        </w:trPr>
        <w:tc>
          <w:tcPr>
            <w:tcW w:w="2036" w:type="dxa"/>
            <w:vAlign w:val="top"/>
            <w:tcBorders>
              <w:top w:val="single" w:color="000000" w:sz="10" w:space="0"/>
              <w:left w:val="nil"/>
            </w:tcBorders>
          </w:tcPr>
          <w:p>
            <w:pPr>
              <w:pStyle w:val="TableText"/>
              <w:ind w:left="610"/>
              <w:spacing w:before="169" w:line="221" w:lineRule="auto"/>
              <w:rPr/>
            </w:pPr>
            <w:r>
              <w:rPr>
                <w:b/>
                <w:bCs/>
                <w:spacing w:val="-3"/>
              </w:rPr>
              <w:t>相关文件</w:t>
            </w:r>
          </w:p>
        </w:tc>
        <w:tc>
          <w:tcPr>
            <w:tcW w:w="3252" w:type="dxa"/>
            <w:vAlign w:val="top"/>
            <w:tcBorders>
              <w:top w:val="single" w:color="000000" w:sz="10" w:space="0"/>
            </w:tcBorders>
          </w:tcPr>
          <w:p>
            <w:pPr>
              <w:pStyle w:val="TableText"/>
              <w:ind w:left="1209"/>
              <w:spacing w:before="169" w:line="221" w:lineRule="auto"/>
              <w:rPr/>
            </w:pPr>
            <w:r>
              <w:rPr>
                <w:b/>
                <w:bCs/>
                <w:spacing w:val="-4"/>
              </w:rPr>
              <w:t>文件要求</w:t>
            </w:r>
          </w:p>
        </w:tc>
        <w:tc>
          <w:tcPr>
            <w:tcW w:w="2556" w:type="dxa"/>
            <w:vAlign w:val="top"/>
            <w:tcBorders>
              <w:top w:val="single" w:color="000000" w:sz="10" w:space="0"/>
            </w:tcBorders>
          </w:tcPr>
          <w:p>
            <w:pPr>
              <w:pStyle w:val="TableText"/>
              <w:ind w:left="756"/>
              <w:spacing w:before="170" w:line="220" w:lineRule="auto"/>
              <w:rPr/>
            </w:pPr>
            <w:r>
              <w:rPr>
                <w:b/>
                <w:bCs/>
                <w:spacing w:val="-3"/>
              </w:rPr>
              <w:t>本项目情况</w:t>
            </w:r>
          </w:p>
        </w:tc>
        <w:tc>
          <w:tcPr>
            <w:tcW w:w="891" w:type="dxa"/>
            <w:vAlign w:val="top"/>
            <w:tcBorders>
              <w:top w:val="single" w:color="000000" w:sz="10" w:space="0"/>
              <w:right w:val="nil"/>
            </w:tcBorders>
          </w:tcPr>
          <w:p>
            <w:pPr>
              <w:pStyle w:val="TableText"/>
              <w:ind w:left="241" w:right="129" w:hanging="106"/>
              <w:spacing w:before="32" w:line="223" w:lineRule="auto"/>
              <w:rPr/>
            </w:pPr>
            <w:r>
              <w:rPr>
                <w:b/>
                <w:bCs/>
                <w:spacing w:val="-5"/>
              </w:rPr>
              <w:t>符合性</w:t>
            </w:r>
            <w:r>
              <w:rPr>
                <w:b/>
                <w:bCs/>
                <w:spacing w:val="-5"/>
              </w:rPr>
              <w:t>分析</w:t>
            </w:r>
          </w:p>
        </w:tc>
      </w:tr>
      <w:tr>
        <w:trPr>
          <w:trHeight w:val="1902" w:hRule="atLeast"/>
        </w:trPr>
        <w:tc>
          <w:tcPr>
            <w:tcW w:w="2036" w:type="dxa"/>
            <w:vAlign w:val="top"/>
            <w:tcBorders>
              <w:left w:val="nil"/>
            </w:tcBorders>
          </w:tcPr>
          <w:p>
            <w:pPr>
              <w:spacing w:line="254" w:lineRule="auto"/>
              <w:rPr>
                <w:rFonts w:ascii="Arial"/>
                <w:sz w:val="21"/>
              </w:rPr>
            </w:pPr>
            <w:r/>
          </w:p>
          <w:p>
            <w:pPr>
              <w:spacing w:line="254" w:lineRule="auto"/>
              <w:rPr>
                <w:rFonts w:ascii="Arial"/>
                <w:sz w:val="21"/>
              </w:rPr>
            </w:pPr>
            <w:r/>
          </w:p>
          <w:p>
            <w:pPr>
              <w:pStyle w:val="TableText"/>
              <w:ind w:left="298" w:right="187" w:hanging="104"/>
              <w:spacing w:before="68" w:line="239" w:lineRule="auto"/>
              <w:rPr/>
            </w:pPr>
            <w:r>
              <w:rPr>
                <w:spacing w:val="-4"/>
              </w:rPr>
              <w:t>《中华人民共和国</w:t>
            </w:r>
            <w:r>
              <w:rPr>
                <w:spacing w:val="-2"/>
              </w:rPr>
              <w:t>水污染防治法》</w:t>
            </w:r>
          </w:p>
          <w:p>
            <w:pPr>
              <w:pStyle w:val="TableText"/>
              <w:ind w:left="172"/>
              <w:spacing w:line="234" w:lineRule="auto"/>
              <w:rPr/>
            </w:pPr>
            <w:r>
              <w:rPr>
                <w:spacing w:val="-2"/>
              </w:rPr>
              <w:t>（</w:t>
            </w:r>
            <w:r>
              <w:rPr>
                <w:rFonts w:ascii="Times New Roman" w:hAnsi="Times New Roman" w:eastAsia="Times New Roman" w:cs="Times New Roman"/>
                <w:spacing w:val="-2"/>
              </w:rPr>
              <w:t>2017 </w:t>
            </w:r>
            <w:r>
              <w:rPr>
                <w:spacing w:val="-2"/>
              </w:rPr>
              <w:t>年修订版）</w:t>
            </w:r>
          </w:p>
        </w:tc>
        <w:tc>
          <w:tcPr>
            <w:tcW w:w="3252" w:type="dxa"/>
            <w:vAlign w:val="top"/>
          </w:tcPr>
          <w:p>
            <w:pPr>
              <w:pStyle w:val="TableText"/>
              <w:ind w:left="177"/>
              <w:spacing w:before="34" w:line="221" w:lineRule="auto"/>
              <w:rPr/>
            </w:pPr>
            <w:r>
              <w:rPr>
                <w:spacing w:val="-2"/>
              </w:rPr>
              <w:t>国家支持畜禽养殖场、养殖小区</w:t>
            </w:r>
          </w:p>
          <w:p>
            <w:pPr>
              <w:pStyle w:val="TableText"/>
              <w:ind w:left="159"/>
              <w:spacing w:before="19" w:line="221" w:lineRule="auto"/>
              <w:rPr/>
            </w:pPr>
            <w:r>
              <w:rPr>
                <w:spacing w:val="-1"/>
              </w:rPr>
              <w:t>建设畜禽粪便、废水的综合利用</w:t>
            </w:r>
          </w:p>
          <w:p>
            <w:pPr>
              <w:pStyle w:val="TableText"/>
              <w:ind w:left="159"/>
              <w:spacing w:before="22" w:line="221" w:lineRule="auto"/>
              <w:rPr/>
            </w:pPr>
            <w:r>
              <w:rPr>
                <w:spacing w:val="-1"/>
              </w:rPr>
              <w:t>或者无害化处理设施。畜禽养殖</w:t>
            </w:r>
          </w:p>
          <w:p>
            <w:pPr>
              <w:pStyle w:val="TableText"/>
              <w:ind w:left="155"/>
              <w:spacing w:before="19" w:line="221" w:lineRule="auto"/>
              <w:rPr/>
            </w:pPr>
            <w:r>
              <w:rPr>
                <w:spacing w:val="-1"/>
              </w:rPr>
              <w:t>场、养殖小区应当保证其畜禽粪</w:t>
            </w:r>
          </w:p>
          <w:p>
            <w:pPr>
              <w:pStyle w:val="TableText"/>
              <w:ind w:left="157"/>
              <w:spacing w:before="21" w:line="221" w:lineRule="auto"/>
              <w:rPr/>
            </w:pPr>
            <w:r>
              <w:rPr>
                <w:spacing w:val="-1"/>
              </w:rPr>
              <w:t>便、废水的综合利用或者无害化</w:t>
            </w:r>
          </w:p>
          <w:p>
            <w:pPr>
              <w:pStyle w:val="TableText"/>
              <w:ind w:left="160"/>
              <w:spacing w:before="22" w:line="221" w:lineRule="auto"/>
              <w:rPr/>
            </w:pPr>
            <w:r>
              <w:rPr>
                <w:spacing w:val="-1"/>
              </w:rPr>
              <w:t>处理设施正常运转，保证污水达</w:t>
            </w:r>
          </w:p>
          <w:p>
            <w:pPr>
              <w:pStyle w:val="TableText"/>
              <w:ind w:left="368"/>
              <w:spacing w:before="20" w:line="197" w:lineRule="auto"/>
              <w:rPr/>
            </w:pPr>
            <w:r>
              <w:rPr>
                <w:spacing w:val="-1"/>
              </w:rPr>
              <w:t>标排放，防止污染水环境。</w:t>
            </w:r>
          </w:p>
        </w:tc>
        <w:tc>
          <w:tcPr>
            <w:tcW w:w="2556" w:type="dxa"/>
            <w:vAlign w:val="top"/>
          </w:tcPr>
          <w:p>
            <w:pPr>
              <w:pStyle w:val="TableText"/>
              <w:ind w:left="126"/>
              <w:spacing w:before="169" w:line="220" w:lineRule="auto"/>
              <w:rPr/>
            </w:pPr>
            <w:r>
              <w:rPr>
                <w:spacing w:val="-2"/>
              </w:rPr>
              <w:t>本项目牛舍铺设垫料，牛</w:t>
            </w:r>
          </w:p>
          <w:p>
            <w:pPr>
              <w:pStyle w:val="TableText"/>
              <w:ind w:left="125"/>
              <w:spacing w:before="23" w:line="221" w:lineRule="auto"/>
              <w:rPr/>
            </w:pPr>
            <w:r>
              <w:rPr>
                <w:spacing w:val="-1"/>
              </w:rPr>
              <w:t>尿及牛粪进入垫料，废垫</w:t>
            </w:r>
          </w:p>
          <w:p>
            <w:pPr>
              <w:pStyle w:val="TableText"/>
              <w:ind w:left="125"/>
              <w:spacing w:before="19" w:line="221" w:lineRule="auto"/>
              <w:rPr/>
            </w:pPr>
            <w:r>
              <w:rPr>
                <w:spacing w:val="-1"/>
              </w:rPr>
              <w:t>料暂存于储粪库，最终外</w:t>
            </w:r>
          </w:p>
          <w:p>
            <w:pPr>
              <w:pStyle w:val="TableText"/>
              <w:ind w:left="231"/>
              <w:spacing w:before="23" w:line="220" w:lineRule="auto"/>
              <w:rPr/>
            </w:pPr>
            <w:r>
              <w:rPr>
                <w:spacing w:val="-1"/>
              </w:rPr>
              <w:t>售给相关单位生产有机</w:t>
            </w:r>
          </w:p>
          <w:p>
            <w:pPr>
              <w:pStyle w:val="TableText"/>
              <w:ind w:left="125"/>
              <w:spacing w:before="20" w:line="220" w:lineRule="auto"/>
              <w:rPr/>
            </w:pPr>
            <w:r>
              <w:rPr>
                <w:spacing w:val="-1"/>
              </w:rPr>
              <w:t>肥，均做到了粪污无害化</w:t>
            </w:r>
          </w:p>
          <w:p>
            <w:pPr>
              <w:pStyle w:val="TableText"/>
              <w:spacing w:before="23" w:line="221" w:lineRule="auto"/>
              <w:jc w:val="right"/>
              <w:rPr/>
            </w:pPr>
            <w:r>
              <w:rPr>
                <w:spacing w:val="-11"/>
              </w:rPr>
              <w:t>的要求，防止污染水环境。</w:t>
            </w:r>
          </w:p>
        </w:tc>
        <w:tc>
          <w:tcPr>
            <w:tcW w:w="891" w:type="dxa"/>
            <w:vAlign w:val="top"/>
            <w:tcBorders>
              <w:right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243"/>
              <w:spacing w:before="69" w:line="221" w:lineRule="auto"/>
              <w:rPr/>
            </w:pPr>
            <w:r>
              <w:rPr>
                <w:spacing w:val="-2"/>
              </w:rPr>
              <w:t>符合</w:t>
            </w:r>
          </w:p>
        </w:tc>
      </w:tr>
      <w:tr>
        <w:trPr>
          <w:trHeight w:val="1926" w:hRule="atLeast"/>
        </w:trPr>
        <w:tc>
          <w:tcPr>
            <w:tcW w:w="2036" w:type="dxa"/>
            <w:vAlign w:val="top"/>
            <w:tcBorders>
              <w:bottom w:val="single" w:color="000000" w:sz="10" w:space="0"/>
              <w:left w:val="nil"/>
            </w:tcBorders>
          </w:tcPr>
          <w:p>
            <w:pPr>
              <w:pStyle w:val="TableText"/>
              <w:ind w:left="194"/>
              <w:spacing w:before="180" w:line="221" w:lineRule="auto"/>
              <w:rPr/>
            </w:pPr>
            <w:r>
              <w:rPr>
                <w:spacing w:val="-1"/>
              </w:rPr>
              <w:t>《内蒙古自治区国</w:t>
            </w:r>
          </w:p>
          <w:p>
            <w:pPr>
              <w:pStyle w:val="TableText"/>
              <w:ind w:left="213"/>
              <w:spacing w:before="20" w:line="220" w:lineRule="auto"/>
              <w:rPr/>
            </w:pPr>
            <w:r>
              <w:rPr>
                <w:spacing w:val="-4"/>
              </w:rPr>
              <w:t>民经济和社会发展</w:t>
            </w:r>
          </w:p>
          <w:p>
            <w:pPr>
              <w:pStyle w:val="TableText"/>
              <w:ind w:left="193"/>
              <w:spacing w:before="23" w:line="221" w:lineRule="auto"/>
              <w:rPr/>
            </w:pPr>
            <w:r>
              <w:rPr>
                <w:spacing w:val="-1"/>
              </w:rPr>
              <w:t>第十四个五年规划</w:t>
            </w:r>
          </w:p>
          <w:p>
            <w:pPr>
              <w:pStyle w:val="TableText"/>
              <w:ind w:left="193"/>
              <w:spacing w:before="19" w:line="221" w:lineRule="auto"/>
              <w:rPr/>
            </w:pPr>
            <w:r>
              <w:rPr>
                <w:spacing w:val="-1"/>
              </w:rPr>
              <w:t>和二〇三五年远景</w:t>
            </w:r>
          </w:p>
          <w:p>
            <w:pPr>
              <w:pStyle w:val="TableText"/>
              <w:ind w:left="756"/>
              <w:spacing w:before="23" w:line="221" w:lineRule="auto"/>
              <w:rPr/>
            </w:pPr>
            <w:r>
              <w:rPr>
                <w:spacing w:val="-10"/>
              </w:rPr>
              <w:t>目标纲</w:t>
            </w:r>
          </w:p>
          <w:p>
            <w:pPr>
              <w:pStyle w:val="TableText"/>
              <w:ind w:left="822"/>
              <w:spacing w:before="19" w:line="223" w:lineRule="auto"/>
              <w:rPr/>
            </w:pPr>
            <w:r>
              <w:rPr>
                <w:spacing w:val="-4"/>
              </w:rPr>
              <w:t>要》</w:t>
            </w:r>
          </w:p>
        </w:tc>
        <w:tc>
          <w:tcPr>
            <w:tcW w:w="3252" w:type="dxa"/>
            <w:vAlign w:val="top"/>
            <w:tcBorders>
              <w:bottom w:val="single" w:color="000000" w:sz="10" w:space="0"/>
            </w:tcBorders>
          </w:tcPr>
          <w:p>
            <w:pPr>
              <w:pStyle w:val="TableText"/>
              <w:ind w:left="156" w:right="153"/>
              <w:spacing w:before="44" w:line="235" w:lineRule="auto"/>
              <w:jc w:val="both"/>
              <w:rPr/>
            </w:pPr>
            <w:r>
              <w:rPr>
                <w:spacing w:val="-1"/>
              </w:rPr>
              <w:t>提出“实施畜禽粪便资源化利用</w:t>
            </w:r>
            <w:r>
              <w:rPr>
                <w:spacing w:val="-1"/>
              </w:rPr>
              <w:t>工程”、“坚持绿色兴农兴牧，</w:t>
            </w:r>
            <w:r>
              <w:rPr>
                <w:spacing w:val="-1"/>
              </w:rPr>
              <w:t>深入推进农牧业供给侧结构性改</w:t>
            </w:r>
            <w:r>
              <w:rPr>
                <w:spacing w:val="-1"/>
              </w:rPr>
              <w:t>革，积极发展资源节约型、环境</w:t>
            </w:r>
            <w:r>
              <w:rPr>
                <w:spacing w:val="-1"/>
              </w:rPr>
              <w:t>友好型、生态保育型农牧业，提</w:t>
            </w:r>
            <w:r>
              <w:rPr>
                <w:spacing w:val="-1"/>
              </w:rPr>
              <w:t>高农牧业质量效益和竞争力，增</w:t>
            </w:r>
            <w:r>
              <w:rPr>
                <w:spacing w:val="6"/>
              </w:rPr>
              <w:t>加优质绿色农畜产品供给”。</w:t>
            </w:r>
          </w:p>
        </w:tc>
        <w:tc>
          <w:tcPr>
            <w:tcW w:w="2556" w:type="dxa"/>
            <w:vAlign w:val="top"/>
            <w:tcBorders>
              <w:bottom w:val="single" w:color="000000" w:sz="10" w:space="0"/>
            </w:tcBorders>
          </w:tcPr>
          <w:p>
            <w:pPr>
              <w:pStyle w:val="TableText"/>
              <w:ind w:left="126"/>
              <w:spacing w:before="180" w:line="220" w:lineRule="auto"/>
              <w:rPr/>
            </w:pPr>
            <w:r>
              <w:rPr>
                <w:spacing w:val="-1"/>
              </w:rPr>
              <w:t>本项目主要为肉牛育肥基</w:t>
            </w:r>
          </w:p>
          <w:p>
            <w:pPr>
              <w:pStyle w:val="TableText"/>
              <w:ind w:left="125"/>
              <w:spacing w:before="20" w:line="220" w:lineRule="auto"/>
              <w:rPr/>
            </w:pPr>
            <w:r>
              <w:rPr>
                <w:spacing w:val="-3"/>
              </w:rPr>
              <w:t>地建设项目，科学喂养，</w:t>
            </w:r>
          </w:p>
          <w:p>
            <w:pPr>
              <w:pStyle w:val="TableText"/>
              <w:ind w:left="127"/>
              <w:spacing w:before="23" w:line="221" w:lineRule="auto"/>
              <w:rPr/>
            </w:pPr>
            <w:r>
              <w:rPr>
                <w:spacing w:val="-1"/>
              </w:rPr>
              <w:t>可提高区域肉牛质量，提</w:t>
            </w:r>
          </w:p>
          <w:p>
            <w:pPr>
              <w:pStyle w:val="TableText"/>
              <w:ind w:left="131"/>
              <w:spacing w:before="19" w:line="221" w:lineRule="auto"/>
              <w:rPr/>
            </w:pPr>
            <w:r>
              <w:rPr>
                <w:spacing w:val="-1"/>
              </w:rPr>
              <w:t>高农牧业质量效益和竞争</w:t>
            </w:r>
          </w:p>
          <w:p>
            <w:pPr>
              <w:pStyle w:val="TableText"/>
              <w:ind w:left="129"/>
              <w:spacing w:before="22" w:line="221" w:lineRule="auto"/>
              <w:rPr/>
            </w:pPr>
            <w:r>
              <w:rPr>
                <w:spacing w:val="-1"/>
              </w:rPr>
              <w:t>力，增加优质绿色农畜产</w:t>
            </w:r>
          </w:p>
          <w:p>
            <w:pPr>
              <w:pStyle w:val="TableText"/>
              <w:ind w:left="878"/>
              <w:spacing w:before="20" w:line="220" w:lineRule="auto"/>
              <w:rPr/>
            </w:pPr>
            <w:r>
              <w:rPr>
                <w:spacing w:val="-6"/>
              </w:rPr>
              <w:t>品供给。</w:t>
            </w:r>
          </w:p>
        </w:tc>
        <w:tc>
          <w:tcPr>
            <w:tcW w:w="891" w:type="dxa"/>
            <w:vAlign w:val="top"/>
            <w:tcBorders>
              <w:bottom w:val="single" w:color="000000" w:sz="10" w:space="0"/>
              <w:right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243"/>
              <w:spacing w:before="69" w:line="221" w:lineRule="auto"/>
              <w:rPr/>
            </w:pPr>
            <w:r>
              <w:rPr>
                <w:spacing w:val="-2"/>
              </w:rPr>
              <w:t>符合</w:t>
            </w:r>
          </w:p>
        </w:tc>
      </w:tr>
    </w:tbl>
    <w:p>
      <w:pPr>
        <w:pStyle w:val="BodyText"/>
        <w:rPr/>
      </w:pPr>
      <w:r>
        <w:pict>
          <v:shape id="_x0000_s34" style="position:absolute;margin-left:6.36601pt;margin-top:15.914pt;mso-position-vertical-relative:text;mso-position-horizontal-relative:text;width:425.7pt;height:0.6pt;z-index:251666432;" filled="false" strokecolor="#808080" strokeweight="0.50pt" coordsize="8514,12" coordorigin="0,0" path="m5,5l8508,6e">
            <v:stroke endcap="round" miterlimit="10"/>
          </v:shape>
        </w:pict>
      </w:r>
      <w:r/>
    </w:p>
    <w:p>
      <w:pPr>
        <w:sectPr>
          <w:headerReference w:type="default" r:id="rId19"/>
          <w:footerReference w:type="default" r:id="rId20"/>
          <w:pgSz w:w="11907" w:h="16839"/>
          <w:pgMar w:top="1422" w:right="1588" w:bottom="1618" w:left="1579" w:header="1033" w:footer="1417" w:gutter="0"/>
        </w:sectPr>
        <w:rPr/>
      </w:pPr>
    </w:p>
    <w:p>
      <w:pPr>
        <w:spacing w:before="37"/>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6"/>
        <w:gridCol w:w="3252"/>
        <w:gridCol w:w="2556"/>
        <w:gridCol w:w="891"/>
      </w:tblGrid>
      <w:tr>
        <w:trPr>
          <w:trHeight w:val="1097" w:hRule="atLeast"/>
        </w:trPr>
        <w:tc>
          <w:tcPr>
            <w:tcW w:w="2036" w:type="dxa"/>
            <w:vAlign w:val="top"/>
            <w:tcBorders>
              <w:left w:val="nil"/>
              <w:top w:val="single" w:color="000000" w:sz="10" w:space="0"/>
            </w:tcBorders>
          </w:tcPr>
          <w:p>
            <w:pPr>
              <w:pStyle w:val="TableText"/>
              <w:ind w:left="199" w:right="166" w:hanging="5"/>
              <w:spacing w:before="35" w:line="239" w:lineRule="auto"/>
              <w:rPr/>
            </w:pPr>
            <w:r>
              <w:rPr>
                <w:spacing w:val="-1"/>
              </w:rPr>
              <w:t>《内蒙古自治区地</w:t>
            </w:r>
            <w:r>
              <w:rPr>
                <w:spacing w:val="-2"/>
              </w:rPr>
              <w:t>下水保护和管理条</w:t>
            </w:r>
          </w:p>
          <w:p>
            <w:pPr>
              <w:pStyle w:val="TableText"/>
              <w:ind w:left="130"/>
              <w:spacing w:line="234" w:lineRule="auto"/>
              <w:rPr>
                <w:rFonts w:ascii="Times New Roman" w:hAnsi="Times New Roman" w:eastAsia="Times New Roman" w:cs="Times New Roman"/>
              </w:rPr>
            </w:pPr>
            <w:r>
              <w:rPr>
                <w:spacing w:val="-11"/>
              </w:rPr>
              <w:t>例》（</w:t>
            </w:r>
            <w:r>
              <w:rPr>
                <w:rFonts w:ascii="Times New Roman" w:hAnsi="Times New Roman" w:eastAsia="Times New Roman" w:cs="Times New Roman"/>
                <w:spacing w:val="-11"/>
              </w:rPr>
              <w:t>2022 </w:t>
            </w:r>
            <w:r>
              <w:rPr>
                <w:spacing w:val="-11"/>
              </w:rPr>
              <w:t>年</w:t>
            </w:r>
            <w:r>
              <w:rPr>
                <w:spacing w:val="-25"/>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11"/>
              </w:rPr>
              <w:t xml:space="preserve"> </w:t>
            </w:r>
            <w:r>
              <w:rPr>
                <w:spacing w:val="-11"/>
              </w:rPr>
              <w:t>月</w:t>
            </w:r>
            <w:r>
              <w:rPr>
                <w:spacing w:val="-27"/>
              </w:rPr>
              <w:t xml:space="preserve"> </w:t>
            </w:r>
            <w:r>
              <w:rPr>
                <w:rFonts w:ascii="Times New Roman" w:hAnsi="Times New Roman" w:eastAsia="Times New Roman" w:cs="Times New Roman"/>
                <w:spacing w:val="-11"/>
              </w:rPr>
              <w:t>1</w:t>
            </w:r>
          </w:p>
          <w:p>
            <w:pPr>
              <w:pStyle w:val="TableText"/>
              <w:ind w:left="543"/>
              <w:spacing w:before="7" w:line="206" w:lineRule="auto"/>
              <w:rPr/>
            </w:pPr>
            <w:r>
              <w:rPr>
                <w:spacing w:val="-10"/>
              </w:rPr>
              <w:t>日起施行）</w:t>
            </w:r>
          </w:p>
        </w:tc>
        <w:tc>
          <w:tcPr>
            <w:tcW w:w="3252" w:type="dxa"/>
            <w:vAlign w:val="top"/>
            <w:tcBorders>
              <w:top w:val="single" w:color="000000" w:sz="10" w:space="0"/>
            </w:tcBorders>
          </w:tcPr>
          <w:p>
            <w:pPr>
              <w:pStyle w:val="TableText"/>
              <w:ind w:left="159"/>
              <w:spacing w:before="33" w:line="221" w:lineRule="auto"/>
              <w:rPr/>
            </w:pPr>
            <w:r>
              <w:rPr>
                <w:spacing w:val="-2"/>
              </w:rPr>
              <w:t>取用地下水的单位和个人，应当</w:t>
            </w:r>
          </w:p>
          <w:p>
            <w:pPr>
              <w:pStyle w:val="TableText"/>
              <w:ind w:left="183"/>
              <w:spacing w:before="22" w:line="221" w:lineRule="auto"/>
              <w:rPr/>
            </w:pPr>
            <w:r>
              <w:rPr>
                <w:spacing w:val="-3"/>
              </w:rPr>
              <w:t>申请领取取水许可证；圈养畜禽</w:t>
            </w:r>
          </w:p>
          <w:p>
            <w:pPr>
              <w:pStyle w:val="TableText"/>
              <w:ind w:left="111"/>
              <w:spacing w:before="20" w:line="234" w:lineRule="auto"/>
              <w:rPr/>
            </w:pPr>
            <w:r>
              <w:rPr>
                <w:spacing w:val="-2"/>
              </w:rPr>
              <w:t>饮用年取水</w:t>
            </w:r>
            <w:r>
              <w:rPr>
                <w:spacing w:val="-32"/>
              </w:rPr>
              <w:t xml:space="preserve"> </w:t>
            </w:r>
            <w:r>
              <w:rPr>
                <w:rFonts w:ascii="Times New Roman" w:hAnsi="Times New Roman" w:eastAsia="Times New Roman" w:cs="Times New Roman"/>
                <w:spacing w:val="-2"/>
              </w:rPr>
              <w:t>1000 </w:t>
            </w:r>
            <w:r>
              <w:rPr>
                <w:spacing w:val="-2"/>
              </w:rPr>
              <w:t>立方米以下的除</w:t>
            </w:r>
          </w:p>
          <w:p>
            <w:pPr>
              <w:pStyle w:val="TableText"/>
              <w:ind w:left="1423"/>
              <w:spacing w:before="7" w:line="206" w:lineRule="auto"/>
              <w:rPr/>
            </w:pPr>
            <w:r>
              <w:rPr>
                <w:spacing w:val="-11"/>
              </w:rPr>
              <w:t>外。</w:t>
            </w:r>
          </w:p>
        </w:tc>
        <w:tc>
          <w:tcPr>
            <w:tcW w:w="2556" w:type="dxa"/>
            <w:vAlign w:val="top"/>
            <w:tcBorders>
              <w:top w:val="single" w:color="000000" w:sz="10" w:space="0"/>
            </w:tcBorders>
          </w:tcPr>
          <w:p>
            <w:pPr>
              <w:pStyle w:val="TableText"/>
              <w:ind w:left="234"/>
              <w:spacing w:before="307" w:line="221" w:lineRule="auto"/>
              <w:rPr/>
            </w:pPr>
            <w:r>
              <w:rPr>
                <w:spacing w:val="-1"/>
              </w:rPr>
              <w:t>企业正在申请取水许可</w:t>
            </w:r>
          </w:p>
          <w:p>
            <w:pPr>
              <w:pStyle w:val="TableText"/>
              <w:ind w:left="1072"/>
              <w:spacing w:before="20" w:line="231" w:lineRule="auto"/>
              <w:rPr/>
            </w:pPr>
            <w:r>
              <w:rPr>
                <w:spacing w:val="-10"/>
              </w:rPr>
              <w:t>证。</w:t>
            </w:r>
          </w:p>
        </w:tc>
        <w:tc>
          <w:tcPr>
            <w:tcW w:w="891" w:type="dxa"/>
            <w:vAlign w:val="top"/>
            <w:tcBorders>
              <w:right w:val="nil"/>
              <w:top w:val="single" w:color="000000" w:sz="10" w:space="0"/>
            </w:tcBorders>
          </w:tcPr>
          <w:p>
            <w:pPr>
              <w:spacing w:line="371" w:lineRule="auto"/>
              <w:rPr>
                <w:rFonts w:ascii="Arial"/>
                <w:sz w:val="21"/>
              </w:rPr>
            </w:pPr>
            <w:r/>
          </w:p>
          <w:p>
            <w:pPr>
              <w:pStyle w:val="TableText"/>
              <w:ind w:left="243"/>
              <w:spacing w:before="68" w:line="221" w:lineRule="auto"/>
              <w:rPr/>
            </w:pPr>
            <w:r>
              <w:rPr>
                <w:spacing w:val="-2"/>
              </w:rPr>
              <w:t>符合</w:t>
            </w:r>
          </w:p>
        </w:tc>
      </w:tr>
      <w:tr>
        <w:trPr>
          <w:trHeight w:val="1636" w:hRule="atLeast"/>
        </w:trPr>
        <w:tc>
          <w:tcPr>
            <w:tcW w:w="2036" w:type="dxa"/>
            <w:vAlign w:val="top"/>
            <w:tcBorders>
              <w:left w:val="nil"/>
            </w:tcBorders>
          </w:tcPr>
          <w:p>
            <w:pPr>
              <w:spacing w:line="370" w:lineRule="auto"/>
              <w:rPr>
                <w:rFonts w:ascii="Arial"/>
                <w:sz w:val="21"/>
              </w:rPr>
            </w:pPr>
            <w:r/>
          </w:p>
          <w:p>
            <w:pPr>
              <w:pStyle w:val="TableText"/>
              <w:ind w:left="171" w:right="139" w:firstLine="41"/>
              <w:spacing w:before="68" w:line="244" w:lineRule="auto"/>
              <w:jc w:val="both"/>
              <w:rPr/>
            </w:pPr>
            <w:r>
              <w:rPr>
                <w:spacing w:val="-4"/>
              </w:rPr>
              <w:t>中华人民共和国固</w:t>
            </w:r>
            <w:r>
              <w:rPr>
                <w:spacing w:val="1"/>
              </w:rPr>
              <w:t>体废物污染环境防</w:t>
            </w:r>
            <w:r>
              <w:rPr>
                <w:spacing w:val="-1"/>
              </w:rPr>
              <w:t>治法（</w:t>
            </w:r>
            <w:r>
              <w:rPr>
                <w:rFonts w:ascii="Times New Roman" w:hAnsi="Times New Roman" w:eastAsia="Times New Roman" w:cs="Times New Roman"/>
                <w:spacing w:val="-1"/>
              </w:rPr>
              <w:t>2020 </w:t>
            </w:r>
            <w:r>
              <w:rPr>
                <w:spacing w:val="-1"/>
              </w:rPr>
              <w:t>年修订</w:t>
            </w:r>
          </w:p>
        </w:tc>
        <w:tc>
          <w:tcPr>
            <w:tcW w:w="3252" w:type="dxa"/>
            <w:vAlign w:val="top"/>
          </w:tcPr>
          <w:p>
            <w:pPr>
              <w:pStyle w:val="TableText"/>
              <w:ind w:left="156"/>
              <w:spacing w:before="30" w:line="221" w:lineRule="auto"/>
              <w:rPr/>
            </w:pPr>
            <w:r>
              <w:rPr>
                <w:spacing w:val="-1"/>
              </w:rPr>
              <w:t>禁止畜禽养殖场、养殖小区利用</w:t>
            </w:r>
          </w:p>
          <w:p>
            <w:pPr>
              <w:pStyle w:val="TableText"/>
              <w:ind w:left="160"/>
              <w:spacing w:before="23" w:line="221" w:lineRule="auto"/>
              <w:rPr/>
            </w:pPr>
            <w:r>
              <w:rPr>
                <w:spacing w:val="-1"/>
              </w:rPr>
              <w:t>未经无害化处理的厨余垃圾饲喂</w:t>
            </w:r>
          </w:p>
          <w:p>
            <w:pPr>
              <w:pStyle w:val="TableText"/>
              <w:ind w:left="169"/>
              <w:spacing w:before="18" w:line="221" w:lineRule="auto"/>
              <w:rPr/>
            </w:pPr>
            <w:r>
              <w:rPr>
                <w:spacing w:val="-2"/>
              </w:rPr>
              <w:t>畜禽；从事畜禽规模养殖应当及</w:t>
            </w:r>
          </w:p>
          <w:p>
            <w:pPr>
              <w:pStyle w:val="TableText"/>
              <w:ind w:left="166"/>
              <w:spacing w:before="22" w:line="221" w:lineRule="auto"/>
              <w:rPr/>
            </w:pPr>
            <w:r>
              <w:rPr>
                <w:spacing w:val="-1"/>
              </w:rPr>
              <w:t>时收集、贮存、利用或者处置养</w:t>
            </w:r>
          </w:p>
          <w:p>
            <w:pPr>
              <w:pStyle w:val="TableText"/>
              <w:ind w:left="157"/>
              <w:spacing w:before="19" w:line="221" w:lineRule="auto"/>
              <w:rPr/>
            </w:pPr>
            <w:r>
              <w:rPr>
                <w:spacing w:val="-1"/>
              </w:rPr>
              <w:t>殖过程中产生的畜禽粪污等固体</w:t>
            </w:r>
          </w:p>
          <w:p>
            <w:pPr>
              <w:pStyle w:val="TableText"/>
              <w:ind w:left="367"/>
              <w:spacing w:before="23" w:line="204" w:lineRule="auto"/>
              <w:rPr/>
            </w:pPr>
            <w:r>
              <w:rPr>
                <w:spacing w:val="-1"/>
              </w:rPr>
              <w:t>废物，避免造成环境污染。</w:t>
            </w:r>
          </w:p>
        </w:tc>
        <w:tc>
          <w:tcPr>
            <w:tcW w:w="2556" w:type="dxa"/>
            <w:vAlign w:val="top"/>
          </w:tcPr>
          <w:p>
            <w:pPr>
              <w:pStyle w:val="TableText"/>
              <w:ind w:left="126"/>
              <w:spacing w:before="304" w:line="220" w:lineRule="auto"/>
              <w:rPr/>
            </w:pPr>
            <w:r>
              <w:rPr>
                <w:spacing w:val="-1"/>
              </w:rPr>
              <w:t>本项目育肥饲料均外购全</w:t>
            </w:r>
          </w:p>
          <w:p>
            <w:pPr>
              <w:pStyle w:val="TableText"/>
              <w:ind w:left="126"/>
              <w:spacing w:before="21" w:line="219" w:lineRule="auto"/>
              <w:rPr/>
            </w:pPr>
            <w:r>
              <w:rPr>
                <w:spacing w:val="-1"/>
              </w:rPr>
              <w:t>价料，不使用厨余垃圾饲</w:t>
            </w:r>
          </w:p>
          <w:p>
            <w:pPr>
              <w:pStyle w:val="TableText"/>
              <w:ind w:left="136"/>
              <w:spacing w:before="23" w:line="221" w:lineRule="auto"/>
              <w:rPr/>
            </w:pPr>
            <w:r>
              <w:rPr>
                <w:spacing w:val="-2"/>
              </w:rPr>
              <w:t>喂，粪便日产日清，避免</w:t>
            </w:r>
          </w:p>
          <w:p>
            <w:pPr>
              <w:pStyle w:val="TableText"/>
              <w:ind w:left="545"/>
              <w:spacing w:before="20" w:line="221" w:lineRule="auto"/>
              <w:rPr/>
            </w:pPr>
            <w:r>
              <w:rPr>
                <w:spacing w:val="-3"/>
              </w:rPr>
              <w:t>造成环境污染。</w:t>
            </w:r>
          </w:p>
        </w:tc>
        <w:tc>
          <w:tcPr>
            <w:tcW w:w="891" w:type="dxa"/>
            <w:vAlign w:val="top"/>
            <w:tcBorders>
              <w:right w:val="nil"/>
            </w:tcBorders>
          </w:tcPr>
          <w:p>
            <w:pPr>
              <w:spacing w:line="320" w:lineRule="auto"/>
              <w:rPr>
                <w:rFonts w:ascii="Arial"/>
                <w:sz w:val="21"/>
              </w:rPr>
            </w:pPr>
            <w:r/>
          </w:p>
          <w:p>
            <w:pPr>
              <w:spacing w:line="320" w:lineRule="auto"/>
              <w:rPr>
                <w:rFonts w:ascii="Arial"/>
                <w:sz w:val="21"/>
              </w:rPr>
            </w:pPr>
            <w:r/>
          </w:p>
          <w:p>
            <w:pPr>
              <w:pStyle w:val="TableText"/>
              <w:ind w:left="243"/>
              <w:spacing w:before="68" w:line="221" w:lineRule="auto"/>
              <w:rPr/>
            </w:pPr>
            <w:r>
              <w:rPr>
                <w:spacing w:val="-2"/>
              </w:rPr>
              <w:t>符合</w:t>
            </w:r>
          </w:p>
        </w:tc>
      </w:tr>
      <w:tr>
        <w:trPr>
          <w:trHeight w:val="4899" w:hRule="atLeast"/>
        </w:trPr>
        <w:tc>
          <w:tcPr>
            <w:tcW w:w="2036" w:type="dxa"/>
            <w:vAlign w:val="top"/>
            <w:tcBorders>
              <w:left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206"/>
              <w:spacing w:before="68" w:line="221" w:lineRule="auto"/>
              <w:rPr/>
            </w:pPr>
            <w:r>
              <w:rPr>
                <w:spacing w:val="-3"/>
              </w:rPr>
              <w:t>畜禽养殖业污染防</w:t>
            </w:r>
          </w:p>
          <w:p>
            <w:pPr>
              <w:pStyle w:val="TableText"/>
              <w:ind w:left="512"/>
              <w:spacing w:before="22" w:line="221" w:lineRule="auto"/>
              <w:rPr/>
            </w:pPr>
            <w:r>
              <w:rPr>
                <w:spacing w:val="-2"/>
              </w:rPr>
              <w:t>治技术规范</w:t>
            </w:r>
          </w:p>
          <w:p>
            <w:pPr>
              <w:pStyle w:val="TableText"/>
              <w:ind w:left="268"/>
              <w:spacing w:before="20" w:line="280" w:lineRule="exact"/>
              <w:rPr/>
            </w:pPr>
            <w:r>
              <w:rPr>
                <w:spacing w:val="-1"/>
                <w:position w:val="1"/>
              </w:rPr>
              <w:t>（</w:t>
            </w:r>
            <w:r>
              <w:rPr>
                <w:rFonts w:ascii="Times New Roman" w:hAnsi="Times New Roman" w:eastAsia="Times New Roman" w:cs="Times New Roman"/>
                <w:spacing w:val="-1"/>
                <w:position w:val="1"/>
              </w:rPr>
              <w:t>HJ/T81-2001</w:t>
            </w:r>
            <w:r>
              <w:rPr>
                <w:spacing w:val="-1"/>
                <w:position w:val="1"/>
              </w:rPr>
              <w:t>）</w:t>
            </w:r>
          </w:p>
        </w:tc>
        <w:tc>
          <w:tcPr>
            <w:tcW w:w="3252"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69"/>
              <w:spacing w:before="68" w:line="221" w:lineRule="auto"/>
              <w:rPr/>
            </w:pPr>
            <w:r>
              <w:rPr>
                <w:spacing w:val="-2"/>
              </w:rPr>
              <w:t>畜禽养殖场产生的畜禽粪便应设</w:t>
            </w:r>
          </w:p>
          <w:p>
            <w:pPr>
              <w:pStyle w:val="TableText"/>
              <w:ind w:left="154"/>
              <w:spacing w:before="22" w:line="221" w:lineRule="auto"/>
              <w:rPr/>
            </w:pPr>
            <w:r>
              <w:rPr>
                <w:spacing w:val="-1"/>
              </w:rPr>
              <w:t>置专门的贮存设施，其恶臭及污</w:t>
            </w:r>
          </w:p>
          <w:p>
            <w:pPr>
              <w:pStyle w:val="TableText"/>
              <w:ind w:left="160"/>
              <w:spacing w:before="19" w:line="221" w:lineRule="auto"/>
              <w:rPr/>
            </w:pPr>
            <w:r>
              <w:rPr>
                <w:spacing w:val="-1"/>
              </w:rPr>
              <w:t>染物排放应符合《畜禽养殖业污</w:t>
            </w:r>
          </w:p>
          <w:p>
            <w:pPr>
              <w:pStyle w:val="TableText"/>
              <w:ind w:left="160"/>
              <w:spacing w:before="22" w:line="221" w:lineRule="auto"/>
              <w:rPr/>
            </w:pPr>
            <w:r>
              <w:rPr>
                <w:spacing w:val="-1"/>
              </w:rPr>
              <w:t>染物排放标准》。贮存设施的位</w:t>
            </w:r>
          </w:p>
          <w:p>
            <w:pPr>
              <w:pStyle w:val="TableText"/>
              <w:ind w:left="121"/>
              <w:spacing w:before="20" w:line="214" w:lineRule="auto"/>
              <w:rPr/>
            </w:pPr>
            <w:r>
              <w:rPr>
                <w:spacing w:val="-1"/>
              </w:rPr>
              <w:t>置必须远离各类功能地表水体</w:t>
            </w:r>
            <w:r>
              <w:rPr>
                <w:rFonts w:ascii="Times New Roman" w:hAnsi="Times New Roman" w:eastAsia="Times New Roman" w:cs="Times New Roman"/>
                <w:spacing w:val="-1"/>
              </w:rPr>
              <w:t>(</w:t>
            </w:r>
            <w:r>
              <w:rPr>
                <w:spacing w:val="-1"/>
              </w:rPr>
              <w:t>距</w:t>
            </w:r>
          </w:p>
          <w:p>
            <w:pPr>
              <w:pStyle w:val="TableText"/>
              <w:ind w:left="114"/>
              <w:spacing w:before="30" w:line="214" w:lineRule="auto"/>
              <w:rPr/>
            </w:pPr>
            <w:r>
              <w:rPr>
                <w:spacing w:val="-6"/>
              </w:rPr>
              <w:t>离不得小于</w:t>
            </w:r>
            <w:r>
              <w:rPr>
                <w:spacing w:val="-49"/>
              </w:rPr>
              <w:t xml:space="preserve"> </w:t>
            </w:r>
            <w:r>
              <w:rPr>
                <w:rFonts w:ascii="Times New Roman" w:hAnsi="Times New Roman" w:eastAsia="Times New Roman" w:cs="Times New Roman"/>
                <w:spacing w:val="-6"/>
              </w:rPr>
              <w:t>400m)</w:t>
            </w:r>
            <w:r>
              <w:rPr>
                <w:spacing w:val="-6"/>
              </w:rPr>
              <w:t>，并应设在养殖</w:t>
            </w:r>
          </w:p>
          <w:p>
            <w:pPr>
              <w:pStyle w:val="TableText"/>
              <w:ind w:left="155"/>
              <w:spacing w:before="27" w:line="221" w:lineRule="auto"/>
              <w:rPr/>
            </w:pPr>
            <w:r>
              <w:rPr>
                <w:spacing w:val="-1"/>
              </w:rPr>
              <w:t>场生产及生活管理区的常年主导</w:t>
            </w:r>
          </w:p>
          <w:p>
            <w:pPr>
              <w:pStyle w:val="TableText"/>
              <w:ind w:left="157"/>
              <w:spacing w:before="22" w:line="221" w:lineRule="auto"/>
              <w:rPr/>
            </w:pPr>
            <w:r>
              <w:rPr>
                <w:spacing w:val="-1"/>
              </w:rPr>
              <w:t>风向的下风向或侧风向处。贮存</w:t>
            </w:r>
          </w:p>
          <w:p>
            <w:pPr>
              <w:pStyle w:val="TableText"/>
              <w:ind w:left="265"/>
              <w:spacing w:before="20" w:line="220" w:lineRule="auto"/>
              <w:rPr/>
            </w:pPr>
            <w:r>
              <w:rPr>
                <w:spacing w:val="-1"/>
              </w:rPr>
              <w:t>设施应采取有效的防渗处理工</w:t>
            </w:r>
          </w:p>
          <w:p>
            <w:pPr>
              <w:pStyle w:val="TableText"/>
              <w:ind w:left="161"/>
              <w:spacing w:before="23" w:line="221" w:lineRule="auto"/>
              <w:rPr/>
            </w:pPr>
            <w:r>
              <w:rPr>
                <w:spacing w:val="-3"/>
              </w:rPr>
              <w:t>艺，防止畜禽粪便污染地下水。</w:t>
            </w:r>
          </w:p>
        </w:tc>
        <w:tc>
          <w:tcPr>
            <w:tcW w:w="2556" w:type="dxa"/>
            <w:vAlign w:val="top"/>
          </w:tcPr>
          <w:p>
            <w:pPr>
              <w:pStyle w:val="TableText"/>
              <w:ind w:left="129"/>
              <w:spacing w:before="34" w:line="220" w:lineRule="auto"/>
              <w:rPr/>
            </w:pPr>
            <w:r>
              <w:rPr>
                <w:spacing w:val="-1"/>
              </w:rPr>
              <w:t>项目区周围无水体，本项</w:t>
            </w:r>
          </w:p>
          <w:p>
            <w:pPr>
              <w:pStyle w:val="TableText"/>
              <w:ind w:left="166"/>
              <w:spacing w:before="23" w:line="221" w:lineRule="auto"/>
              <w:rPr/>
            </w:pPr>
            <w:r>
              <w:rPr>
                <w:spacing w:val="-6"/>
              </w:rPr>
              <w:t>目产臭场所主要为牛舍、</w:t>
            </w:r>
          </w:p>
          <w:p>
            <w:pPr>
              <w:pStyle w:val="TableText"/>
              <w:ind w:left="125"/>
              <w:spacing w:before="20" w:line="220" w:lineRule="auto"/>
              <w:rPr/>
            </w:pPr>
            <w:r>
              <w:rPr>
                <w:spacing w:val="-1"/>
              </w:rPr>
              <w:t>储粪库，牛舍设置风机通</w:t>
            </w:r>
          </w:p>
          <w:p>
            <w:pPr>
              <w:pStyle w:val="TableText"/>
              <w:ind w:left="126"/>
              <w:spacing w:before="23" w:line="221" w:lineRule="auto"/>
              <w:rPr/>
            </w:pPr>
            <w:r>
              <w:rPr>
                <w:spacing w:val="-1"/>
              </w:rPr>
              <w:t>风，及时进行清粪，对产</w:t>
            </w:r>
          </w:p>
          <w:p>
            <w:pPr>
              <w:pStyle w:val="TableText"/>
              <w:ind w:left="125"/>
              <w:spacing w:before="20" w:line="220" w:lineRule="auto"/>
              <w:rPr/>
            </w:pPr>
            <w:r>
              <w:rPr>
                <w:spacing w:val="-3"/>
              </w:rPr>
              <w:t>臭场所定期喷洒除臭剂，</w:t>
            </w:r>
          </w:p>
          <w:p>
            <w:pPr>
              <w:pStyle w:val="TableText"/>
              <w:ind w:left="127"/>
              <w:spacing w:before="23" w:line="221" w:lineRule="auto"/>
              <w:rPr/>
            </w:pPr>
            <w:r>
              <w:rPr>
                <w:spacing w:val="-1"/>
              </w:rPr>
              <w:t>可确保项目恶臭污染物满</w:t>
            </w:r>
          </w:p>
          <w:p>
            <w:pPr>
              <w:pStyle w:val="TableText"/>
              <w:ind w:left="129"/>
              <w:spacing w:before="19" w:line="221" w:lineRule="auto"/>
              <w:rPr/>
            </w:pPr>
            <w:r>
              <w:rPr>
                <w:spacing w:val="-1"/>
              </w:rPr>
              <w:t>足《畜禽养殖业污染物排</w:t>
            </w:r>
          </w:p>
          <w:p>
            <w:pPr>
              <w:pStyle w:val="TableText"/>
              <w:spacing w:before="23" w:line="221" w:lineRule="auto"/>
              <w:jc w:val="right"/>
              <w:rPr/>
            </w:pPr>
            <w:r>
              <w:rPr>
                <w:spacing w:val="-10"/>
              </w:rPr>
              <w:t>放标准》要求，达标排放。</w:t>
            </w:r>
          </w:p>
          <w:p>
            <w:pPr>
              <w:pStyle w:val="TableText"/>
              <w:ind w:left="126"/>
              <w:spacing w:before="19" w:line="220" w:lineRule="auto"/>
              <w:rPr/>
            </w:pPr>
            <w:r>
              <w:rPr>
                <w:spacing w:val="-2"/>
              </w:rPr>
              <w:t>本项目牛舍铺设垫料，牛</w:t>
            </w:r>
          </w:p>
          <w:p>
            <w:pPr>
              <w:pStyle w:val="TableText"/>
              <w:ind w:left="125"/>
              <w:spacing w:before="23" w:line="221" w:lineRule="auto"/>
              <w:rPr/>
            </w:pPr>
            <w:r>
              <w:rPr>
                <w:spacing w:val="-1"/>
              </w:rPr>
              <w:t>尿及牛粪进入垫料，废垫</w:t>
            </w:r>
          </w:p>
          <w:p>
            <w:pPr>
              <w:pStyle w:val="TableText"/>
              <w:ind w:left="125"/>
              <w:spacing w:before="20" w:line="221" w:lineRule="auto"/>
              <w:rPr/>
            </w:pPr>
            <w:r>
              <w:rPr>
                <w:spacing w:val="-1"/>
              </w:rPr>
              <w:t>料暂存于储粪库，最终外</w:t>
            </w:r>
          </w:p>
          <w:p>
            <w:pPr>
              <w:pStyle w:val="TableText"/>
              <w:ind w:left="231"/>
              <w:spacing w:before="22" w:line="220" w:lineRule="auto"/>
              <w:rPr/>
            </w:pPr>
            <w:r>
              <w:rPr>
                <w:spacing w:val="-1"/>
              </w:rPr>
              <w:t>售给相关单位生产有机</w:t>
            </w:r>
          </w:p>
          <w:p>
            <w:pPr>
              <w:pStyle w:val="TableText"/>
              <w:ind w:left="125"/>
              <w:spacing w:before="21" w:line="220" w:lineRule="auto"/>
              <w:rPr/>
            </w:pPr>
            <w:r>
              <w:rPr>
                <w:spacing w:val="-3"/>
              </w:rPr>
              <w:t>肥，储粪库为罩棚结构，</w:t>
            </w:r>
          </w:p>
          <w:p>
            <w:pPr>
              <w:pStyle w:val="TableText"/>
              <w:ind w:left="125"/>
              <w:spacing w:before="23" w:line="221" w:lineRule="auto"/>
              <w:rPr/>
            </w:pPr>
            <w:r>
              <w:rPr>
                <w:spacing w:val="-3"/>
              </w:rPr>
              <w:t>储粪库内进行防渗处理，</w:t>
            </w:r>
          </w:p>
          <w:p>
            <w:pPr>
              <w:pStyle w:val="TableText"/>
              <w:ind w:left="127"/>
              <w:spacing w:before="21" w:line="221" w:lineRule="auto"/>
              <w:rPr/>
            </w:pPr>
            <w:r>
              <w:rPr>
                <w:spacing w:val="-1"/>
              </w:rPr>
              <w:t>可有效的防雨、防渗和防</w:t>
            </w:r>
          </w:p>
          <w:p>
            <w:pPr>
              <w:pStyle w:val="TableText"/>
              <w:ind w:left="127"/>
              <w:spacing w:before="20" w:line="221" w:lineRule="auto"/>
              <w:rPr/>
            </w:pPr>
            <w:r>
              <w:rPr>
                <w:spacing w:val="-1"/>
              </w:rPr>
              <w:t>溢流，病死牛委托相关单</w:t>
            </w:r>
          </w:p>
          <w:p>
            <w:pPr>
              <w:pStyle w:val="TableText"/>
              <w:ind w:left="125"/>
              <w:spacing w:before="22" w:line="221" w:lineRule="auto"/>
              <w:rPr/>
            </w:pPr>
            <w:r>
              <w:rPr/>
              <w:t>位进行无害化处置，防止</w:t>
            </w:r>
          </w:p>
          <w:p>
            <w:pPr>
              <w:pStyle w:val="TableText"/>
              <w:ind w:left="244"/>
              <w:spacing w:before="20" w:line="197" w:lineRule="auto"/>
              <w:rPr/>
            </w:pPr>
            <w:r>
              <w:rPr>
                <w:spacing w:val="-2"/>
              </w:rPr>
              <w:t>畜禽粪污污染地下水。</w:t>
            </w:r>
          </w:p>
        </w:tc>
        <w:tc>
          <w:tcPr>
            <w:tcW w:w="891" w:type="dxa"/>
            <w:vAlign w:val="top"/>
            <w:tcBorders>
              <w:right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243"/>
              <w:spacing w:before="68" w:line="221" w:lineRule="auto"/>
              <w:rPr/>
            </w:pPr>
            <w:r>
              <w:rPr>
                <w:spacing w:val="-2"/>
              </w:rPr>
              <w:t>符合</w:t>
            </w:r>
          </w:p>
        </w:tc>
      </w:tr>
      <w:tr>
        <w:trPr>
          <w:trHeight w:val="2450" w:hRule="atLeast"/>
        </w:trPr>
        <w:tc>
          <w:tcPr>
            <w:tcW w:w="2036" w:type="dxa"/>
            <w:vAlign w:val="top"/>
            <w:tcBorders>
              <w:left w:val="nil"/>
            </w:tcBorders>
          </w:tcPr>
          <w:p>
            <w:pPr>
              <w:spacing w:line="258" w:lineRule="auto"/>
              <w:rPr>
                <w:rFonts w:ascii="Arial"/>
                <w:sz w:val="21"/>
              </w:rPr>
            </w:pPr>
            <w:r/>
          </w:p>
          <w:p>
            <w:pPr>
              <w:spacing w:line="258" w:lineRule="auto"/>
              <w:rPr>
                <w:rFonts w:ascii="Arial"/>
                <w:sz w:val="21"/>
              </w:rPr>
            </w:pPr>
            <w:r/>
          </w:p>
          <w:p>
            <w:pPr>
              <w:pStyle w:val="TableText"/>
              <w:ind w:left="196"/>
              <w:spacing w:before="69" w:line="221" w:lineRule="auto"/>
              <w:rPr/>
            </w:pPr>
            <w:r>
              <w:rPr>
                <w:spacing w:val="-1"/>
              </w:rPr>
              <w:t>关于进一步明确畜</w:t>
            </w:r>
          </w:p>
          <w:p>
            <w:pPr>
              <w:pStyle w:val="TableText"/>
              <w:ind w:left="194"/>
              <w:spacing w:before="22" w:line="221" w:lineRule="auto"/>
              <w:rPr/>
            </w:pPr>
            <w:r>
              <w:rPr>
                <w:spacing w:val="-1"/>
              </w:rPr>
              <w:t>禽粪污还田利用要</w:t>
            </w:r>
          </w:p>
          <w:p>
            <w:pPr>
              <w:pStyle w:val="TableText"/>
              <w:ind w:left="194"/>
              <w:spacing w:before="19" w:line="221" w:lineRule="auto"/>
              <w:rPr/>
            </w:pPr>
            <w:r>
              <w:rPr>
                <w:spacing w:val="-1"/>
              </w:rPr>
              <w:t>求强化养殖污染监</w:t>
            </w:r>
          </w:p>
          <w:p>
            <w:pPr>
              <w:pStyle w:val="TableText"/>
              <w:ind w:left="301"/>
              <w:spacing w:before="19" w:line="221" w:lineRule="auto"/>
              <w:rPr/>
            </w:pPr>
            <w:r>
              <w:rPr>
                <w:spacing w:val="-2"/>
              </w:rPr>
              <w:t>管的通知农办牧</w:t>
            </w:r>
          </w:p>
          <w:p>
            <w:pPr>
              <w:pStyle w:val="TableText"/>
              <w:ind w:left="399"/>
              <w:spacing w:before="22" w:line="236" w:lineRule="auto"/>
              <w:rPr/>
            </w:pPr>
            <w:r>
              <w:rPr>
                <w:spacing w:val="-4"/>
              </w:rPr>
              <w:t>〔</w:t>
            </w:r>
            <w:r>
              <w:rPr>
                <w:rFonts w:ascii="Times New Roman" w:hAnsi="Times New Roman" w:eastAsia="Times New Roman" w:cs="Times New Roman"/>
                <w:spacing w:val="-4"/>
              </w:rPr>
              <w:t>2020</w:t>
            </w:r>
            <w:r>
              <w:rPr>
                <w:spacing w:val="-4"/>
              </w:rPr>
              <w:t>〕</w:t>
            </w:r>
            <w:r>
              <w:rPr>
                <w:rFonts w:ascii="Times New Roman" w:hAnsi="Times New Roman" w:eastAsia="Times New Roman" w:cs="Times New Roman"/>
                <w:spacing w:val="-4"/>
              </w:rPr>
              <w:t>23</w:t>
            </w:r>
            <w:r>
              <w:rPr>
                <w:rFonts w:ascii="Times New Roman" w:hAnsi="Times New Roman" w:eastAsia="Times New Roman" w:cs="Times New Roman"/>
                <w:spacing w:val="17"/>
              </w:rPr>
              <w:t xml:space="preserve"> </w:t>
            </w:r>
            <w:r>
              <w:rPr>
                <w:spacing w:val="-4"/>
              </w:rPr>
              <w:t>号</w:t>
            </w:r>
          </w:p>
        </w:tc>
        <w:tc>
          <w:tcPr>
            <w:tcW w:w="3252" w:type="dxa"/>
            <w:vAlign w:val="top"/>
          </w:tcPr>
          <w:p>
            <w:pPr>
              <w:pStyle w:val="TableText"/>
              <w:ind w:left="158"/>
              <w:spacing w:before="43" w:line="221" w:lineRule="auto"/>
              <w:rPr/>
            </w:pPr>
            <w:r>
              <w:rPr>
                <w:spacing w:val="-1"/>
              </w:rPr>
              <w:t>鼓励畜禽粪污还田利用。国家支</w:t>
            </w:r>
          </w:p>
          <w:p>
            <w:pPr>
              <w:pStyle w:val="TableText"/>
              <w:ind w:left="159"/>
              <w:spacing w:before="22" w:line="221" w:lineRule="auto"/>
              <w:rPr/>
            </w:pPr>
            <w:r>
              <w:rPr>
                <w:spacing w:val="-1"/>
              </w:rPr>
              <w:t>持畜禽养殖场户建设畜禽粪污无</w:t>
            </w:r>
          </w:p>
          <w:p>
            <w:pPr>
              <w:pStyle w:val="TableText"/>
              <w:ind w:left="160"/>
              <w:spacing w:before="20" w:line="221" w:lineRule="auto"/>
              <w:rPr/>
            </w:pPr>
            <w:r>
              <w:rPr>
                <w:spacing w:val="-1"/>
              </w:rPr>
              <w:t>害化处理和资源化利用设施，鼓</w:t>
            </w:r>
          </w:p>
          <w:p>
            <w:pPr>
              <w:pStyle w:val="TableText"/>
              <w:ind w:left="155"/>
              <w:spacing w:before="21" w:line="220" w:lineRule="auto"/>
              <w:rPr/>
            </w:pPr>
            <w:r>
              <w:rPr>
                <w:spacing w:val="-1"/>
              </w:rPr>
              <w:t>励采取粪肥还田、制取沼气、生</w:t>
            </w:r>
          </w:p>
          <w:p>
            <w:pPr>
              <w:pStyle w:val="TableText"/>
              <w:ind w:left="262"/>
              <w:spacing w:before="21" w:line="220" w:lineRule="auto"/>
              <w:rPr/>
            </w:pPr>
            <w:r>
              <w:rPr>
                <w:spacing w:val="-1"/>
              </w:rPr>
              <w:t>产有机肥等方式进行资源化利</w:t>
            </w:r>
          </w:p>
          <w:p>
            <w:pPr>
              <w:pStyle w:val="TableText"/>
              <w:ind w:left="158"/>
              <w:spacing w:before="20" w:line="221" w:lineRule="auto"/>
              <w:rPr/>
            </w:pPr>
            <w:r>
              <w:rPr>
                <w:spacing w:val="-1"/>
              </w:rPr>
              <w:t>用。养殖场户应当切实履行粪污</w:t>
            </w:r>
          </w:p>
          <w:p>
            <w:pPr>
              <w:pStyle w:val="TableText"/>
              <w:ind w:left="157"/>
              <w:spacing w:before="23" w:line="220" w:lineRule="auto"/>
              <w:rPr/>
            </w:pPr>
            <w:r>
              <w:rPr>
                <w:spacing w:val="-1"/>
              </w:rPr>
              <w:t>利用和污染防治主体责任，采取</w:t>
            </w:r>
          </w:p>
          <w:p>
            <w:pPr>
              <w:pStyle w:val="TableText"/>
              <w:ind w:left="156"/>
              <w:spacing w:before="21" w:line="220" w:lineRule="auto"/>
              <w:rPr/>
            </w:pPr>
            <w:r>
              <w:rPr>
                <w:spacing w:val="-1"/>
              </w:rPr>
              <w:t>措施，对畜禽粪污进行科学处理</w:t>
            </w:r>
          </w:p>
          <w:p>
            <w:pPr>
              <w:pStyle w:val="TableText"/>
              <w:ind w:left="157"/>
              <w:spacing w:before="23" w:line="191" w:lineRule="auto"/>
              <w:rPr/>
            </w:pPr>
            <w:r>
              <w:rPr>
                <w:spacing w:val="-2"/>
              </w:rPr>
              <w:t>和资源化利用，防止污染环境。</w:t>
            </w:r>
          </w:p>
        </w:tc>
        <w:tc>
          <w:tcPr>
            <w:tcW w:w="2556" w:type="dxa"/>
            <w:vAlign w:val="top"/>
          </w:tcPr>
          <w:p>
            <w:pPr>
              <w:pStyle w:val="TableText"/>
              <w:ind w:left="126"/>
              <w:spacing w:before="180" w:line="220" w:lineRule="auto"/>
              <w:rPr/>
            </w:pPr>
            <w:r>
              <w:rPr>
                <w:spacing w:val="-2"/>
              </w:rPr>
              <w:t>本项目牛舍铺设垫料，牛</w:t>
            </w:r>
          </w:p>
          <w:p>
            <w:pPr>
              <w:pStyle w:val="TableText"/>
              <w:ind w:left="125"/>
              <w:spacing w:before="20" w:line="221" w:lineRule="auto"/>
              <w:rPr/>
            </w:pPr>
            <w:r>
              <w:rPr>
                <w:spacing w:val="-1"/>
              </w:rPr>
              <w:t>尿及牛粪进入垫料，废垫</w:t>
            </w:r>
          </w:p>
          <w:p>
            <w:pPr>
              <w:pStyle w:val="TableText"/>
              <w:ind w:left="125"/>
              <w:spacing w:before="22" w:line="221" w:lineRule="auto"/>
              <w:rPr/>
            </w:pPr>
            <w:r>
              <w:rPr>
                <w:spacing w:val="-1"/>
              </w:rPr>
              <w:t>料暂存于储粪库，最终外</w:t>
            </w:r>
          </w:p>
          <w:p>
            <w:pPr>
              <w:pStyle w:val="TableText"/>
              <w:ind w:left="231"/>
              <w:spacing w:before="20" w:line="220" w:lineRule="auto"/>
              <w:rPr/>
            </w:pPr>
            <w:r>
              <w:rPr>
                <w:spacing w:val="-1"/>
              </w:rPr>
              <w:t>售给相关单位生产有机</w:t>
            </w:r>
          </w:p>
          <w:p>
            <w:pPr>
              <w:pStyle w:val="TableText"/>
              <w:ind w:left="125"/>
              <w:spacing w:before="23" w:line="220" w:lineRule="auto"/>
              <w:rPr/>
            </w:pPr>
            <w:r>
              <w:rPr>
                <w:spacing w:val="-1"/>
              </w:rPr>
              <w:t>肥，属于粪肥还田的方式</w:t>
            </w:r>
          </w:p>
          <w:p>
            <w:pPr>
              <w:pStyle w:val="TableText"/>
              <w:ind w:left="124"/>
              <w:spacing w:before="20" w:line="221" w:lineRule="auto"/>
              <w:rPr/>
            </w:pPr>
            <w:r>
              <w:rPr>
                <w:spacing w:val="-1"/>
              </w:rPr>
              <w:t>进行资源化利用，对畜禽</w:t>
            </w:r>
          </w:p>
          <w:p>
            <w:pPr>
              <w:pStyle w:val="TableText"/>
              <w:ind w:left="127"/>
              <w:spacing w:before="23" w:line="220" w:lineRule="auto"/>
              <w:rPr/>
            </w:pPr>
            <w:r>
              <w:rPr>
                <w:spacing w:val="-1"/>
              </w:rPr>
              <w:t>粪污进行科学处理和资源</w:t>
            </w:r>
          </w:p>
          <w:p>
            <w:pPr>
              <w:pStyle w:val="TableText"/>
              <w:ind w:left="126"/>
              <w:spacing w:before="21" w:line="221" w:lineRule="auto"/>
              <w:rPr/>
            </w:pPr>
            <w:r>
              <w:rPr>
                <w:spacing w:val="-2"/>
              </w:rPr>
              <w:t>化利用，防止污染环境。</w:t>
            </w:r>
          </w:p>
        </w:tc>
        <w:tc>
          <w:tcPr>
            <w:tcW w:w="891" w:type="dxa"/>
            <w:vAlign w:val="top"/>
            <w:tcBorders>
              <w:right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43"/>
              <w:spacing w:before="68" w:line="221" w:lineRule="auto"/>
              <w:rPr/>
            </w:pPr>
            <w:r>
              <w:rPr>
                <w:spacing w:val="-2"/>
              </w:rPr>
              <w:t>符合</w:t>
            </w:r>
          </w:p>
        </w:tc>
      </w:tr>
      <w:tr>
        <w:trPr>
          <w:trHeight w:val="3021" w:hRule="atLeast"/>
        </w:trPr>
        <w:tc>
          <w:tcPr>
            <w:tcW w:w="2036" w:type="dxa"/>
            <w:vAlign w:val="top"/>
            <w:tcBorders>
              <w:left w:val="nil"/>
              <w:bottom w:val="single" w:color="000000" w:sz="10"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213"/>
              <w:spacing w:before="68" w:line="221" w:lineRule="auto"/>
              <w:rPr/>
            </w:pPr>
            <w:r>
              <w:rPr>
                <w:spacing w:val="-4"/>
              </w:rPr>
              <w:t>国务院办公厅关于</w:t>
            </w:r>
          </w:p>
          <w:p>
            <w:pPr>
              <w:pStyle w:val="TableText"/>
              <w:ind w:left="193"/>
              <w:spacing w:before="20" w:line="220" w:lineRule="auto"/>
              <w:rPr/>
            </w:pPr>
            <w:r>
              <w:rPr>
                <w:spacing w:val="-1"/>
              </w:rPr>
              <w:t>促进畜牧业高质量</w:t>
            </w:r>
          </w:p>
          <w:p>
            <w:pPr>
              <w:pStyle w:val="TableText"/>
              <w:ind w:left="134"/>
              <w:spacing w:before="23" w:line="221" w:lineRule="auto"/>
              <w:rPr/>
            </w:pPr>
            <w:r>
              <w:rPr>
                <w:spacing w:val="-11"/>
              </w:rPr>
              <w:t>发展的意见（国办发</w:t>
            </w:r>
          </w:p>
          <w:p>
            <w:pPr>
              <w:pStyle w:val="TableText"/>
              <w:ind w:left="531"/>
              <w:spacing w:before="19" w:line="241" w:lineRule="auto"/>
              <w:rPr>
                <w:rFonts w:ascii="Times New Roman" w:hAnsi="Times New Roman" w:eastAsia="Times New Roman" w:cs="Times New Roman"/>
              </w:rPr>
            </w:pPr>
            <w:r>
              <w:rPr>
                <w:spacing w:val="-4"/>
              </w:rPr>
              <w:t>〔</w:t>
            </w:r>
            <w:r>
              <w:rPr>
                <w:rFonts w:ascii="Times New Roman" w:hAnsi="Times New Roman" w:eastAsia="Times New Roman" w:cs="Times New Roman"/>
                <w:spacing w:val="-4"/>
              </w:rPr>
              <w:t>2020</w:t>
            </w:r>
            <w:r>
              <w:rPr>
                <w:spacing w:val="-4"/>
              </w:rPr>
              <w:t>〕</w:t>
            </w:r>
            <w:r>
              <w:rPr>
                <w:rFonts w:ascii="Times New Roman" w:hAnsi="Times New Roman" w:eastAsia="Times New Roman" w:cs="Times New Roman"/>
                <w:spacing w:val="-4"/>
              </w:rPr>
              <w:t>31</w:t>
            </w:r>
          </w:p>
          <w:p>
            <w:pPr>
              <w:pStyle w:val="TableText"/>
              <w:ind w:left="826"/>
              <w:spacing w:line="222" w:lineRule="auto"/>
              <w:rPr/>
            </w:pPr>
            <w:r>
              <w:rPr>
                <w:spacing w:val="-7"/>
              </w:rPr>
              <w:t>号）</w:t>
            </w:r>
          </w:p>
        </w:tc>
        <w:tc>
          <w:tcPr>
            <w:tcW w:w="3252" w:type="dxa"/>
            <w:vAlign w:val="top"/>
            <w:tcBorders>
              <w:bottom w:val="single" w:color="000000" w:sz="10" w:space="0"/>
            </w:tcBorders>
          </w:tcPr>
          <w:p>
            <w:pPr>
              <w:pStyle w:val="TableText"/>
              <w:ind w:left="128" w:right="31" w:firstLine="44"/>
              <w:spacing w:before="45" w:line="237" w:lineRule="auto"/>
              <w:rPr/>
            </w:pPr>
            <w:r>
              <w:rPr>
                <w:spacing w:val="-3"/>
              </w:rPr>
              <w:t>因地制宜发展规模化养殖，引导</w:t>
            </w:r>
            <w:r>
              <w:rPr>
                <w:spacing w:val="1"/>
              </w:rPr>
              <w:t>养殖场（户）改造提升基础设施</w:t>
            </w:r>
            <w:r>
              <w:rPr>
                <w:spacing w:val="1"/>
              </w:rPr>
              <w:t>条件，扩大养殖规模，提升标准</w:t>
            </w:r>
            <w:r>
              <w:rPr>
                <w:spacing w:val="1"/>
              </w:rPr>
              <w:t>化养殖水平。加快养殖专业合作</w:t>
            </w:r>
            <w:r>
              <w:rPr>
                <w:spacing w:val="1"/>
              </w:rPr>
              <w:t>社和现代家庭牧场发展，鼓励其</w:t>
            </w:r>
            <w:r>
              <w:rPr>
                <w:spacing w:val="1"/>
              </w:rPr>
              <w:t>以产权、资金、劳动、技术、产</w:t>
            </w:r>
            <w:r>
              <w:rPr>
                <w:spacing w:val="-5"/>
              </w:rPr>
              <w:t>品为纽带，开展合作和联合经营。</w:t>
            </w:r>
            <w:r>
              <w:rPr>
                <w:spacing w:val="1"/>
              </w:rPr>
              <w:t>鼓励畜禽养殖龙头企业发挥引领</w:t>
            </w:r>
            <w:r>
              <w:rPr>
                <w:spacing w:val="-1"/>
              </w:rPr>
              <w:t>带动作用，与养殖专业合作社、</w:t>
            </w:r>
            <w:r>
              <w:rPr>
                <w:spacing w:val="1"/>
              </w:rPr>
              <w:t>家庭牧场紧密合作，通过统一生</w:t>
            </w:r>
            <w:r>
              <w:rPr>
                <w:spacing w:val="1"/>
              </w:rPr>
              <w:t>产、统一服务、统一营销、技术</w:t>
            </w:r>
          </w:p>
        </w:tc>
        <w:tc>
          <w:tcPr>
            <w:tcW w:w="2556" w:type="dxa"/>
            <w:vAlign w:val="top"/>
            <w:tcBorders>
              <w:bottom w:val="single" w:color="000000" w:sz="10" w:space="0"/>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26"/>
              <w:spacing w:before="68" w:line="220" w:lineRule="auto"/>
              <w:rPr/>
            </w:pPr>
            <w:r>
              <w:rPr>
                <w:spacing w:val="-3"/>
              </w:rPr>
              <w:t>本项目为规模化养殖场，</w:t>
            </w:r>
          </w:p>
          <w:p>
            <w:pPr>
              <w:pStyle w:val="TableText"/>
              <w:ind w:left="125"/>
              <w:spacing w:before="20" w:line="221" w:lineRule="auto"/>
              <w:rPr/>
            </w:pPr>
            <w:r>
              <w:rPr>
                <w:spacing w:val="-3"/>
              </w:rPr>
              <w:t>达到了标准化养殖水平，</w:t>
            </w:r>
          </w:p>
          <w:p>
            <w:pPr>
              <w:pStyle w:val="TableText"/>
              <w:ind w:left="127"/>
              <w:spacing w:before="22" w:line="221" w:lineRule="auto"/>
              <w:rPr/>
            </w:pPr>
            <w:r>
              <w:rPr>
                <w:spacing w:val="-1"/>
              </w:rPr>
              <w:t>属于畜禽养殖标准化建设</w:t>
            </w:r>
          </w:p>
          <w:p>
            <w:pPr>
              <w:pStyle w:val="TableText"/>
              <w:ind w:left="969"/>
              <w:spacing w:before="19" w:line="231" w:lineRule="auto"/>
              <w:rPr/>
            </w:pPr>
            <w:r>
              <w:rPr>
                <w:spacing w:val="-9"/>
              </w:rPr>
              <w:t>企业。</w:t>
            </w:r>
          </w:p>
        </w:tc>
        <w:tc>
          <w:tcPr>
            <w:tcW w:w="891" w:type="dxa"/>
            <w:vAlign w:val="top"/>
            <w:tcBorders>
              <w:right w:val="nil"/>
              <w:bottom w:val="single" w:color="000000" w:sz="10"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243"/>
              <w:spacing w:before="69" w:line="221" w:lineRule="auto"/>
              <w:rPr/>
            </w:pPr>
            <w:r>
              <w:rPr>
                <w:spacing w:val="-2"/>
              </w:rPr>
              <w:t>符合</w:t>
            </w:r>
          </w:p>
        </w:tc>
      </w:tr>
    </w:tbl>
    <w:p>
      <w:pPr>
        <w:pStyle w:val="BodyText"/>
        <w:rPr/>
      </w:pPr>
      <w:r>
        <w:pict>
          <v:shape id="_x0000_s38" style="position:absolute;margin-left:6.36601pt;margin-top:16.514pt;mso-position-vertical-relative:text;mso-position-horizontal-relative:text;width:425.7pt;height:0.6pt;z-index:251667456;" filled="false" strokecolor="#808080" strokeweight="0.50pt" coordsize="8514,12" coordorigin="0,0" path="m5,5l8508,6e">
            <v:stroke endcap="round" miterlimit="10"/>
          </v:shape>
        </w:pict>
      </w:r>
      <w:r/>
    </w:p>
    <w:p>
      <w:pPr>
        <w:sectPr>
          <w:headerReference w:type="default" r:id="rId21"/>
          <w:footerReference w:type="default" r:id="rId22"/>
          <w:pgSz w:w="11907" w:h="16839"/>
          <w:pgMar w:top="1422" w:right="1591" w:bottom="1618" w:left="1579" w:header="1033" w:footer="1417" w:gutter="0"/>
        </w:sectPr>
        <w:rPr/>
      </w:pPr>
    </w:p>
    <w:p>
      <w:pPr>
        <w:spacing w:before="37"/>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36"/>
        <w:gridCol w:w="3252"/>
        <w:gridCol w:w="2556"/>
        <w:gridCol w:w="891"/>
      </w:tblGrid>
      <w:tr>
        <w:trPr>
          <w:trHeight w:val="1090" w:hRule="atLeast"/>
        </w:trPr>
        <w:tc>
          <w:tcPr>
            <w:tcW w:w="2036" w:type="dxa"/>
            <w:vAlign w:val="top"/>
            <w:tcBorders>
              <w:top w:val="single" w:color="000000" w:sz="10" w:space="0"/>
              <w:left w:val="nil"/>
            </w:tcBorders>
          </w:tcPr>
          <w:p>
            <w:pPr>
              <w:rPr>
                <w:rFonts w:ascii="Arial"/>
                <w:sz w:val="21"/>
              </w:rPr>
            </w:pPr>
            <w:r/>
          </w:p>
        </w:tc>
        <w:tc>
          <w:tcPr>
            <w:tcW w:w="3252" w:type="dxa"/>
            <w:vAlign w:val="top"/>
            <w:tcBorders>
              <w:top w:val="single" w:color="000000" w:sz="10" w:space="0"/>
            </w:tcBorders>
          </w:tcPr>
          <w:p>
            <w:pPr>
              <w:pStyle w:val="TableText"/>
              <w:ind w:left="155"/>
              <w:spacing w:before="33" w:line="221" w:lineRule="auto"/>
              <w:rPr/>
            </w:pPr>
            <w:r>
              <w:rPr/>
              <w:t>共享、品牌共创等方式，形成稳</w:t>
            </w:r>
          </w:p>
          <w:p>
            <w:pPr>
              <w:pStyle w:val="TableText"/>
              <w:ind w:left="161"/>
              <w:spacing w:before="22" w:line="221" w:lineRule="auto"/>
              <w:rPr/>
            </w:pPr>
            <w:r>
              <w:rPr>
                <w:spacing w:val="-1"/>
              </w:rPr>
              <w:t>定的产业联合体。完善畜禽标准</w:t>
            </w:r>
          </w:p>
          <w:p>
            <w:pPr>
              <w:pStyle w:val="TableText"/>
              <w:ind w:left="157"/>
              <w:spacing w:before="19" w:line="221" w:lineRule="auto"/>
              <w:rPr/>
            </w:pPr>
            <w:r>
              <w:rPr>
                <w:spacing w:val="-1"/>
              </w:rPr>
              <w:t>化饲养管理规程，开展畜禽养殖</w:t>
            </w:r>
          </w:p>
          <w:p>
            <w:pPr>
              <w:pStyle w:val="TableText"/>
              <w:ind w:left="788"/>
              <w:spacing w:before="22" w:line="200" w:lineRule="auto"/>
              <w:rPr/>
            </w:pPr>
            <w:r>
              <w:rPr>
                <w:spacing w:val="-1"/>
              </w:rPr>
              <w:t>标准化示范创建。</w:t>
            </w:r>
          </w:p>
        </w:tc>
        <w:tc>
          <w:tcPr>
            <w:tcW w:w="2556" w:type="dxa"/>
            <w:vAlign w:val="top"/>
            <w:tcBorders>
              <w:top w:val="single" w:color="000000" w:sz="10" w:space="0"/>
            </w:tcBorders>
          </w:tcPr>
          <w:p>
            <w:pPr>
              <w:rPr>
                <w:rFonts w:ascii="Arial"/>
                <w:sz w:val="21"/>
              </w:rPr>
            </w:pPr>
            <w:r/>
          </w:p>
        </w:tc>
        <w:tc>
          <w:tcPr>
            <w:tcW w:w="891" w:type="dxa"/>
            <w:vAlign w:val="top"/>
            <w:tcBorders>
              <w:top w:val="single" w:color="000000" w:sz="10" w:space="0"/>
              <w:right w:val="nil"/>
            </w:tcBorders>
          </w:tcPr>
          <w:p>
            <w:pPr>
              <w:rPr>
                <w:rFonts w:ascii="Arial"/>
                <w:sz w:val="21"/>
              </w:rPr>
            </w:pPr>
            <w:r/>
          </w:p>
        </w:tc>
      </w:tr>
      <w:tr>
        <w:trPr>
          <w:trHeight w:val="2193" w:hRule="atLeast"/>
        </w:trPr>
        <w:tc>
          <w:tcPr>
            <w:tcW w:w="2036" w:type="dxa"/>
            <w:vAlign w:val="top"/>
            <w:tcBorders>
              <w:bottom w:val="single" w:color="000000" w:sz="10" w:space="0"/>
              <w:left w:val="nil"/>
            </w:tcBorders>
          </w:tcPr>
          <w:p>
            <w:pPr>
              <w:spacing w:line="323" w:lineRule="auto"/>
              <w:rPr>
                <w:rFonts w:ascii="Arial"/>
                <w:sz w:val="21"/>
              </w:rPr>
            </w:pPr>
            <w:r/>
          </w:p>
          <w:p>
            <w:pPr>
              <w:spacing w:line="324" w:lineRule="auto"/>
              <w:rPr>
                <w:rFonts w:ascii="Arial"/>
                <w:sz w:val="21"/>
              </w:rPr>
            </w:pPr>
            <w:r/>
          </w:p>
          <w:p>
            <w:pPr>
              <w:pStyle w:val="TableText"/>
              <w:ind w:left="170"/>
              <w:spacing w:before="68" w:line="221" w:lineRule="auto"/>
              <w:rPr/>
            </w:pPr>
            <w:r>
              <w:rPr>
                <w:spacing w:val="-4"/>
              </w:rPr>
              <w:t>内蒙古自治区</w:t>
            </w:r>
            <w:r>
              <w:rPr>
                <w:rFonts w:ascii="Times New Roman" w:hAnsi="Times New Roman" w:eastAsia="Times New Roman" w:cs="Times New Roman"/>
                <w:spacing w:val="-4"/>
              </w:rPr>
              <w:t>“</w:t>
            </w:r>
            <w:r>
              <w:rPr>
                <w:spacing w:val="-4"/>
              </w:rPr>
              <w:t>十四</w:t>
            </w:r>
          </w:p>
          <w:p>
            <w:pPr>
              <w:pStyle w:val="TableText"/>
              <w:ind w:left="148"/>
              <w:spacing w:before="20" w:line="221" w:lineRule="auto"/>
              <w:rPr/>
            </w:pPr>
            <w:r>
              <w:rPr>
                <w:spacing w:val="-1"/>
              </w:rPr>
              <w:t>五</w:t>
            </w:r>
            <w:r>
              <w:rPr>
                <w:rFonts w:ascii="Times New Roman" w:hAnsi="Times New Roman" w:eastAsia="Times New Roman" w:cs="Times New Roman"/>
                <w:spacing w:val="-1"/>
              </w:rPr>
              <w:t>”</w:t>
            </w:r>
            <w:r>
              <w:rPr>
                <w:spacing w:val="-1"/>
              </w:rPr>
              <w:t>生态环境保护规</w:t>
            </w:r>
          </w:p>
          <w:p>
            <w:pPr>
              <w:pStyle w:val="TableText"/>
              <w:ind w:left="926"/>
              <w:spacing w:before="21" w:line="223" w:lineRule="auto"/>
              <w:rPr/>
            </w:pPr>
            <w:r>
              <w:rPr/>
              <w:t>划</w:t>
            </w:r>
          </w:p>
        </w:tc>
        <w:tc>
          <w:tcPr>
            <w:tcW w:w="3252" w:type="dxa"/>
            <w:vAlign w:val="top"/>
            <w:tcBorders>
              <w:bottom w:val="single" w:color="000000" w:sz="10" w:space="0"/>
            </w:tcBorders>
          </w:tcPr>
          <w:p>
            <w:pPr>
              <w:pStyle w:val="TableText"/>
              <w:ind w:left="158"/>
              <w:spacing w:before="37" w:line="221" w:lineRule="auto"/>
              <w:rPr/>
            </w:pPr>
            <w:r>
              <w:rPr>
                <w:spacing w:val="-1"/>
              </w:rPr>
              <w:t>落实生态环境分区管控：全面实</w:t>
            </w:r>
          </w:p>
          <w:p>
            <w:pPr>
              <w:pStyle w:val="TableText"/>
              <w:ind w:left="110"/>
              <w:spacing w:before="22" w:line="213" w:lineRule="auto"/>
              <w:rPr/>
            </w:pPr>
            <w:r>
              <w:rPr>
                <w:spacing w:val="-4"/>
              </w:rPr>
              <w:t>施 </w:t>
            </w:r>
            <w:r>
              <w:rPr>
                <w:rFonts w:ascii="Times New Roman" w:hAnsi="Times New Roman" w:eastAsia="Times New Roman" w:cs="Times New Roman"/>
                <w:spacing w:val="-4"/>
              </w:rPr>
              <w:t>“</w:t>
            </w:r>
            <w:r>
              <w:rPr>
                <w:spacing w:val="-4"/>
              </w:rPr>
              <w:t>三线一单</w:t>
            </w:r>
            <w:r>
              <w:rPr>
                <w:rFonts w:ascii="Times New Roman" w:hAnsi="Times New Roman" w:eastAsia="Times New Roman" w:cs="Times New Roman"/>
                <w:spacing w:val="-4"/>
              </w:rPr>
              <w:t>”(</w:t>
            </w:r>
            <w:r>
              <w:rPr>
                <w:spacing w:val="-4"/>
              </w:rPr>
              <w:t>生态保护红线、环</w:t>
            </w:r>
          </w:p>
          <w:p>
            <w:pPr>
              <w:pStyle w:val="TableText"/>
              <w:ind w:left="157"/>
              <w:spacing w:before="29" w:line="221" w:lineRule="auto"/>
              <w:rPr/>
            </w:pPr>
            <w:r>
              <w:rPr>
                <w:spacing w:val="-1"/>
              </w:rPr>
              <w:t>境质量底线、资源利用上线、生</w:t>
            </w:r>
          </w:p>
          <w:p>
            <w:pPr>
              <w:pStyle w:val="TableText"/>
              <w:ind w:left="123"/>
              <w:spacing w:before="21" w:line="214" w:lineRule="auto"/>
              <w:rPr/>
            </w:pPr>
            <w:r>
              <w:rPr>
                <w:spacing w:val="-1"/>
              </w:rPr>
              <w:t>态环境准入清单</w:t>
            </w:r>
            <w:r>
              <w:rPr>
                <w:rFonts w:ascii="Times New Roman" w:hAnsi="Times New Roman" w:eastAsia="Times New Roman" w:cs="Times New Roman"/>
                <w:spacing w:val="-1"/>
              </w:rPr>
              <w:t>)</w:t>
            </w:r>
            <w:r>
              <w:rPr>
                <w:spacing w:val="-1"/>
              </w:rPr>
              <w:t>生态环境分区管</w:t>
            </w:r>
          </w:p>
          <w:p>
            <w:pPr>
              <w:pStyle w:val="TableText"/>
              <w:ind w:left="155"/>
              <w:spacing w:before="28" w:line="220" w:lineRule="auto"/>
              <w:rPr/>
            </w:pPr>
            <w:r>
              <w:rPr>
                <w:spacing w:val="-1"/>
              </w:rPr>
              <w:t>控意见，建立全区精细化的生态</w:t>
            </w:r>
          </w:p>
          <w:p>
            <w:pPr>
              <w:pStyle w:val="TableText"/>
              <w:ind w:left="156"/>
              <w:spacing w:before="23" w:line="221" w:lineRule="auto"/>
              <w:rPr/>
            </w:pPr>
            <w:r>
              <w:rPr>
                <w:spacing w:val="-1"/>
              </w:rPr>
              <w:t>环境分区管控体系，用环境保护</w:t>
            </w:r>
          </w:p>
          <w:p>
            <w:pPr>
              <w:pStyle w:val="TableText"/>
              <w:ind w:left="158"/>
              <w:spacing w:before="20" w:line="221" w:lineRule="auto"/>
              <w:rPr/>
            </w:pPr>
            <w:r>
              <w:rPr>
                <w:spacing w:val="-1"/>
              </w:rPr>
              <w:t>准入推动经济转型、低碳、绿色</w:t>
            </w:r>
          </w:p>
          <w:p>
            <w:pPr>
              <w:pStyle w:val="TableText"/>
              <w:ind w:left="1316"/>
              <w:spacing w:before="22" w:line="208" w:lineRule="auto"/>
              <w:rPr/>
            </w:pPr>
            <w:r>
              <w:rPr>
                <w:spacing w:val="-9"/>
              </w:rPr>
              <w:t>发展。</w:t>
            </w:r>
          </w:p>
        </w:tc>
        <w:tc>
          <w:tcPr>
            <w:tcW w:w="2556" w:type="dxa"/>
            <w:vAlign w:val="top"/>
            <w:tcBorders>
              <w:bottom w:val="single" w:color="000000" w:sz="10" w:space="0"/>
            </w:tcBorders>
          </w:tcPr>
          <w:p>
            <w:pPr>
              <w:spacing w:line="255" w:lineRule="auto"/>
              <w:rPr>
                <w:rFonts w:ascii="Arial"/>
                <w:sz w:val="21"/>
              </w:rPr>
            </w:pPr>
            <w:r/>
          </w:p>
          <w:p>
            <w:pPr>
              <w:spacing w:line="256" w:lineRule="auto"/>
              <w:rPr>
                <w:rFonts w:ascii="Arial"/>
                <w:sz w:val="21"/>
              </w:rPr>
            </w:pPr>
            <w:r/>
          </w:p>
          <w:p>
            <w:pPr>
              <w:pStyle w:val="TableText"/>
              <w:ind w:left="125" w:right="119" w:firstLine="107"/>
              <w:spacing w:before="68"/>
              <w:jc w:val="both"/>
              <w:rPr/>
            </w:pPr>
            <w:r>
              <w:rPr>
                <w:spacing w:val="-1"/>
              </w:rPr>
              <w:t>本项目符合三线一单要</w:t>
            </w:r>
            <w:r>
              <w:rPr>
                <w:spacing w:val="-1"/>
              </w:rPr>
              <w:t>求，可做到用环境保护准</w:t>
            </w:r>
            <w:r>
              <w:rPr>
                <w:spacing w:val="-3"/>
              </w:rPr>
              <w:t>入推动经济转型、低碳、</w:t>
            </w:r>
          </w:p>
          <w:p>
            <w:pPr>
              <w:pStyle w:val="TableText"/>
              <w:ind w:left="756"/>
              <w:spacing w:line="221" w:lineRule="auto"/>
              <w:rPr/>
            </w:pPr>
            <w:r>
              <w:rPr>
                <w:spacing w:val="-5"/>
              </w:rPr>
              <w:t>绿色发展。</w:t>
            </w:r>
          </w:p>
        </w:tc>
        <w:tc>
          <w:tcPr>
            <w:tcW w:w="891" w:type="dxa"/>
            <w:vAlign w:val="top"/>
            <w:tcBorders>
              <w:bottom w:val="single" w:color="000000" w:sz="10" w:space="0"/>
              <w:right w:val="nil"/>
            </w:tcBorders>
          </w:tcPr>
          <w:p>
            <w:pPr>
              <w:spacing w:line="305" w:lineRule="auto"/>
              <w:rPr>
                <w:rFonts w:ascii="Arial"/>
                <w:sz w:val="21"/>
              </w:rPr>
            </w:pPr>
            <w:r/>
          </w:p>
          <w:p>
            <w:pPr>
              <w:spacing w:line="305" w:lineRule="auto"/>
              <w:rPr>
                <w:rFonts w:ascii="Arial"/>
                <w:sz w:val="21"/>
              </w:rPr>
            </w:pPr>
            <w:r/>
          </w:p>
          <w:p>
            <w:pPr>
              <w:spacing w:line="306" w:lineRule="auto"/>
              <w:rPr>
                <w:rFonts w:ascii="Arial"/>
                <w:sz w:val="21"/>
              </w:rPr>
            </w:pPr>
            <w:r/>
          </w:p>
          <w:p>
            <w:pPr>
              <w:pStyle w:val="TableText"/>
              <w:ind w:left="243"/>
              <w:spacing w:before="68" w:line="221" w:lineRule="auto"/>
              <w:rPr/>
            </w:pPr>
            <w:r>
              <w:rPr>
                <w:spacing w:val="-2"/>
              </w:rPr>
              <w:t>符合</w:t>
            </w:r>
          </w:p>
        </w:tc>
      </w:tr>
    </w:tbl>
    <w:p>
      <w:pPr>
        <w:ind w:left="138"/>
        <w:spacing w:before="296"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1.4.6 </w:t>
      </w:r>
      <w:r>
        <w:rPr>
          <w:rFonts w:ascii="SimSun" w:hAnsi="SimSun" w:eastAsia="SimSun" w:cs="SimSun"/>
          <w:sz w:val="24"/>
          <w:szCs w:val="24"/>
          <w:b/>
          <w:bCs/>
          <w:spacing w:val="-2"/>
        </w:rPr>
        <w:t>项目与“三线一单”符合性分析</w:t>
      </w:r>
    </w:p>
    <w:p>
      <w:pPr>
        <w:pStyle w:val="BodyText"/>
        <w:spacing w:line="340" w:lineRule="auto"/>
        <w:rPr/>
      </w:pPr>
      <w:r/>
    </w:p>
    <w:p>
      <w:pPr>
        <w:ind w:left="131" w:right="106" w:firstLine="479"/>
        <w:spacing w:before="78" w:line="357" w:lineRule="auto"/>
        <w:jc w:val="both"/>
        <w:rPr>
          <w:rFonts w:ascii="SimSun" w:hAnsi="SimSun" w:eastAsia="SimSun" w:cs="SimSun"/>
          <w:sz w:val="24"/>
          <w:szCs w:val="24"/>
        </w:rPr>
      </w:pPr>
      <w:r>
        <w:rPr>
          <w:rFonts w:ascii="SimSun" w:hAnsi="SimSun" w:eastAsia="SimSun" w:cs="SimSun"/>
          <w:sz w:val="24"/>
          <w:szCs w:val="24"/>
          <w:spacing w:val="-1"/>
        </w:rPr>
        <w:t>根据锡署发</w:t>
      </w:r>
      <w:r>
        <w:rPr>
          <w:rFonts w:ascii="Times New Roman" w:hAnsi="Times New Roman" w:eastAsia="Times New Roman" w:cs="Times New Roman"/>
          <w:sz w:val="24"/>
          <w:szCs w:val="24"/>
          <w:spacing w:val="-1"/>
        </w:rPr>
        <w:t>[2021]117</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号《锡林郭勒盟行政公署关于实施“三线一单”生态环</w:t>
      </w:r>
      <w:r>
        <w:rPr>
          <w:rFonts w:ascii="SimSun" w:hAnsi="SimSun" w:eastAsia="SimSun" w:cs="SimSun"/>
          <w:sz w:val="24"/>
          <w:szCs w:val="24"/>
          <w:spacing w:val="-1"/>
        </w:rPr>
        <w:t>境分区管控的意见》及锡环委办发</w:t>
      </w:r>
      <w:r>
        <w:rPr>
          <w:rFonts w:ascii="Times New Roman" w:hAnsi="Times New Roman" w:eastAsia="Times New Roman" w:cs="Times New Roman"/>
          <w:sz w:val="24"/>
          <w:szCs w:val="24"/>
          <w:spacing w:val="-1"/>
        </w:rPr>
        <w:t>[2024]1</w:t>
      </w:r>
      <w:r>
        <w:rPr>
          <w:rFonts w:ascii="Times New Roman" w:hAnsi="Times New Roman" w:eastAsia="Times New Roman" w:cs="Times New Roman"/>
          <w:sz w:val="24"/>
          <w:szCs w:val="24"/>
          <w:spacing w:val="32"/>
          <w:w w:val="101"/>
        </w:rPr>
        <w:t xml:space="preserve"> </w:t>
      </w:r>
      <w:r>
        <w:rPr>
          <w:rFonts w:ascii="SimSun" w:hAnsi="SimSun" w:eastAsia="SimSun" w:cs="SimSun"/>
          <w:sz w:val="24"/>
          <w:szCs w:val="24"/>
          <w:spacing w:val="-1"/>
        </w:rPr>
        <w:t>号《锡林郭勒盟生态环境保护委员会办</w:t>
      </w:r>
      <w:r>
        <w:rPr>
          <w:rFonts w:ascii="SimSun" w:hAnsi="SimSun" w:eastAsia="SimSun" w:cs="SimSun"/>
          <w:sz w:val="24"/>
          <w:szCs w:val="24"/>
          <w:spacing w:val="2"/>
        </w:rPr>
        <w:t>公室关于印发锡林郭勒盟“三线一单”生态环境分区管控意见修改单和锡林郭勒</w:t>
      </w:r>
      <w:r>
        <w:rPr>
          <w:rFonts w:ascii="SimSun" w:hAnsi="SimSun" w:eastAsia="SimSun" w:cs="SimSun"/>
          <w:sz w:val="24"/>
          <w:szCs w:val="24"/>
          <w:spacing w:val="-5"/>
        </w:rPr>
        <w:t>盟生态环境准入清单的通知》（</w:t>
      </w:r>
      <w:r>
        <w:rPr>
          <w:rFonts w:ascii="Times New Roman" w:hAnsi="Times New Roman" w:eastAsia="Times New Roman" w:cs="Times New Roman"/>
          <w:sz w:val="24"/>
          <w:szCs w:val="24"/>
          <w:spacing w:val="-5"/>
        </w:rPr>
        <w:t>2024 </w:t>
      </w:r>
      <w:r>
        <w:rPr>
          <w:rFonts w:ascii="SimSun" w:hAnsi="SimSun" w:eastAsia="SimSun" w:cs="SimSun"/>
          <w:sz w:val="24"/>
          <w:szCs w:val="24"/>
          <w:spacing w:val="-5"/>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5"/>
        </w:rPr>
        <w:t>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31  </w:t>
      </w:r>
      <w:r>
        <w:rPr>
          <w:rFonts w:ascii="SimSun" w:hAnsi="SimSun" w:eastAsia="SimSun" w:cs="SimSun"/>
          <w:sz w:val="24"/>
          <w:szCs w:val="24"/>
          <w:spacing w:val="-5"/>
        </w:rPr>
        <w:t>日</w:t>
      </w:r>
      <w:r>
        <w:rPr>
          <w:rFonts w:ascii="SimSun" w:hAnsi="SimSun" w:eastAsia="SimSun" w:cs="SimSun"/>
          <w:sz w:val="24"/>
          <w:szCs w:val="24"/>
          <w:spacing w:val="-17"/>
        </w:rPr>
        <w:t>），</w:t>
      </w:r>
      <w:r>
        <w:rPr>
          <w:rFonts w:ascii="SimSun" w:hAnsi="SimSun" w:eastAsia="SimSun" w:cs="SimSun"/>
          <w:sz w:val="24"/>
          <w:szCs w:val="24"/>
          <w:spacing w:val="-5"/>
        </w:rPr>
        <w:t>本项目与“三线一单</w:t>
      </w:r>
      <w:r>
        <w:rPr>
          <w:rFonts w:ascii="SimSun" w:hAnsi="SimSun" w:eastAsia="SimSun" w:cs="SimSun"/>
          <w:sz w:val="24"/>
          <w:szCs w:val="24"/>
          <w:spacing w:val="-88"/>
        </w:rPr>
        <w:t xml:space="preserve"> </w:t>
      </w:r>
      <w:r>
        <w:rPr>
          <w:rFonts w:ascii="SimSun" w:hAnsi="SimSun" w:eastAsia="SimSun" w:cs="SimSun"/>
          <w:sz w:val="24"/>
          <w:szCs w:val="24"/>
          <w:spacing w:val="-5"/>
        </w:rPr>
        <w:t>”符合</w:t>
      </w:r>
      <w:r>
        <w:rPr>
          <w:rFonts w:ascii="SimSun" w:hAnsi="SimSun" w:eastAsia="SimSun" w:cs="SimSun"/>
          <w:sz w:val="24"/>
          <w:szCs w:val="24"/>
          <w:spacing w:val="-9"/>
        </w:rPr>
        <w:t>性分析如下：</w:t>
      </w:r>
    </w:p>
    <w:p>
      <w:pPr>
        <w:ind w:left="618"/>
        <w:spacing w:before="13"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）环境管控单元</w:t>
      </w:r>
    </w:p>
    <w:p>
      <w:pPr>
        <w:ind w:left="131" w:right="108" w:firstLine="480"/>
        <w:spacing w:before="166" w:line="359" w:lineRule="auto"/>
        <w:rPr>
          <w:rFonts w:ascii="SimSun" w:hAnsi="SimSun" w:eastAsia="SimSun" w:cs="SimSun"/>
          <w:sz w:val="24"/>
          <w:szCs w:val="24"/>
        </w:rPr>
      </w:pPr>
      <w:r>
        <w:rPr>
          <w:rFonts w:ascii="SimSun" w:hAnsi="SimSun" w:eastAsia="SimSun" w:cs="SimSun"/>
          <w:sz w:val="24"/>
          <w:szCs w:val="24"/>
          <w:spacing w:val="3"/>
        </w:rPr>
        <w:t>本项目位于锡林郭勒盟锡林浩特市额尔顿街道办事处新兴社区</w:t>
      </w:r>
      <w:r>
        <w:rPr>
          <w:rFonts w:ascii="SimSun" w:hAnsi="SimSun" w:eastAsia="SimSun" w:cs="SimSun"/>
          <w:sz w:val="24"/>
          <w:szCs w:val="24"/>
          <w:spacing w:val="2"/>
        </w:rPr>
        <w:t>沃源奶牛场，</w:t>
      </w:r>
      <w:r>
        <w:rPr>
          <w:rFonts w:ascii="SimSun" w:hAnsi="SimSun" w:eastAsia="SimSun" w:cs="SimSun"/>
          <w:sz w:val="24"/>
          <w:szCs w:val="24"/>
          <w:spacing w:val="-1"/>
        </w:rPr>
        <w:t>根据“三线一单</w:t>
      </w:r>
      <w:r>
        <w:rPr>
          <w:rFonts w:ascii="SimSun" w:hAnsi="SimSun" w:eastAsia="SimSun" w:cs="SimSun"/>
          <w:sz w:val="24"/>
          <w:szCs w:val="24"/>
          <w:spacing w:val="-70"/>
        </w:rPr>
        <w:t xml:space="preserve"> </w:t>
      </w:r>
      <w:r>
        <w:rPr>
          <w:rFonts w:ascii="SimSun" w:hAnsi="SimSun" w:eastAsia="SimSun" w:cs="SimSun"/>
          <w:sz w:val="24"/>
          <w:szCs w:val="24"/>
          <w:spacing w:val="-1"/>
        </w:rPr>
        <w:t>”划定成果，所处管控单元为锡林浩特市一般生态空间</w:t>
      </w:r>
      <w:r>
        <w:rPr>
          <w:rFonts w:ascii="Times New Roman" w:hAnsi="Times New Roman" w:eastAsia="Times New Roman" w:cs="Times New Roman"/>
          <w:sz w:val="24"/>
          <w:szCs w:val="24"/>
          <w:spacing w:val="-1"/>
        </w:rPr>
        <w:t>-</w:t>
      </w:r>
      <w:r>
        <w:rPr>
          <w:rFonts w:ascii="SimSun" w:hAnsi="SimSun" w:eastAsia="SimSun" w:cs="SimSun"/>
          <w:sz w:val="24"/>
          <w:szCs w:val="24"/>
          <w:spacing w:val="-1"/>
        </w:rPr>
        <w:t>防风固沙</w:t>
      </w:r>
      <w:r>
        <w:rPr>
          <w:rFonts w:ascii="SimSun" w:hAnsi="SimSun" w:eastAsia="SimSun" w:cs="SimSun"/>
          <w:sz w:val="24"/>
          <w:szCs w:val="24"/>
        </w:rPr>
        <w:t>生态功能重要区，环境管控单元编码：</w:t>
      </w:r>
      <w:r>
        <w:rPr>
          <w:rFonts w:ascii="Times New Roman" w:hAnsi="Times New Roman" w:eastAsia="Times New Roman" w:cs="Times New Roman"/>
          <w:sz w:val="24"/>
          <w:szCs w:val="24"/>
        </w:rPr>
        <w:t>ZH15250210010</w:t>
      </w:r>
      <w:r>
        <w:rPr>
          <w:rFonts w:ascii="SimSun" w:hAnsi="SimSun" w:eastAsia="SimSun" w:cs="SimSun"/>
          <w:sz w:val="24"/>
          <w:szCs w:val="24"/>
          <w:spacing w:val="-1"/>
        </w:rPr>
        <w:t>，属于优先保护单元。</w:t>
      </w:r>
    </w:p>
    <w:p>
      <w:pPr>
        <w:ind w:left="132" w:right="22" w:firstLine="478"/>
        <w:spacing w:before="3" w:line="358" w:lineRule="auto"/>
        <w:jc w:val="both"/>
        <w:rPr>
          <w:rFonts w:ascii="SimSun" w:hAnsi="SimSun" w:eastAsia="SimSun" w:cs="SimSun"/>
          <w:sz w:val="24"/>
          <w:szCs w:val="24"/>
        </w:rPr>
      </w:pPr>
      <w:r>
        <w:rPr>
          <w:rFonts w:ascii="SimSun" w:hAnsi="SimSun" w:eastAsia="SimSun" w:cs="SimSun"/>
          <w:sz w:val="24"/>
          <w:szCs w:val="24"/>
          <w:spacing w:val="-1"/>
        </w:rPr>
        <w:t>根据锡署发</w:t>
      </w:r>
      <w:r>
        <w:rPr>
          <w:rFonts w:ascii="Times New Roman" w:hAnsi="Times New Roman" w:eastAsia="Times New Roman" w:cs="Times New Roman"/>
          <w:sz w:val="24"/>
          <w:szCs w:val="24"/>
          <w:spacing w:val="-1"/>
        </w:rPr>
        <w:t>[2021]117</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号《锡林郭勒盟行政公署关于实施“三线一单”生态环</w:t>
      </w:r>
      <w:r>
        <w:rPr>
          <w:rFonts w:ascii="SimSun" w:hAnsi="SimSun" w:eastAsia="SimSun" w:cs="SimSun"/>
          <w:sz w:val="24"/>
          <w:szCs w:val="24"/>
          <w:spacing w:val="-5"/>
        </w:rPr>
        <w:t>境分区管控的意见》可知， 优先保护单元坚持绿色发展，依法禁止或限制大规模、</w:t>
      </w:r>
      <w:r>
        <w:rPr>
          <w:rFonts w:ascii="SimSun" w:hAnsi="SimSun" w:eastAsia="SimSun" w:cs="SimSun"/>
          <w:sz w:val="24"/>
          <w:szCs w:val="24"/>
          <w:spacing w:val="-2"/>
        </w:rPr>
        <w:t>高强度的开发建设活动，在功能受损的优先保护单元优先开展生态保护修复活动，</w:t>
      </w:r>
      <w:r>
        <w:rPr>
          <w:rFonts w:ascii="SimSun" w:hAnsi="SimSun" w:eastAsia="SimSun" w:cs="SimSun"/>
          <w:sz w:val="24"/>
          <w:szCs w:val="24"/>
          <w:spacing w:val="-4"/>
        </w:rPr>
        <w:t>恢复生态系统服务功能。</w:t>
      </w:r>
    </w:p>
    <w:p>
      <w:pPr>
        <w:ind w:left="618"/>
        <w:spacing w:before="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）生态保护红线</w:t>
      </w:r>
    </w:p>
    <w:p>
      <w:pPr>
        <w:ind w:left="130" w:right="39" w:firstLine="480"/>
        <w:spacing w:before="163" w:line="356" w:lineRule="auto"/>
        <w:rPr>
          <w:rFonts w:ascii="SimSun" w:hAnsi="SimSun" w:eastAsia="SimSun" w:cs="SimSun"/>
          <w:sz w:val="24"/>
          <w:szCs w:val="24"/>
        </w:rPr>
      </w:pPr>
      <w:r>
        <w:rPr>
          <w:rFonts w:ascii="SimSun" w:hAnsi="SimSun" w:eastAsia="SimSun" w:cs="SimSun"/>
          <w:sz w:val="24"/>
          <w:szCs w:val="24"/>
          <w:spacing w:val="3"/>
        </w:rPr>
        <w:t>根据《锡林郭勒盟生态环境保护委员会办公室</w:t>
      </w:r>
      <w:r>
        <w:rPr>
          <w:rFonts w:ascii="SimSun" w:hAnsi="SimSun" w:eastAsia="SimSun" w:cs="SimSun"/>
          <w:sz w:val="24"/>
          <w:szCs w:val="24"/>
          <w:spacing w:val="2"/>
        </w:rPr>
        <w:t>关于印发锡林郭勒盟“三线一</w:t>
      </w:r>
      <w:r>
        <w:rPr>
          <w:rFonts w:ascii="SimSun" w:hAnsi="SimSun" w:eastAsia="SimSun" w:cs="SimSun"/>
          <w:sz w:val="24"/>
          <w:szCs w:val="24"/>
          <w:spacing w:val="-2"/>
        </w:rPr>
        <w:t>单”生态环境分区管控意见修改单和锡林郭勒盟生态环境准入清单的通知</w:t>
      </w:r>
      <w:r>
        <w:rPr>
          <w:rFonts w:ascii="SimSun" w:hAnsi="SimSun" w:eastAsia="SimSun" w:cs="SimSun"/>
          <w:sz w:val="24"/>
          <w:szCs w:val="24"/>
          <w:spacing w:val="-3"/>
        </w:rPr>
        <w:t>》可知，</w:t>
      </w:r>
      <w:r>
        <w:rPr>
          <w:rFonts w:ascii="SimSun" w:hAnsi="SimSun" w:eastAsia="SimSun" w:cs="SimSun"/>
          <w:sz w:val="24"/>
          <w:szCs w:val="24"/>
          <w:spacing w:val="-1"/>
        </w:rPr>
        <w:t>锡林郭勒盟生态保护红线划定面积为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130034.46km</w:t>
      </w:r>
      <w:r>
        <w:rPr>
          <w:rFonts w:ascii="Times New Roman" w:hAnsi="Times New Roman" w:eastAsia="Times New Roman" w:cs="Times New Roman"/>
          <w:sz w:val="16"/>
          <w:szCs w:val="16"/>
          <w:spacing w:val="-1"/>
          <w:position w:val="10"/>
        </w:rPr>
        <w:t>2</w:t>
      </w:r>
      <w:r>
        <w:rPr>
          <w:rFonts w:ascii="SimSun" w:hAnsi="SimSun" w:eastAsia="SimSun" w:cs="SimSun"/>
          <w:sz w:val="24"/>
          <w:szCs w:val="24"/>
          <w:spacing w:val="-1"/>
        </w:rPr>
        <w:t>，占全盟国土面积的</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64</w:t>
      </w:r>
      <w:r>
        <w:rPr>
          <w:rFonts w:ascii="Times New Roman" w:hAnsi="Times New Roman" w:eastAsia="Times New Roman" w:cs="Times New Roman"/>
          <w:sz w:val="24"/>
          <w:szCs w:val="24"/>
          <w:spacing w:val="-2"/>
        </w:rPr>
        <w:t>.17%</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w:t>
      </w:r>
      <w:r>
        <w:rPr>
          <w:rFonts w:ascii="SimSun" w:hAnsi="SimSun" w:eastAsia="SimSun" w:cs="SimSun"/>
          <w:sz w:val="24"/>
          <w:szCs w:val="24"/>
          <w:spacing w:val="-1"/>
        </w:rPr>
        <w:t>一般生态空间面积</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25142.87km</w:t>
      </w:r>
      <w:r>
        <w:rPr>
          <w:rFonts w:ascii="Times New Roman" w:hAnsi="Times New Roman" w:eastAsia="Times New Roman" w:cs="Times New Roman"/>
          <w:sz w:val="16"/>
          <w:szCs w:val="16"/>
          <w:spacing w:val="-1"/>
          <w:position w:val="10"/>
        </w:rPr>
        <w:t>2</w:t>
      </w:r>
      <w:r>
        <w:rPr>
          <w:rFonts w:ascii="SimSun" w:hAnsi="SimSun" w:eastAsia="SimSun" w:cs="SimSun"/>
          <w:sz w:val="24"/>
          <w:szCs w:val="24"/>
          <w:spacing w:val="-1"/>
        </w:rPr>
        <w:t>，占全盟国土面积</w:t>
      </w:r>
      <w:r>
        <w:rPr>
          <w:rFonts w:ascii="SimSun" w:hAnsi="SimSun" w:eastAsia="SimSun" w:cs="SimSun"/>
          <w:sz w:val="24"/>
          <w:szCs w:val="24"/>
          <w:spacing w:val="-2"/>
        </w:rPr>
        <w:t>的</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12.41%</w:t>
      </w:r>
      <w:r>
        <w:rPr>
          <w:rFonts w:ascii="SimSun" w:hAnsi="SimSun" w:eastAsia="SimSun" w:cs="SimSun"/>
          <w:sz w:val="24"/>
          <w:szCs w:val="24"/>
          <w:spacing w:val="-2"/>
        </w:rPr>
        <w:t>。</w:t>
      </w:r>
    </w:p>
    <w:p>
      <w:pPr>
        <w:ind w:left="612"/>
        <w:spacing w:before="1" w:line="218" w:lineRule="auto"/>
        <w:rPr>
          <w:rFonts w:ascii="SimSun" w:hAnsi="SimSun" w:eastAsia="SimSun" w:cs="SimSun"/>
          <w:sz w:val="24"/>
          <w:szCs w:val="24"/>
        </w:rPr>
      </w:pPr>
      <w:r>
        <w:pict>
          <v:shape id="_x0000_s40" style="position:absolute;margin-left:6.36601pt;margin-top:37.0699pt;mso-position-vertical-relative:text;mso-position-horizontal-relative:text;width:425.7pt;height:0.6pt;z-index:251668480;" filled="false" strokecolor="#808080" strokeweight="0.50pt" coordsize="8514,12" coordorigin="0,0" path="m5,5l8508,6e">
            <v:stroke endcap="round" miterlimit="10"/>
          </v:shape>
        </w:pict>
      </w:r>
      <w:r>
        <w:rPr>
          <w:rFonts w:ascii="SimSun" w:hAnsi="SimSun" w:eastAsia="SimSun" w:cs="SimSun"/>
          <w:sz w:val="24"/>
          <w:szCs w:val="24"/>
          <w:spacing w:val="3"/>
        </w:rPr>
        <w:t>本项目位于锡林郭勒盟锡林浩特市额尔顿街道</w:t>
      </w:r>
      <w:r>
        <w:rPr>
          <w:rFonts w:ascii="SimSun" w:hAnsi="SimSun" w:eastAsia="SimSun" w:cs="SimSun"/>
          <w:sz w:val="24"/>
          <w:szCs w:val="24"/>
          <w:spacing w:val="2"/>
        </w:rPr>
        <w:t>办事处新兴社区沃源奶牛场，</w:t>
      </w:r>
    </w:p>
    <w:p>
      <w:pPr>
        <w:spacing w:line="218" w:lineRule="auto"/>
        <w:sectPr>
          <w:footerReference w:type="default" r:id="rId23"/>
          <w:pgSz w:w="11907" w:h="16839"/>
          <w:pgMar w:top="1422" w:right="1591" w:bottom="1618" w:left="1579" w:header="1033" w:footer="1415" w:gutter="0"/>
        </w:sectPr>
        <w:rPr>
          <w:rFonts w:ascii="SimSun" w:hAnsi="SimSun" w:eastAsia="SimSun" w:cs="SimSun"/>
          <w:sz w:val="24"/>
          <w:szCs w:val="24"/>
        </w:rPr>
      </w:pPr>
    </w:p>
    <w:p>
      <w:pPr>
        <w:ind w:left="40"/>
        <w:spacing w:before="313" w:line="220" w:lineRule="auto"/>
        <w:rPr>
          <w:rFonts w:ascii="SimSun" w:hAnsi="SimSun" w:eastAsia="SimSun" w:cs="SimSun"/>
          <w:sz w:val="24"/>
          <w:szCs w:val="24"/>
        </w:rPr>
      </w:pPr>
      <w:r>
        <w:rPr>
          <w:rFonts w:ascii="SimSun" w:hAnsi="SimSun" w:eastAsia="SimSun" w:cs="SimSun"/>
          <w:sz w:val="24"/>
          <w:szCs w:val="24"/>
          <w:spacing w:val="-2"/>
        </w:rPr>
        <w:t>属于一般生态空间，项目建设不涉及划定的生态保护红线区域。</w:t>
      </w:r>
    </w:p>
    <w:p>
      <w:pPr>
        <w:ind w:left="524"/>
        <w:spacing w:before="179"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）环境质量底线</w:t>
      </w:r>
    </w:p>
    <w:p>
      <w:pPr>
        <w:ind w:left="517"/>
        <w:spacing w:before="164" w:line="217" w:lineRule="auto"/>
        <w:rPr>
          <w:rFonts w:ascii="SimSun" w:hAnsi="SimSun" w:eastAsia="SimSun" w:cs="SimSun"/>
          <w:sz w:val="24"/>
          <w:szCs w:val="24"/>
        </w:rPr>
      </w:pPr>
      <w:r>
        <w:rPr>
          <w:rFonts w:ascii="SimSun" w:hAnsi="SimSun" w:eastAsia="SimSun" w:cs="SimSun"/>
          <w:sz w:val="24"/>
          <w:szCs w:val="24"/>
          <w:spacing w:val="-1"/>
        </w:rPr>
        <w:t>①环境空气质量底线</w:t>
      </w:r>
    </w:p>
    <w:p>
      <w:pPr>
        <w:ind w:left="39" w:firstLine="478"/>
        <w:spacing w:before="184" w:line="359" w:lineRule="auto"/>
        <w:jc w:val="both"/>
        <w:rPr>
          <w:rFonts w:ascii="SimSun" w:hAnsi="SimSun" w:eastAsia="SimSun" w:cs="SimSun"/>
          <w:sz w:val="24"/>
          <w:szCs w:val="24"/>
        </w:rPr>
      </w:pPr>
      <w:r>
        <w:rPr>
          <w:rFonts w:ascii="SimSun" w:hAnsi="SimSun" w:eastAsia="SimSun" w:cs="SimSun"/>
          <w:sz w:val="24"/>
          <w:szCs w:val="24"/>
          <w:spacing w:val="3"/>
        </w:rPr>
        <w:t>根据《锡林郭勒盟生态环境保护委员会办公室</w:t>
      </w:r>
      <w:r>
        <w:rPr>
          <w:rFonts w:ascii="SimSun" w:hAnsi="SimSun" w:eastAsia="SimSun" w:cs="SimSun"/>
          <w:sz w:val="24"/>
          <w:szCs w:val="24"/>
          <w:spacing w:val="2"/>
        </w:rPr>
        <w:t>关于印发锡林郭勒盟“三线一</w:t>
      </w:r>
      <w:r>
        <w:rPr>
          <w:rFonts w:ascii="SimSun" w:hAnsi="SimSun" w:eastAsia="SimSun" w:cs="SimSun"/>
          <w:sz w:val="24"/>
          <w:szCs w:val="24"/>
          <w:spacing w:val="-2"/>
        </w:rPr>
        <w:t>单”生态环境分区管控意见修改单和锡林郭勒盟生态环境准入清单的</w:t>
      </w:r>
      <w:r>
        <w:rPr>
          <w:rFonts w:ascii="SimSun" w:hAnsi="SimSun" w:eastAsia="SimSun" w:cs="SimSun"/>
          <w:sz w:val="24"/>
          <w:szCs w:val="24"/>
          <w:spacing w:val="-3"/>
        </w:rPr>
        <w:t>通知》可知，</w:t>
      </w:r>
      <w:r>
        <w:rPr>
          <w:rFonts w:ascii="SimSun" w:hAnsi="SimSun" w:eastAsia="SimSun" w:cs="SimSun"/>
          <w:sz w:val="24"/>
          <w:szCs w:val="24"/>
          <w:spacing w:val="5"/>
        </w:rPr>
        <w:t>提出锡林郭勒盟环境质量底线目标：</w:t>
      </w:r>
      <w:r>
        <w:rPr>
          <w:rFonts w:ascii="Times New Roman" w:hAnsi="Times New Roman" w:eastAsia="Times New Roman" w:cs="Times New Roman"/>
          <w:sz w:val="24"/>
          <w:szCs w:val="24"/>
          <w:spacing w:val="5"/>
        </w:rPr>
        <w:t>2025  </w:t>
      </w:r>
      <w:r>
        <w:rPr>
          <w:rFonts w:ascii="SimSun" w:hAnsi="SimSun" w:eastAsia="SimSun" w:cs="SimSun"/>
          <w:sz w:val="24"/>
          <w:szCs w:val="24"/>
          <w:spacing w:val="5"/>
        </w:rPr>
        <w:t>年</w:t>
      </w:r>
      <w:r>
        <w:rPr>
          <w:rFonts w:ascii="SimSun" w:hAnsi="SimSun" w:eastAsia="SimSun" w:cs="SimSun"/>
          <w:sz w:val="24"/>
          <w:szCs w:val="24"/>
          <w:spacing w:val="4"/>
        </w:rPr>
        <w:t>锡林郭勒盟 </w:t>
      </w:r>
      <w:r>
        <w:rPr>
          <w:rFonts w:ascii="Times New Roman" w:hAnsi="Times New Roman" w:eastAsia="Times New Roman" w:cs="Times New Roman"/>
          <w:sz w:val="24"/>
          <w:szCs w:val="24"/>
        </w:rPr>
        <w:t>PM</w:t>
      </w:r>
      <w:r>
        <w:rPr>
          <w:rFonts w:ascii="Times New Roman" w:hAnsi="Times New Roman" w:eastAsia="Times New Roman" w:cs="Times New Roman"/>
          <w:sz w:val="16"/>
          <w:szCs w:val="16"/>
          <w:spacing w:val="4"/>
          <w:position w:val="-3"/>
        </w:rPr>
        <w:t>2.5  </w:t>
      </w:r>
      <w:r>
        <w:rPr>
          <w:rFonts w:ascii="SimSun" w:hAnsi="SimSun" w:eastAsia="SimSun" w:cs="SimSun"/>
          <w:sz w:val="24"/>
          <w:szCs w:val="24"/>
          <w:spacing w:val="4"/>
        </w:rPr>
        <w:t>浓度目标保持在</w:t>
      </w:r>
      <w:r>
        <w:rPr>
          <w:rFonts w:ascii="Times New Roman" w:hAnsi="Times New Roman" w:eastAsia="Times New Roman" w:cs="Times New Roman"/>
          <w:sz w:val="24"/>
          <w:szCs w:val="24"/>
          <w:spacing w:val="-3"/>
        </w:rPr>
        <w:t>10μg/m3</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2035 </w:t>
      </w:r>
      <w:r>
        <w:rPr>
          <w:rFonts w:ascii="SimSun" w:hAnsi="SimSun" w:eastAsia="SimSun" w:cs="SimSun"/>
          <w:sz w:val="24"/>
          <w:szCs w:val="24"/>
          <w:spacing w:val="-3"/>
        </w:rPr>
        <w:t>年</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3"/>
        </w:rPr>
        <w:t>PM</w:t>
      </w:r>
      <w:r>
        <w:rPr>
          <w:rFonts w:ascii="Times New Roman" w:hAnsi="Times New Roman" w:eastAsia="Times New Roman" w:cs="Times New Roman"/>
          <w:sz w:val="16"/>
          <w:szCs w:val="16"/>
          <w:spacing w:val="-3"/>
          <w:position w:val="-2"/>
        </w:rPr>
        <w:t>2.5</w:t>
      </w:r>
      <w:r>
        <w:rPr>
          <w:rFonts w:ascii="Times New Roman" w:hAnsi="Times New Roman" w:eastAsia="Times New Roman" w:cs="Times New Roman"/>
          <w:sz w:val="16"/>
          <w:szCs w:val="16"/>
          <w:spacing w:val="11"/>
          <w:w w:val="102"/>
          <w:position w:val="-2"/>
        </w:rPr>
        <w:t xml:space="preserve"> </w:t>
      </w:r>
      <w:r>
        <w:rPr>
          <w:rFonts w:ascii="SimSun" w:hAnsi="SimSun" w:eastAsia="SimSun" w:cs="SimSun"/>
          <w:sz w:val="24"/>
          <w:szCs w:val="24"/>
          <w:spacing w:val="-3"/>
        </w:rPr>
        <w:t>浓度目标以自治区下发指标为</w:t>
      </w:r>
      <w:r>
        <w:rPr>
          <w:rFonts w:ascii="SimSun" w:hAnsi="SimSun" w:eastAsia="SimSun" w:cs="SimSun"/>
          <w:sz w:val="24"/>
          <w:szCs w:val="24"/>
          <w:spacing w:val="-4"/>
        </w:rPr>
        <w:t>准。</w:t>
      </w:r>
    </w:p>
    <w:p>
      <w:pPr>
        <w:ind w:left="37" w:right="4" w:firstLine="481"/>
        <w:spacing w:before="7" w:line="356" w:lineRule="auto"/>
        <w:jc w:val="both"/>
        <w:rPr>
          <w:rFonts w:ascii="SimSun" w:hAnsi="SimSun" w:eastAsia="SimSun" w:cs="SimSun"/>
          <w:sz w:val="24"/>
          <w:szCs w:val="24"/>
        </w:rPr>
      </w:pPr>
      <w:r>
        <w:rPr>
          <w:rFonts w:ascii="SimSun" w:hAnsi="SimSun" w:eastAsia="SimSun" w:cs="SimSun"/>
          <w:sz w:val="24"/>
          <w:szCs w:val="24"/>
          <w:spacing w:val="4"/>
        </w:rPr>
        <w:t>本项目位于锡林郭勒盟锡林浩特市额尔顿街道办事处</w:t>
      </w:r>
      <w:r>
        <w:rPr>
          <w:rFonts w:ascii="SimSun" w:hAnsi="SimSun" w:eastAsia="SimSun" w:cs="SimSun"/>
          <w:sz w:val="24"/>
          <w:szCs w:val="24"/>
          <w:spacing w:val="3"/>
        </w:rPr>
        <w:t>新兴社区沃源奶牛场，</w:t>
      </w:r>
      <w:r>
        <w:rPr>
          <w:rFonts w:ascii="SimSun" w:hAnsi="SimSun" w:eastAsia="SimSun" w:cs="SimSun"/>
          <w:sz w:val="24"/>
          <w:szCs w:val="24"/>
          <w:spacing w:val="3"/>
        </w:rPr>
        <w:t>项目建设地点为环境空气功能区二类区，执行二级标</w:t>
      </w:r>
      <w:r>
        <w:rPr>
          <w:rFonts w:ascii="SimSun" w:hAnsi="SimSun" w:eastAsia="SimSun" w:cs="SimSun"/>
          <w:sz w:val="24"/>
          <w:szCs w:val="24"/>
          <w:spacing w:val="2"/>
        </w:rPr>
        <w:t>准。根据内蒙古自治区环境</w:t>
      </w:r>
      <w:r>
        <w:rPr>
          <w:rFonts w:ascii="SimSun" w:hAnsi="SimSun" w:eastAsia="SimSun" w:cs="SimSun"/>
          <w:sz w:val="24"/>
          <w:szCs w:val="24"/>
          <w:spacing w:val="-5"/>
        </w:rPr>
        <w:t>保护厅</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5"/>
        </w:rPr>
        <w:t>2024 </w:t>
      </w:r>
      <w:r>
        <w:rPr>
          <w:rFonts w:ascii="SimSun" w:hAnsi="SimSun" w:eastAsia="SimSun" w:cs="SimSun"/>
          <w:sz w:val="24"/>
          <w:szCs w:val="24"/>
          <w:spacing w:val="-5"/>
        </w:rPr>
        <w:t>年度内蒙古自治区生态环境状况公报，锡林郭勒盟环境空气质量</w:t>
      </w:r>
      <w:r>
        <w:rPr>
          <w:rFonts w:ascii="SimSun" w:hAnsi="SimSun" w:eastAsia="SimSun" w:cs="SimSun"/>
          <w:sz w:val="24"/>
          <w:szCs w:val="24"/>
          <w:spacing w:val="-6"/>
        </w:rPr>
        <w:t>较好，</w:t>
      </w:r>
      <w:r>
        <w:rPr>
          <w:rFonts w:ascii="SimSun" w:hAnsi="SimSun" w:eastAsia="SimSun" w:cs="SimSun"/>
          <w:sz w:val="24"/>
          <w:szCs w:val="24"/>
        </w:rPr>
        <w:t xml:space="preserve"> </w:t>
      </w:r>
      <w:r>
        <w:rPr>
          <w:rFonts w:ascii="Times New Roman" w:hAnsi="Times New Roman" w:eastAsia="Times New Roman" w:cs="Times New Roman"/>
          <w:sz w:val="24"/>
          <w:szCs w:val="24"/>
          <w:spacing w:val="-2"/>
        </w:rPr>
        <w:t>SO</w:t>
      </w:r>
      <w:r>
        <w:rPr>
          <w:rFonts w:ascii="Times New Roman" w:hAnsi="Times New Roman" w:eastAsia="Times New Roman" w:cs="Times New Roman"/>
          <w:sz w:val="16"/>
          <w:szCs w:val="16"/>
          <w:spacing w:val="-2"/>
          <w:position w:val="-2"/>
        </w:rPr>
        <w:t>2</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NO</w:t>
      </w:r>
      <w:r>
        <w:rPr>
          <w:rFonts w:ascii="Times New Roman" w:hAnsi="Times New Roman" w:eastAsia="Times New Roman" w:cs="Times New Roman"/>
          <w:sz w:val="16"/>
          <w:szCs w:val="16"/>
          <w:spacing w:val="-2"/>
          <w:position w:val="-2"/>
        </w:rPr>
        <w:t>2</w:t>
      </w:r>
      <w:r>
        <w:rPr>
          <w:rFonts w:ascii="Times New Roman" w:hAnsi="Times New Roman" w:eastAsia="Times New Roman" w:cs="Times New Roman"/>
          <w:sz w:val="16"/>
          <w:szCs w:val="16"/>
          <w:spacing w:val="-12"/>
          <w:position w:val="-2"/>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PM</w:t>
      </w:r>
      <w:r>
        <w:rPr>
          <w:rFonts w:ascii="Times New Roman" w:hAnsi="Times New Roman" w:eastAsia="Times New Roman" w:cs="Times New Roman"/>
          <w:sz w:val="16"/>
          <w:szCs w:val="16"/>
          <w:spacing w:val="-2"/>
          <w:position w:val="-2"/>
        </w:rPr>
        <w:t>10</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PM</w:t>
      </w:r>
      <w:r>
        <w:rPr>
          <w:rFonts w:ascii="Times New Roman" w:hAnsi="Times New Roman" w:eastAsia="Times New Roman" w:cs="Times New Roman"/>
          <w:sz w:val="16"/>
          <w:szCs w:val="16"/>
          <w:spacing w:val="-2"/>
          <w:position w:val="-2"/>
        </w:rPr>
        <w:t>2.5</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2"/>
        </w:rPr>
        <w:t>年均值浓度低于《环境空气质量标准》（</w:t>
      </w:r>
      <w:r>
        <w:rPr>
          <w:rFonts w:ascii="Times New Roman" w:hAnsi="Times New Roman" w:eastAsia="Times New Roman" w:cs="Times New Roman"/>
          <w:sz w:val="24"/>
          <w:szCs w:val="24"/>
          <w:spacing w:val="-2"/>
        </w:rPr>
        <w:t>GB3</w:t>
      </w:r>
      <w:r>
        <w:rPr>
          <w:rFonts w:ascii="Times New Roman" w:hAnsi="Times New Roman" w:eastAsia="Times New Roman" w:cs="Times New Roman"/>
          <w:sz w:val="24"/>
          <w:szCs w:val="24"/>
          <w:spacing w:val="-3"/>
        </w:rPr>
        <w:t>095-2012</w:t>
      </w:r>
      <w:r>
        <w:rPr>
          <w:rFonts w:ascii="SimSun" w:hAnsi="SimSun" w:eastAsia="SimSun" w:cs="SimSun"/>
          <w:sz w:val="24"/>
          <w:szCs w:val="24"/>
          <w:spacing w:val="-3"/>
        </w:rPr>
        <w:t>）</w:t>
      </w:r>
      <w:r>
        <w:rPr>
          <w:rFonts w:ascii="SimSun" w:hAnsi="SimSun" w:eastAsia="SimSun" w:cs="SimSun"/>
          <w:sz w:val="24"/>
          <w:szCs w:val="24"/>
          <w:spacing w:val="-4"/>
        </w:rPr>
        <w:t>及其修改单中规定的标准限值，</w:t>
      </w:r>
      <w:r>
        <w:rPr>
          <w:rFonts w:ascii="Times New Roman" w:hAnsi="Times New Roman" w:eastAsia="Times New Roman" w:cs="Times New Roman"/>
          <w:sz w:val="24"/>
          <w:szCs w:val="24"/>
          <w:spacing w:val="-4"/>
        </w:rPr>
        <w:t>CO</w:t>
      </w:r>
      <w:r>
        <w:rPr>
          <w:rFonts w:ascii="Times New Roman" w:hAnsi="Times New Roman" w:eastAsia="Times New Roman" w:cs="Times New Roman"/>
          <w:sz w:val="16"/>
          <w:szCs w:val="16"/>
          <w:spacing w:val="-4"/>
          <w:position w:val="-3"/>
        </w:rPr>
        <w:t>24</w:t>
      </w:r>
      <w:r>
        <w:rPr>
          <w:rFonts w:ascii="Times New Roman" w:hAnsi="Times New Roman" w:eastAsia="Times New Roman" w:cs="Times New Roman"/>
          <w:sz w:val="16"/>
          <w:szCs w:val="16"/>
          <w:spacing w:val="18"/>
          <w:w w:val="101"/>
          <w:position w:val="-3"/>
        </w:rPr>
        <w:t xml:space="preserve"> </w:t>
      </w:r>
      <w:r>
        <w:rPr>
          <w:rFonts w:ascii="SimSun" w:hAnsi="SimSun" w:eastAsia="SimSun" w:cs="SimSun"/>
          <w:sz w:val="24"/>
          <w:szCs w:val="24"/>
          <w:spacing w:val="-4"/>
        </w:rPr>
        <w:t>小时均值浓度限值和</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O</w:t>
      </w:r>
      <w:r>
        <w:rPr>
          <w:rFonts w:ascii="Times New Roman" w:hAnsi="Times New Roman" w:eastAsia="Times New Roman" w:cs="Times New Roman"/>
          <w:sz w:val="16"/>
          <w:szCs w:val="16"/>
          <w:spacing w:val="-4"/>
          <w:position w:val="-3"/>
        </w:rPr>
        <w:t>3  </w:t>
      </w:r>
      <w:r>
        <w:rPr>
          <w:rFonts w:ascii="SimSun" w:hAnsi="SimSun" w:eastAsia="SimSun" w:cs="SimSun"/>
          <w:sz w:val="24"/>
          <w:szCs w:val="24"/>
          <w:spacing w:val="-4"/>
        </w:rPr>
        <w:t>日最</w:t>
      </w:r>
      <w:r>
        <w:rPr>
          <w:rFonts w:ascii="SimSun" w:hAnsi="SimSun" w:eastAsia="SimSun" w:cs="SimSun"/>
          <w:sz w:val="24"/>
          <w:szCs w:val="24"/>
          <w:spacing w:val="-5"/>
        </w:rPr>
        <w:t>大</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5"/>
        </w:rPr>
        <w:t>8</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5"/>
        </w:rPr>
        <w:t>小时平均浓</w:t>
      </w:r>
      <w:r>
        <w:rPr>
          <w:rFonts w:ascii="SimSun" w:hAnsi="SimSun" w:eastAsia="SimSun" w:cs="SimSun"/>
          <w:sz w:val="24"/>
          <w:szCs w:val="24"/>
          <w:spacing w:val="-2"/>
        </w:rPr>
        <w:t>度低于《环境空气质量标准》（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）中规定的标准限值，区域环境空气</w:t>
      </w:r>
      <w:r>
        <w:rPr>
          <w:rFonts w:ascii="SimSun" w:hAnsi="SimSun" w:eastAsia="SimSun" w:cs="SimSun"/>
          <w:sz w:val="24"/>
          <w:szCs w:val="24"/>
          <w:spacing w:val="-3"/>
        </w:rPr>
        <w:t>质量达标，具有一定的环境容量。</w:t>
      </w:r>
    </w:p>
    <w:p>
      <w:pPr>
        <w:ind w:left="37" w:right="73" w:firstLine="480"/>
        <w:spacing w:before="21" w:line="357" w:lineRule="auto"/>
        <w:jc w:val="both"/>
        <w:rPr>
          <w:rFonts w:ascii="SimSun" w:hAnsi="SimSun" w:eastAsia="SimSun" w:cs="SimSun"/>
          <w:sz w:val="24"/>
          <w:szCs w:val="24"/>
        </w:rPr>
      </w:pPr>
      <w:r>
        <w:rPr>
          <w:rFonts w:ascii="SimSun" w:hAnsi="SimSun" w:eastAsia="SimSun" w:cs="SimSun"/>
          <w:sz w:val="24"/>
          <w:szCs w:val="24"/>
          <w:spacing w:val="-1"/>
        </w:rPr>
        <w:t>根据环境影响预测结果，恶臭气体污染物排放浓度能够满足</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GB14554-9</w:t>
      </w:r>
      <w:r>
        <w:rPr>
          <w:rFonts w:ascii="Times New Roman" w:hAnsi="Times New Roman" w:eastAsia="Times New Roman" w:cs="Times New Roman"/>
          <w:sz w:val="24"/>
          <w:szCs w:val="24"/>
          <w:spacing w:val="-2"/>
        </w:rPr>
        <w:t>3</w:t>
      </w:r>
      <w:r>
        <w:rPr>
          <w:rFonts w:ascii="SimSun" w:hAnsi="SimSun" w:eastAsia="SimSun" w:cs="SimSun"/>
          <w:sz w:val="24"/>
          <w:szCs w:val="24"/>
          <w:spacing w:val="-2"/>
        </w:rPr>
        <w:t>《恶</w:t>
      </w:r>
      <w:r>
        <w:rPr>
          <w:rFonts w:ascii="SimSun" w:hAnsi="SimSun" w:eastAsia="SimSun" w:cs="SimSun"/>
          <w:sz w:val="24"/>
          <w:szCs w:val="24"/>
          <w:spacing w:val="17"/>
        </w:rPr>
        <w:t>臭污染物排放标准》中污染物厂界标准值二级标准要求，臭气浓度能够满足</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18596-2001</w:t>
      </w:r>
      <w:r>
        <w:rPr>
          <w:rFonts w:ascii="SimSun" w:hAnsi="SimSun" w:eastAsia="SimSun" w:cs="SimSun"/>
          <w:sz w:val="24"/>
          <w:szCs w:val="24"/>
          <w:spacing w:val="1"/>
        </w:rPr>
        <w:t>《畜禽养殖污染物排放标准》中要求，项目建设后污染物能够</w:t>
      </w:r>
      <w:r>
        <w:rPr>
          <w:rFonts w:ascii="SimSun" w:hAnsi="SimSun" w:eastAsia="SimSun" w:cs="SimSun"/>
          <w:sz w:val="24"/>
          <w:szCs w:val="24"/>
        </w:rPr>
        <w:t>达标</w:t>
      </w:r>
      <w:r>
        <w:rPr>
          <w:rFonts w:ascii="SimSun" w:hAnsi="SimSun" w:eastAsia="SimSun" w:cs="SimSun"/>
          <w:sz w:val="24"/>
          <w:szCs w:val="24"/>
          <w:spacing w:val="-3"/>
        </w:rPr>
        <w:t>排放，满足大气环境分区管控要求。</w:t>
      </w:r>
    </w:p>
    <w:p>
      <w:pPr>
        <w:ind w:left="516"/>
        <w:spacing w:before="12" w:line="217" w:lineRule="auto"/>
        <w:rPr>
          <w:rFonts w:ascii="SimSun" w:hAnsi="SimSun" w:eastAsia="SimSun" w:cs="SimSun"/>
          <w:sz w:val="24"/>
          <w:szCs w:val="24"/>
        </w:rPr>
      </w:pPr>
      <w:r>
        <w:rPr>
          <w:rFonts w:ascii="SimSun" w:hAnsi="SimSun" w:eastAsia="SimSun" w:cs="SimSun"/>
          <w:sz w:val="24"/>
          <w:szCs w:val="24"/>
          <w:spacing w:val="-2"/>
        </w:rPr>
        <w:t>②水环境</w:t>
      </w:r>
    </w:p>
    <w:p>
      <w:pPr>
        <w:ind w:left="40" w:firstLine="478"/>
        <w:spacing w:before="186" w:line="359" w:lineRule="auto"/>
        <w:rPr>
          <w:rFonts w:ascii="SimSun" w:hAnsi="SimSun" w:eastAsia="SimSun" w:cs="SimSun"/>
          <w:sz w:val="24"/>
          <w:szCs w:val="24"/>
        </w:rPr>
      </w:pPr>
      <w:r>
        <w:rPr>
          <w:rFonts w:ascii="SimSun" w:hAnsi="SimSun" w:eastAsia="SimSun" w:cs="SimSun"/>
          <w:sz w:val="24"/>
          <w:szCs w:val="24"/>
          <w:spacing w:val="3"/>
        </w:rPr>
        <w:t>根据《锡林郭勒盟生态环境保护委员会办公室</w:t>
      </w:r>
      <w:r>
        <w:rPr>
          <w:rFonts w:ascii="SimSun" w:hAnsi="SimSun" w:eastAsia="SimSun" w:cs="SimSun"/>
          <w:sz w:val="24"/>
          <w:szCs w:val="24"/>
          <w:spacing w:val="2"/>
        </w:rPr>
        <w:t>关于印发锡林郭勒盟“三线一</w:t>
      </w:r>
      <w:r>
        <w:rPr>
          <w:rFonts w:ascii="SimSun" w:hAnsi="SimSun" w:eastAsia="SimSun" w:cs="SimSun"/>
          <w:sz w:val="24"/>
          <w:szCs w:val="24"/>
          <w:spacing w:val="-2"/>
        </w:rPr>
        <w:t>单”生态环境分区管控意见修改单和锡林郭勒盟生态环境准入清单</w:t>
      </w:r>
      <w:r>
        <w:rPr>
          <w:rFonts w:ascii="SimSun" w:hAnsi="SimSun" w:eastAsia="SimSun" w:cs="SimSun"/>
          <w:sz w:val="24"/>
          <w:szCs w:val="24"/>
          <w:spacing w:val="-3"/>
        </w:rPr>
        <w:t>的通知》可知，</w:t>
      </w:r>
      <w:r>
        <w:rPr>
          <w:rFonts w:ascii="SimSun" w:hAnsi="SimSun" w:eastAsia="SimSun" w:cs="SimSun"/>
          <w:sz w:val="24"/>
          <w:szCs w:val="24"/>
          <w:spacing w:val="2"/>
        </w:rPr>
        <w:t>水环境管控分区包括水环境优先保护区、水环境重点管控区和一般管控区，本项</w:t>
      </w:r>
      <w:r>
        <w:rPr>
          <w:rFonts w:ascii="SimSun" w:hAnsi="SimSun" w:eastAsia="SimSun" w:cs="SimSun"/>
          <w:sz w:val="24"/>
          <w:szCs w:val="24"/>
          <w:spacing w:val="-5"/>
        </w:rPr>
        <w:t>目位于一般管控区。</w:t>
      </w:r>
    </w:p>
    <w:p>
      <w:pPr>
        <w:ind w:left="39" w:right="70" w:firstLine="478"/>
        <w:spacing w:line="359" w:lineRule="auto"/>
        <w:jc w:val="both"/>
        <w:rPr>
          <w:rFonts w:ascii="SimSun" w:hAnsi="SimSun" w:eastAsia="SimSun" w:cs="SimSun"/>
          <w:sz w:val="24"/>
          <w:szCs w:val="24"/>
        </w:rPr>
      </w:pPr>
      <w:r>
        <w:rPr>
          <w:rFonts w:ascii="SimSun" w:hAnsi="SimSun" w:eastAsia="SimSun" w:cs="SimSun"/>
          <w:sz w:val="24"/>
          <w:szCs w:val="24"/>
          <w:spacing w:val="-1"/>
        </w:rPr>
        <w:t>根据锡署发</w:t>
      </w:r>
      <w:r>
        <w:rPr>
          <w:rFonts w:ascii="Times New Roman" w:hAnsi="Times New Roman" w:eastAsia="Times New Roman" w:cs="Times New Roman"/>
          <w:sz w:val="24"/>
          <w:szCs w:val="24"/>
          <w:spacing w:val="-1"/>
        </w:rPr>
        <w:t>[2021]117</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号《锡林郭勒盟行政公署关于实施“三线一单”生态环</w:t>
      </w:r>
      <w:r>
        <w:rPr>
          <w:rFonts w:ascii="SimSun" w:hAnsi="SimSun" w:eastAsia="SimSun" w:cs="SimSun"/>
          <w:sz w:val="24"/>
          <w:szCs w:val="24"/>
          <w:spacing w:val="2"/>
        </w:rPr>
        <w:t>境分区管控的意见》可知，一般管控区管控要求：水环境一般管控区内落实普适</w:t>
      </w:r>
      <w:r>
        <w:rPr>
          <w:rFonts w:ascii="SimSun" w:hAnsi="SimSun" w:eastAsia="SimSun" w:cs="SimSun"/>
          <w:sz w:val="24"/>
          <w:szCs w:val="24"/>
          <w:spacing w:val="2"/>
        </w:rPr>
        <w:t>性治理要求，遵守国家及锡林郭勒盟相关法律法规，加强污染预防，保证水环境</w:t>
      </w:r>
      <w:r>
        <w:rPr>
          <w:rFonts w:ascii="SimSun" w:hAnsi="SimSun" w:eastAsia="SimSun" w:cs="SimSun"/>
          <w:sz w:val="24"/>
          <w:szCs w:val="24"/>
          <w:spacing w:val="-8"/>
        </w:rPr>
        <w:t>质量达标。</w:t>
      </w:r>
    </w:p>
    <w:p>
      <w:pPr>
        <w:ind w:left="55" w:right="69" w:firstLine="463"/>
        <w:spacing w:before="1" w:line="264" w:lineRule="auto"/>
        <w:rPr>
          <w:rFonts w:ascii="SimSun" w:hAnsi="SimSun" w:eastAsia="SimSun" w:cs="SimSun"/>
          <w:sz w:val="24"/>
          <w:szCs w:val="24"/>
        </w:rPr>
      </w:pPr>
      <w:r>
        <w:rPr>
          <w:rFonts w:ascii="SimSun" w:hAnsi="SimSun" w:eastAsia="SimSun" w:cs="SimSun"/>
          <w:sz w:val="24"/>
          <w:szCs w:val="24"/>
          <w:spacing w:val="3"/>
        </w:rPr>
        <w:t>本项目位于锡林郭勒盟锡林浩特市额尔顿街道办事处新兴社区</w:t>
      </w:r>
      <w:r>
        <w:rPr>
          <w:rFonts w:ascii="SimSun" w:hAnsi="SimSun" w:eastAsia="SimSun" w:cs="SimSun"/>
          <w:sz w:val="24"/>
          <w:szCs w:val="24"/>
          <w:spacing w:val="2"/>
        </w:rPr>
        <w:t>沃源奶牛场，</w:t>
      </w:r>
      <w:r>
        <w:rPr>
          <w:rFonts w:ascii="SimSun" w:hAnsi="SimSun" w:eastAsia="SimSun" w:cs="SimSun"/>
          <w:sz w:val="24"/>
          <w:szCs w:val="24"/>
          <w:spacing w:val="2"/>
        </w:rPr>
        <w:t>区域无地表水体，本项目生活污水排入防渗池，定期由环卫部门清运处理，本项</w:t>
      </w:r>
    </w:p>
    <w:p>
      <w:pPr>
        <w:pStyle w:val="BodyText"/>
        <w:ind w:left="28"/>
        <w:spacing w:before="1" w:line="204" w:lineRule="auto"/>
        <w:tabs>
          <w:tab w:val="left" w:pos="8542"/>
        </w:tabs>
        <w:rPr/>
      </w:pPr>
      <w:r>
        <w:rPr>
          <w:u w:val="single" w:color="808080"/>
        </w:rPr>
        <w:tab/>
      </w:r>
    </w:p>
    <w:p>
      <w:pPr>
        <w:ind w:left="4212"/>
        <w:spacing w:line="217"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w:t>
      </w:r>
    </w:p>
    <w:p>
      <w:pPr>
        <w:spacing w:line="217" w:lineRule="auto"/>
        <w:sectPr>
          <w:headerReference w:type="default" r:id="rId3"/>
          <w:footerReference w:type="default" r:id="rId2"/>
          <w:pgSz w:w="11907" w:h="16839"/>
          <w:pgMar w:top="1422" w:right="1630" w:bottom="400" w:left="1673" w:header="1033" w:footer="0" w:gutter="0"/>
        </w:sectPr>
        <w:rPr>
          <w:rFonts w:ascii="Times New Roman" w:hAnsi="Times New Roman" w:eastAsia="Times New Roman" w:cs="Times New Roman"/>
          <w:sz w:val="18"/>
          <w:szCs w:val="18"/>
        </w:rPr>
      </w:pPr>
    </w:p>
    <w:p>
      <w:pPr>
        <w:ind w:left="39" w:right="69" w:firstLine="44"/>
        <w:spacing w:before="312" w:line="359" w:lineRule="auto"/>
        <w:jc w:val="both"/>
        <w:rPr>
          <w:rFonts w:ascii="SimSun" w:hAnsi="SimSun" w:eastAsia="SimSun" w:cs="SimSun"/>
          <w:sz w:val="24"/>
          <w:szCs w:val="24"/>
        </w:rPr>
      </w:pPr>
      <w:r>
        <w:rPr>
          <w:rFonts w:ascii="SimSun" w:hAnsi="SimSun" w:eastAsia="SimSun" w:cs="SimSun"/>
          <w:sz w:val="24"/>
          <w:szCs w:val="24"/>
          <w:spacing w:val="1"/>
        </w:rPr>
        <w:t>目牛舍铺设垫料，牛尿及牛粪进入垫料，废垫料暂存于储粪库，最终外售给相关</w:t>
      </w:r>
      <w:r>
        <w:rPr>
          <w:rFonts w:ascii="SimSun" w:hAnsi="SimSun" w:eastAsia="SimSun" w:cs="SimSun"/>
          <w:sz w:val="24"/>
          <w:szCs w:val="24"/>
          <w:spacing w:val="3"/>
        </w:rPr>
        <w:t>单位生产有机肥。综上所述，本项目废水不</w:t>
      </w:r>
      <w:r>
        <w:rPr>
          <w:rFonts w:ascii="SimSun" w:hAnsi="SimSun" w:eastAsia="SimSun" w:cs="SimSun"/>
          <w:sz w:val="24"/>
          <w:szCs w:val="24"/>
          <w:spacing w:val="2"/>
        </w:rPr>
        <w:t>外排，项目建设实施不会突破水环境</w:t>
      </w:r>
      <w:r>
        <w:rPr>
          <w:rFonts w:ascii="SimSun" w:hAnsi="SimSun" w:eastAsia="SimSun" w:cs="SimSun"/>
          <w:sz w:val="24"/>
          <w:szCs w:val="24"/>
          <w:spacing w:val="-8"/>
        </w:rPr>
        <w:t>质量底线。</w:t>
      </w:r>
    </w:p>
    <w:p>
      <w:pPr>
        <w:ind w:left="516"/>
        <w:spacing w:line="217" w:lineRule="auto"/>
        <w:rPr>
          <w:rFonts w:ascii="SimSun" w:hAnsi="SimSun" w:eastAsia="SimSun" w:cs="SimSun"/>
          <w:sz w:val="24"/>
          <w:szCs w:val="24"/>
        </w:rPr>
      </w:pPr>
      <w:r>
        <w:rPr>
          <w:rFonts w:ascii="SimSun" w:hAnsi="SimSun" w:eastAsia="SimSun" w:cs="SimSun"/>
          <w:sz w:val="24"/>
          <w:szCs w:val="24"/>
          <w:spacing w:val="-2"/>
        </w:rPr>
        <w:t>③土壤环境</w:t>
      </w:r>
    </w:p>
    <w:p>
      <w:pPr>
        <w:ind w:left="38" w:right="69" w:firstLine="480"/>
        <w:spacing w:before="185" w:line="359" w:lineRule="auto"/>
        <w:rPr>
          <w:rFonts w:ascii="SimSun" w:hAnsi="SimSun" w:eastAsia="SimSun" w:cs="SimSun"/>
          <w:sz w:val="24"/>
          <w:szCs w:val="24"/>
        </w:rPr>
      </w:pPr>
      <w:r>
        <w:rPr>
          <w:rFonts w:ascii="SimSun" w:hAnsi="SimSun" w:eastAsia="SimSun" w:cs="SimSun"/>
          <w:sz w:val="24"/>
          <w:szCs w:val="24"/>
          <w:spacing w:val="3"/>
        </w:rPr>
        <w:t>本项目位于锡林郭勒盟锡林浩特市额尔顿街道办事处新兴社区</w:t>
      </w:r>
      <w:r>
        <w:rPr>
          <w:rFonts w:ascii="SimSun" w:hAnsi="SimSun" w:eastAsia="SimSun" w:cs="SimSun"/>
          <w:sz w:val="24"/>
          <w:szCs w:val="24"/>
          <w:spacing w:val="2"/>
        </w:rPr>
        <w:t>沃源奶牛场，</w:t>
      </w:r>
      <w:r>
        <w:rPr>
          <w:rFonts w:ascii="SimSun" w:hAnsi="SimSun" w:eastAsia="SimSun" w:cs="SimSun"/>
          <w:sz w:val="24"/>
          <w:szCs w:val="24"/>
          <w:spacing w:val="3"/>
        </w:rPr>
        <w:t>租用新兴社区沃源奶牛场进行建设，不新增占地，并且</w:t>
      </w:r>
      <w:r>
        <w:rPr>
          <w:rFonts w:ascii="SimSun" w:hAnsi="SimSun" w:eastAsia="SimSun" w:cs="SimSun"/>
          <w:sz w:val="24"/>
          <w:szCs w:val="24"/>
          <w:spacing w:val="2"/>
        </w:rPr>
        <w:t>采取严格防渗措施，对土</w:t>
      </w:r>
      <w:r>
        <w:rPr>
          <w:rFonts w:ascii="SimSun" w:hAnsi="SimSun" w:eastAsia="SimSun" w:cs="SimSun"/>
          <w:sz w:val="24"/>
          <w:szCs w:val="24"/>
          <w:spacing w:val="-2"/>
        </w:rPr>
        <w:t>壤环境影响不大，项目建设不会突破土壤的环境质量底线。</w:t>
      </w:r>
    </w:p>
    <w:p>
      <w:pPr>
        <w:ind w:left="41" w:right="72" w:firstLine="479"/>
        <w:spacing w:line="360" w:lineRule="auto"/>
        <w:rPr>
          <w:rFonts w:ascii="SimSun" w:hAnsi="SimSun" w:eastAsia="SimSun" w:cs="SimSun"/>
          <w:sz w:val="24"/>
          <w:szCs w:val="24"/>
        </w:rPr>
      </w:pPr>
      <w:r>
        <w:rPr>
          <w:rFonts w:ascii="SimSun" w:hAnsi="SimSun" w:eastAsia="SimSun" w:cs="SimSun"/>
          <w:sz w:val="24"/>
          <w:szCs w:val="24"/>
          <w:spacing w:val="3"/>
        </w:rPr>
        <w:t>综上，项目建设不会突破环境空气、地表水、土</w:t>
      </w:r>
      <w:r>
        <w:rPr>
          <w:rFonts w:ascii="SimSun" w:hAnsi="SimSun" w:eastAsia="SimSun" w:cs="SimSun"/>
          <w:sz w:val="24"/>
          <w:szCs w:val="24"/>
          <w:spacing w:val="2"/>
        </w:rPr>
        <w:t>壤的环境质量底线，本项目</w:t>
      </w:r>
      <w:r>
        <w:rPr>
          <w:rFonts w:ascii="SimSun" w:hAnsi="SimSun" w:eastAsia="SimSun" w:cs="SimSun"/>
          <w:sz w:val="24"/>
          <w:szCs w:val="24"/>
          <w:spacing w:val="-4"/>
        </w:rPr>
        <w:t>建设符合环境质量底线要求的。</w:t>
      </w:r>
    </w:p>
    <w:p>
      <w:pPr>
        <w:ind w:left="524"/>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）资源利用上限</w:t>
      </w:r>
    </w:p>
    <w:p>
      <w:pPr>
        <w:ind w:left="32" w:firstLine="485"/>
        <w:spacing w:before="166" w:line="356" w:lineRule="auto"/>
        <w:rPr>
          <w:rFonts w:ascii="SimSun" w:hAnsi="SimSun" w:eastAsia="SimSun" w:cs="SimSun"/>
          <w:sz w:val="24"/>
          <w:szCs w:val="24"/>
        </w:rPr>
      </w:pPr>
      <w:r>
        <w:rPr>
          <w:rFonts w:ascii="SimSun" w:hAnsi="SimSun" w:eastAsia="SimSun" w:cs="SimSun"/>
          <w:sz w:val="24"/>
          <w:szCs w:val="24"/>
          <w:spacing w:val="3"/>
        </w:rPr>
        <w:t>根据《锡林郭勒盟生态环境保护委员会办公室</w:t>
      </w:r>
      <w:r>
        <w:rPr>
          <w:rFonts w:ascii="SimSun" w:hAnsi="SimSun" w:eastAsia="SimSun" w:cs="SimSun"/>
          <w:sz w:val="24"/>
          <w:szCs w:val="24"/>
          <w:spacing w:val="2"/>
        </w:rPr>
        <w:t>关于印发锡林郭勒盟“三线一</w:t>
      </w:r>
      <w:r>
        <w:rPr>
          <w:rFonts w:ascii="SimSun" w:hAnsi="SimSun" w:eastAsia="SimSun" w:cs="SimSun"/>
          <w:sz w:val="24"/>
          <w:szCs w:val="24"/>
          <w:spacing w:val="-2"/>
        </w:rPr>
        <w:t>单”生态环境分区管控意见修改单和锡林郭勒盟生环环境准入清单的通知》可知，</w:t>
      </w:r>
      <w:r>
        <w:rPr>
          <w:rFonts w:ascii="SimSun" w:hAnsi="SimSun" w:eastAsia="SimSun" w:cs="SimSun"/>
          <w:sz w:val="24"/>
          <w:szCs w:val="24"/>
          <w:spacing w:val="-1"/>
        </w:rPr>
        <w:t>资源利用上限内容如下：</w:t>
      </w:r>
      <w:r>
        <w:rPr>
          <w:rFonts w:ascii="Times New Roman" w:hAnsi="Times New Roman" w:eastAsia="Times New Roman" w:cs="Times New Roman"/>
          <w:sz w:val="24"/>
          <w:szCs w:val="24"/>
          <w:spacing w:val="-1"/>
        </w:rPr>
        <w:t>2015</w:t>
      </w:r>
      <w:r>
        <w:rPr>
          <w:rFonts w:ascii="Times New Roman" w:hAnsi="Times New Roman" w:eastAsia="Times New Roman" w:cs="Times New Roman"/>
          <w:sz w:val="24"/>
          <w:szCs w:val="24"/>
          <w:spacing w:val="36"/>
          <w:w w:val="101"/>
        </w:rPr>
        <w:t xml:space="preserve"> </w:t>
      </w:r>
      <w:r>
        <w:rPr>
          <w:rFonts w:ascii="SimSun" w:hAnsi="SimSun" w:eastAsia="SimSun" w:cs="SimSun"/>
          <w:sz w:val="24"/>
          <w:szCs w:val="24"/>
          <w:spacing w:val="-1"/>
        </w:rPr>
        <w:t>年、</w:t>
      </w:r>
      <w:r>
        <w:rPr>
          <w:rFonts w:ascii="Times New Roman" w:hAnsi="Times New Roman" w:eastAsia="Times New Roman" w:cs="Times New Roman"/>
          <w:sz w:val="24"/>
          <w:szCs w:val="24"/>
          <w:spacing w:val="-1"/>
        </w:rPr>
        <w:t>2020</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1"/>
        </w:rPr>
        <w:t>年和</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1"/>
        </w:rPr>
        <w:t>2030</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1"/>
        </w:rPr>
        <w:t>年锡林郭勒盟用水总量红线控</w:t>
      </w:r>
      <w:r>
        <w:rPr>
          <w:rFonts w:ascii="SimSun" w:hAnsi="SimSun" w:eastAsia="SimSun" w:cs="SimSun"/>
          <w:sz w:val="24"/>
          <w:szCs w:val="24"/>
          <w:spacing w:val="-3"/>
        </w:rPr>
        <w:t>制目标分别为</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3"/>
        </w:rPr>
        <w:t>6.95</w:t>
      </w:r>
      <w:r>
        <w:rPr>
          <w:rFonts w:ascii="Times New Roman" w:hAnsi="Times New Roman" w:eastAsia="Times New Roman" w:cs="Times New Roman"/>
          <w:sz w:val="24"/>
          <w:szCs w:val="24"/>
          <w:spacing w:val="22"/>
          <w:w w:val="101"/>
        </w:rPr>
        <w:t xml:space="preserve"> </w:t>
      </w:r>
      <w:r>
        <w:rPr>
          <w:rFonts w:ascii="SimSun" w:hAnsi="SimSun" w:eastAsia="SimSun" w:cs="SimSun"/>
          <w:sz w:val="24"/>
          <w:szCs w:val="24"/>
          <w:spacing w:val="-3"/>
        </w:rPr>
        <w:t>亿</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16"/>
          <w:szCs w:val="16"/>
          <w:spacing w:val="-12"/>
          <w:position w:val="10"/>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8.08</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3"/>
        </w:rPr>
        <w:t>亿</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3"/>
        </w:rPr>
        <w:t>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16"/>
          <w:szCs w:val="16"/>
          <w:spacing w:val="12"/>
          <w:w w:val="101"/>
          <w:position w:val="10"/>
        </w:rPr>
        <w:t xml:space="preserve"> </w:t>
      </w:r>
      <w:r>
        <w:rPr>
          <w:rFonts w:ascii="SimSun" w:hAnsi="SimSun" w:eastAsia="SimSun" w:cs="SimSun"/>
          <w:sz w:val="24"/>
          <w:szCs w:val="24"/>
          <w:spacing w:val="-3"/>
        </w:rPr>
        <w:t>和</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3"/>
        </w:rPr>
        <w:t>8.</w:t>
      </w:r>
      <w:r>
        <w:rPr>
          <w:rFonts w:ascii="Times New Roman" w:hAnsi="Times New Roman" w:eastAsia="Times New Roman" w:cs="Times New Roman"/>
          <w:sz w:val="24"/>
          <w:szCs w:val="24"/>
          <w:spacing w:val="-4"/>
        </w:rPr>
        <w:t>37</w:t>
      </w:r>
      <w:r>
        <w:rPr>
          <w:rFonts w:ascii="Times New Roman" w:hAnsi="Times New Roman" w:eastAsia="Times New Roman" w:cs="Times New Roman"/>
          <w:sz w:val="24"/>
          <w:szCs w:val="24"/>
          <w:spacing w:val="23"/>
        </w:rPr>
        <w:t xml:space="preserve"> </w:t>
      </w:r>
      <w:r>
        <w:rPr>
          <w:rFonts w:ascii="SimSun" w:hAnsi="SimSun" w:eastAsia="SimSun" w:cs="SimSun"/>
          <w:sz w:val="24"/>
          <w:szCs w:val="24"/>
          <w:spacing w:val="-4"/>
        </w:rPr>
        <w:t>亿</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4"/>
        </w:rPr>
        <w:t>m</w:t>
      </w:r>
      <w:r>
        <w:rPr>
          <w:rFonts w:ascii="Times New Roman" w:hAnsi="Times New Roman" w:eastAsia="Times New Roman" w:cs="Times New Roman"/>
          <w:sz w:val="16"/>
          <w:szCs w:val="16"/>
          <w:spacing w:val="-4"/>
          <w:position w:val="10"/>
        </w:rPr>
        <w:t>3</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2025</w:t>
      </w:r>
      <w:r>
        <w:rPr>
          <w:rFonts w:ascii="Times New Roman" w:hAnsi="Times New Roman" w:eastAsia="Times New Roman" w:cs="Times New Roman"/>
          <w:sz w:val="24"/>
          <w:szCs w:val="24"/>
          <w:spacing w:val="23"/>
        </w:rPr>
        <w:t xml:space="preserve"> </w:t>
      </w:r>
      <w:r>
        <w:rPr>
          <w:rFonts w:ascii="SimSun" w:hAnsi="SimSun" w:eastAsia="SimSun" w:cs="SimSun"/>
          <w:sz w:val="24"/>
          <w:szCs w:val="24"/>
          <w:spacing w:val="-4"/>
        </w:rPr>
        <w:t>年用水总量控制指标为</w:t>
      </w:r>
      <w:r>
        <w:rPr>
          <w:rFonts w:ascii="Times New Roman" w:hAnsi="Times New Roman" w:eastAsia="Times New Roman" w:cs="Times New Roman"/>
          <w:sz w:val="24"/>
          <w:szCs w:val="24"/>
          <w:spacing w:val="-2"/>
        </w:rPr>
        <w:t>4.73</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2"/>
        </w:rPr>
        <w:t>亿</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10"/>
        </w:rPr>
        <w:t>3 </w:t>
      </w:r>
      <w:r>
        <w:rPr>
          <w:rFonts w:ascii="SimSun" w:hAnsi="SimSun" w:eastAsia="SimSun" w:cs="SimSun"/>
          <w:sz w:val="24"/>
          <w:szCs w:val="24"/>
          <w:spacing w:val="-2"/>
        </w:rPr>
        <w:t>。</w:t>
      </w:r>
      <w:r>
        <w:rPr>
          <w:rFonts w:ascii="Times New Roman" w:hAnsi="Times New Roman" w:eastAsia="Times New Roman" w:cs="Times New Roman"/>
          <w:sz w:val="24"/>
          <w:szCs w:val="24"/>
          <w:spacing w:val="-2"/>
        </w:rPr>
        <w:t>2025</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2"/>
        </w:rPr>
        <w:t>年包括万元</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GD</w:t>
      </w:r>
      <w:r>
        <w:rPr>
          <w:rFonts w:ascii="Times New Roman" w:hAnsi="Times New Roman" w:eastAsia="Times New Roman" w:cs="Times New Roman"/>
          <w:sz w:val="24"/>
          <w:szCs w:val="24"/>
          <w:spacing w:val="-3"/>
        </w:rPr>
        <w:t>P</w:t>
      </w:r>
      <w:r>
        <w:rPr>
          <w:rFonts w:ascii="Times New Roman" w:hAnsi="Times New Roman" w:eastAsia="Times New Roman" w:cs="Times New Roman"/>
          <w:sz w:val="24"/>
          <w:szCs w:val="24"/>
          <w:spacing w:val="26"/>
          <w:w w:val="101"/>
        </w:rPr>
        <w:t xml:space="preserve"> </w:t>
      </w:r>
      <w:r>
        <w:rPr>
          <w:rFonts w:ascii="SimSun" w:hAnsi="SimSun" w:eastAsia="SimSun" w:cs="SimSun"/>
          <w:sz w:val="24"/>
          <w:szCs w:val="24"/>
          <w:spacing w:val="-3"/>
        </w:rPr>
        <w:t>用水量较</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3"/>
        </w:rPr>
        <w:t>2020</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3"/>
        </w:rPr>
        <w:t>年下降</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3"/>
        </w:rPr>
        <w:t>5.2%</w:t>
      </w:r>
      <w:r>
        <w:rPr>
          <w:rFonts w:ascii="SimSun" w:hAnsi="SimSun" w:eastAsia="SimSun" w:cs="SimSun"/>
          <w:sz w:val="24"/>
          <w:szCs w:val="24"/>
          <w:spacing w:val="-3"/>
        </w:rPr>
        <w:t>、万元工业增加值</w:t>
      </w:r>
      <w:r>
        <w:rPr>
          <w:rFonts w:ascii="SimSun" w:hAnsi="SimSun" w:eastAsia="SimSun" w:cs="SimSun"/>
          <w:sz w:val="24"/>
          <w:szCs w:val="24"/>
          <w:spacing w:val="-2"/>
        </w:rPr>
        <w:t>用水量较</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2020</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2"/>
        </w:rPr>
        <w:t>年下降</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5%</w:t>
      </w:r>
      <w:r>
        <w:rPr>
          <w:rFonts w:ascii="SimSun" w:hAnsi="SimSun" w:eastAsia="SimSun" w:cs="SimSun"/>
          <w:sz w:val="24"/>
          <w:szCs w:val="24"/>
          <w:spacing w:val="-2"/>
        </w:rPr>
        <w:t>、灌溉水有效利用系数</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0.765</w:t>
      </w:r>
      <w:r>
        <w:rPr>
          <w:rFonts w:ascii="SimSun" w:hAnsi="SimSun" w:eastAsia="SimSun" w:cs="SimSun"/>
          <w:sz w:val="24"/>
          <w:szCs w:val="24"/>
          <w:spacing w:val="-2"/>
        </w:rPr>
        <w:t>。到</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2"/>
        </w:rPr>
        <w:t>2035</w:t>
      </w:r>
      <w:r>
        <w:rPr>
          <w:rFonts w:ascii="Times New Roman" w:hAnsi="Times New Roman" w:eastAsia="Times New Roman" w:cs="Times New Roman"/>
          <w:sz w:val="24"/>
          <w:szCs w:val="24"/>
          <w:spacing w:val="24"/>
          <w:w w:val="101"/>
        </w:rPr>
        <w:t xml:space="preserve"> </w:t>
      </w:r>
      <w:r>
        <w:rPr>
          <w:rFonts w:ascii="SimSun" w:hAnsi="SimSun" w:eastAsia="SimSun" w:cs="SimSun"/>
          <w:sz w:val="24"/>
          <w:szCs w:val="24"/>
          <w:spacing w:val="-2"/>
        </w:rPr>
        <w:t>年，生态保护红</w:t>
      </w:r>
      <w:r>
        <w:rPr>
          <w:rFonts w:ascii="SimSun" w:hAnsi="SimSun" w:eastAsia="SimSun" w:cs="SimSun"/>
          <w:sz w:val="24"/>
          <w:szCs w:val="24"/>
          <w:spacing w:val="-3"/>
        </w:rPr>
        <w:t>线面积不低于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130034.47m</w:t>
      </w:r>
      <w:r>
        <w:rPr>
          <w:rFonts w:ascii="Times New Roman" w:hAnsi="Times New Roman" w:eastAsia="Times New Roman" w:cs="Times New Roman"/>
          <w:sz w:val="16"/>
          <w:szCs w:val="16"/>
          <w:spacing w:val="-3"/>
          <w:position w:val="10"/>
        </w:rPr>
        <w:t>2</w:t>
      </w:r>
      <w:r>
        <w:rPr>
          <w:rFonts w:ascii="SimSun" w:hAnsi="SimSun" w:eastAsia="SimSun" w:cs="SimSun"/>
          <w:sz w:val="24"/>
          <w:szCs w:val="24"/>
          <w:spacing w:val="-3"/>
        </w:rPr>
        <w:t>，林地保有量不低于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115.05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3"/>
        </w:rPr>
        <w:t>hm</w:t>
      </w:r>
      <w:r>
        <w:rPr>
          <w:rFonts w:ascii="Times New Roman" w:hAnsi="Times New Roman" w:eastAsia="Times New Roman" w:cs="Times New Roman"/>
          <w:sz w:val="16"/>
          <w:szCs w:val="16"/>
          <w:spacing w:val="-4"/>
          <w:position w:val="10"/>
        </w:rPr>
        <w:t>2</w:t>
      </w:r>
      <w:r>
        <w:rPr>
          <w:rFonts w:ascii="SimSun" w:hAnsi="SimSun" w:eastAsia="SimSun" w:cs="SimSun"/>
          <w:sz w:val="24"/>
          <w:szCs w:val="24"/>
          <w:spacing w:val="-4"/>
        </w:rPr>
        <w:t>，基本草原面积不低</w:t>
      </w:r>
      <w:r>
        <w:rPr>
          <w:rFonts w:ascii="SimSun" w:hAnsi="SimSun" w:eastAsia="SimSun" w:cs="SimSun"/>
          <w:sz w:val="24"/>
          <w:szCs w:val="24"/>
          <w:spacing w:val="-1"/>
        </w:rPr>
        <w:t>于</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24384.84</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
        </w:rPr>
        <w:t>万亩，耕地保有量保持在</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461.1</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万亩，永久基本农田保护面积保持在</w:t>
      </w:r>
      <w:r>
        <w:rPr>
          <w:rFonts w:ascii="Times New Roman" w:hAnsi="Times New Roman" w:eastAsia="Times New Roman" w:cs="Times New Roman"/>
          <w:sz w:val="24"/>
          <w:szCs w:val="24"/>
          <w:spacing w:val="-2"/>
        </w:rPr>
        <w:t>289.21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万</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2"/>
        </w:rPr>
        <w:t>hm</w:t>
      </w:r>
      <w:r>
        <w:rPr>
          <w:rFonts w:ascii="Times New Roman" w:hAnsi="Times New Roman" w:eastAsia="Times New Roman" w:cs="Times New Roman"/>
          <w:sz w:val="16"/>
          <w:szCs w:val="16"/>
          <w:spacing w:val="-2"/>
          <w:position w:val="10"/>
        </w:rPr>
        <w:t>2</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2"/>
        </w:rPr>
        <w:t>，新增国土修复面积达</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351.38</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2"/>
        </w:rPr>
        <w:t>万</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2"/>
        </w:rPr>
        <w:t>hm</w:t>
      </w:r>
      <w:r>
        <w:rPr>
          <w:rFonts w:ascii="Times New Roman" w:hAnsi="Times New Roman" w:eastAsia="Times New Roman" w:cs="Times New Roman"/>
          <w:sz w:val="16"/>
          <w:szCs w:val="16"/>
          <w:spacing w:val="-2"/>
          <w:position w:val="10"/>
        </w:rPr>
        <w:t>2</w:t>
      </w:r>
      <w:r>
        <w:rPr>
          <w:rFonts w:ascii="SimSun" w:hAnsi="SimSun" w:eastAsia="SimSun" w:cs="SimSun"/>
          <w:sz w:val="24"/>
          <w:szCs w:val="24"/>
          <w:spacing w:val="-3"/>
        </w:rPr>
        <w:t>。到</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3"/>
        </w:rPr>
        <w:t>2035 </w:t>
      </w:r>
      <w:r>
        <w:rPr>
          <w:rFonts w:ascii="SimSun" w:hAnsi="SimSun" w:eastAsia="SimSun" w:cs="SimSun"/>
          <w:sz w:val="24"/>
          <w:szCs w:val="24"/>
          <w:spacing w:val="-3"/>
        </w:rPr>
        <w:t>年，全盟国土开发强</w:t>
      </w:r>
      <w:r>
        <w:rPr>
          <w:rFonts w:ascii="SimSun" w:hAnsi="SimSun" w:eastAsia="SimSun" w:cs="SimSun"/>
          <w:sz w:val="24"/>
          <w:szCs w:val="24"/>
          <w:spacing w:val="-1"/>
        </w:rPr>
        <w:t>度控制在</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0.77%</w:t>
      </w:r>
      <w:r>
        <w:rPr>
          <w:rFonts w:ascii="SimSun" w:hAnsi="SimSun" w:eastAsia="SimSun" w:cs="SimSun"/>
          <w:sz w:val="24"/>
          <w:szCs w:val="24"/>
          <w:spacing w:val="-1"/>
        </w:rPr>
        <w:t>以内，城乡建设用地总规模控制在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660.82</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万</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2"/>
        </w:rPr>
        <w:t>hm</w:t>
      </w:r>
      <w:r>
        <w:rPr>
          <w:rFonts w:ascii="Times New Roman" w:hAnsi="Times New Roman" w:eastAsia="Times New Roman" w:cs="Times New Roman"/>
          <w:sz w:val="16"/>
          <w:szCs w:val="16"/>
          <w:spacing w:val="-2"/>
          <w:position w:val="10"/>
        </w:rPr>
        <w:t>2</w:t>
      </w:r>
      <w:r>
        <w:rPr>
          <w:rFonts w:ascii="SimSun" w:hAnsi="SimSun" w:eastAsia="SimSun" w:cs="SimSun"/>
          <w:sz w:val="24"/>
          <w:szCs w:val="24"/>
          <w:spacing w:val="-2"/>
        </w:rPr>
        <w:t>。</w:t>
      </w:r>
    </w:p>
    <w:p>
      <w:pPr>
        <w:ind w:left="40" w:right="68" w:firstLine="478"/>
        <w:spacing w:before="3" w:line="359" w:lineRule="auto"/>
        <w:jc w:val="both"/>
        <w:rPr>
          <w:rFonts w:ascii="SimSun" w:hAnsi="SimSun" w:eastAsia="SimSun" w:cs="SimSun"/>
          <w:sz w:val="24"/>
          <w:szCs w:val="24"/>
        </w:rPr>
      </w:pPr>
      <w:r>
        <w:rPr>
          <w:rFonts w:ascii="SimSun" w:hAnsi="SimSun" w:eastAsia="SimSun" w:cs="SimSun"/>
          <w:sz w:val="24"/>
          <w:szCs w:val="24"/>
          <w:spacing w:val="3"/>
        </w:rPr>
        <w:t>本项目位于锡林郭勒盟锡林浩特市额尔顿街道办事处新兴社区</w:t>
      </w:r>
      <w:r>
        <w:rPr>
          <w:rFonts w:ascii="SimSun" w:hAnsi="SimSun" w:eastAsia="SimSun" w:cs="SimSun"/>
          <w:sz w:val="24"/>
          <w:szCs w:val="24"/>
          <w:spacing w:val="2"/>
        </w:rPr>
        <w:t>沃源奶牛场，</w:t>
      </w:r>
      <w:r>
        <w:rPr>
          <w:rFonts w:ascii="SimSun" w:hAnsi="SimSun" w:eastAsia="SimSun" w:cs="SimSun"/>
          <w:sz w:val="24"/>
          <w:szCs w:val="24"/>
          <w:spacing w:val="3"/>
        </w:rPr>
        <w:t>租用沃源奶牛场土地进行建设，不新增占地，不新</w:t>
      </w:r>
      <w:r>
        <w:rPr>
          <w:rFonts w:ascii="SimSun" w:hAnsi="SimSun" w:eastAsia="SimSun" w:cs="SimSun"/>
          <w:sz w:val="24"/>
          <w:szCs w:val="24"/>
          <w:spacing w:val="2"/>
        </w:rPr>
        <w:t>占用草原及农田，项目用水由</w:t>
      </w:r>
      <w:r>
        <w:rPr>
          <w:rFonts w:ascii="SimSun" w:hAnsi="SimSun" w:eastAsia="SimSun" w:cs="SimSun"/>
          <w:sz w:val="24"/>
          <w:szCs w:val="24"/>
          <w:spacing w:val="3"/>
        </w:rPr>
        <w:t>厂区内水井供给，用水量不大，正在办理取水许可</w:t>
      </w:r>
      <w:r>
        <w:rPr>
          <w:rFonts w:ascii="SimSun" w:hAnsi="SimSun" w:eastAsia="SimSun" w:cs="SimSun"/>
          <w:sz w:val="24"/>
          <w:szCs w:val="24"/>
          <w:spacing w:val="2"/>
        </w:rPr>
        <w:t>手续，综上所述，本项目建设</w:t>
      </w:r>
      <w:r>
        <w:rPr>
          <w:rFonts w:ascii="SimSun" w:hAnsi="SimSun" w:eastAsia="SimSun" w:cs="SimSun"/>
          <w:sz w:val="24"/>
          <w:szCs w:val="24"/>
          <w:spacing w:val="-1"/>
        </w:rPr>
        <w:t>不突破区域资源利用上限。</w:t>
      </w:r>
    </w:p>
    <w:p>
      <w:pPr>
        <w:ind w:left="524"/>
        <w:spacing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）生态环境准入清单</w:t>
      </w:r>
    </w:p>
    <w:p>
      <w:pPr>
        <w:ind w:left="519"/>
        <w:spacing w:before="160" w:line="233" w:lineRule="auto"/>
        <w:rPr>
          <w:rFonts w:ascii="SimSun" w:hAnsi="SimSun" w:eastAsia="SimSun" w:cs="SimSun"/>
          <w:sz w:val="24"/>
          <w:szCs w:val="24"/>
        </w:rPr>
      </w:pPr>
      <w:r>
        <w:pict>
          <v:shape id="_x0000_s42" style="position:absolute;margin-left:1.68601pt;margin-top:97.8592pt;mso-position-vertical-relative:text;mso-position-horizontal-relative:text;width:425.7pt;height:0.6pt;z-index:251670528;" filled="false" strokecolor="#808080" strokeweight="0.50pt" coordsize="8514,12" coordorigin="0,0" path="m5,5l8508,6e">
            <v:stroke endcap="round" miterlimit="10"/>
          </v:shape>
        </w:pict>
      </w:r>
      <w:r>
        <w:rPr>
          <w:rFonts w:ascii="SimSun" w:hAnsi="SimSun" w:eastAsia="SimSun" w:cs="SimSun"/>
          <w:sz w:val="24"/>
          <w:szCs w:val="24"/>
          <w:spacing w:val="-2"/>
        </w:rPr>
        <w:t>本项目与准入要求符合性分析详见表</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1-7</w:t>
      </w:r>
      <w:r>
        <w:rPr>
          <w:rFonts w:ascii="SimSun" w:hAnsi="SimSun" w:eastAsia="SimSun" w:cs="SimSun"/>
          <w:sz w:val="24"/>
          <w:szCs w:val="24"/>
          <w:spacing w:val="-2"/>
        </w:rPr>
        <w:t>。</w:t>
      </w:r>
    </w:p>
    <w:p>
      <w:pPr>
        <w:spacing w:line="233" w:lineRule="auto"/>
        <w:sectPr>
          <w:footerReference w:type="default" r:id="rId24"/>
          <w:pgSz w:w="11907" w:h="16839"/>
          <w:pgMar w:top="1422" w:right="1630" w:bottom="1618" w:left="1673" w:header="1033" w:footer="1417" w:gutter="0"/>
        </w:sectPr>
        <w:rPr>
          <w:rFonts w:ascii="SimSun" w:hAnsi="SimSun" w:eastAsia="SimSun" w:cs="SimSun"/>
          <w:sz w:val="24"/>
          <w:szCs w:val="24"/>
        </w:rPr>
      </w:pPr>
    </w:p>
    <w:p>
      <w:pPr>
        <w:ind w:left="2747"/>
        <w:spacing w:before="313" w:line="234" w:lineRule="auto"/>
        <w:rPr>
          <w:rFonts w:ascii="SimSun" w:hAnsi="SimSun" w:eastAsia="SimSun" w:cs="SimSun"/>
          <w:sz w:val="24"/>
          <w:szCs w:val="24"/>
        </w:rPr>
      </w:pPr>
      <w:r>
        <w:rPr>
          <w:rFonts w:ascii="SimSun" w:hAnsi="SimSun" w:eastAsia="SimSun" w:cs="SimSun"/>
          <w:sz w:val="24"/>
          <w:szCs w:val="24"/>
          <w:b/>
          <w:bCs/>
          <w:spacing w:val="-4"/>
        </w:rPr>
        <w:t>表</w:t>
      </w:r>
      <w:r>
        <w:rPr>
          <w:rFonts w:ascii="SimSun" w:hAnsi="SimSun" w:eastAsia="SimSun" w:cs="SimSun"/>
          <w:sz w:val="24"/>
          <w:szCs w:val="24"/>
          <w:spacing w:val="-26"/>
        </w:rPr>
        <w:t xml:space="preserve"> </w:t>
      </w:r>
      <w:r>
        <w:rPr>
          <w:rFonts w:ascii="Times New Roman" w:hAnsi="Times New Roman" w:eastAsia="Times New Roman" w:cs="Times New Roman"/>
          <w:sz w:val="24"/>
          <w:szCs w:val="24"/>
          <w:b/>
          <w:bCs/>
          <w:spacing w:val="-4"/>
        </w:rPr>
        <w:t>1-7    </w:t>
      </w:r>
      <w:r>
        <w:rPr>
          <w:rFonts w:ascii="SimSun" w:hAnsi="SimSun" w:eastAsia="SimSun" w:cs="SimSun"/>
          <w:sz w:val="24"/>
          <w:szCs w:val="24"/>
          <w:b/>
          <w:bCs/>
          <w:spacing w:val="-4"/>
        </w:rPr>
        <w:t>生态环境准入清单（摘录）</w:t>
      </w:r>
    </w:p>
    <w:p>
      <w:pPr>
        <w:spacing w:line="127" w:lineRule="exact"/>
        <w:rPr/>
      </w:pPr>
      <w:r/>
    </w:p>
    <w:tbl>
      <w:tblPr>
        <w:tblStyle w:val="TableNormal"/>
        <w:tblW w:w="872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01"/>
        <w:gridCol w:w="1119"/>
        <w:gridCol w:w="941"/>
        <w:gridCol w:w="1013"/>
        <w:gridCol w:w="2712"/>
        <w:gridCol w:w="1937"/>
      </w:tblGrid>
      <w:tr>
        <w:trPr>
          <w:trHeight w:val="1072" w:hRule="atLeast"/>
        </w:trPr>
        <w:tc>
          <w:tcPr>
            <w:tcW w:w="1001" w:type="dxa"/>
            <w:vAlign w:val="top"/>
            <w:tcBorders>
              <w:top w:val="single" w:color="000000" w:sz="10" w:space="0"/>
              <w:left w:val="nil"/>
            </w:tcBorders>
          </w:tcPr>
          <w:p>
            <w:pPr>
              <w:pStyle w:val="TableText"/>
              <w:ind w:left="197"/>
              <w:spacing w:before="160" w:line="221" w:lineRule="auto"/>
              <w:rPr/>
            </w:pPr>
            <w:r>
              <w:rPr>
                <w:b/>
                <w:bCs/>
                <w:spacing w:val="-4"/>
              </w:rPr>
              <w:t>环境管</w:t>
            </w:r>
          </w:p>
          <w:p>
            <w:pPr>
              <w:pStyle w:val="TableText"/>
              <w:ind w:left="304" w:right="175" w:hanging="108"/>
              <w:spacing w:before="19" w:line="243" w:lineRule="auto"/>
              <w:rPr/>
            </w:pPr>
            <w:r>
              <w:rPr>
                <w:b/>
                <w:bCs/>
                <w:spacing w:val="-4"/>
              </w:rPr>
              <w:t>控单元</w:t>
            </w:r>
            <w:r>
              <w:rPr>
                <w:b/>
                <w:bCs/>
                <w:spacing w:val="-5"/>
              </w:rPr>
              <w:t>编码</w:t>
            </w:r>
          </w:p>
        </w:tc>
        <w:tc>
          <w:tcPr>
            <w:tcW w:w="1119" w:type="dxa"/>
            <w:vAlign w:val="top"/>
            <w:tcBorders>
              <w:top w:val="single" w:color="000000" w:sz="10" w:space="0"/>
            </w:tcBorders>
          </w:tcPr>
          <w:p>
            <w:pPr>
              <w:pStyle w:val="TableText"/>
              <w:ind w:left="143" w:right="135" w:hanging="1"/>
              <w:spacing w:before="294" w:line="243" w:lineRule="auto"/>
              <w:rPr/>
            </w:pPr>
            <w:r>
              <w:rPr>
                <w:b/>
                <w:bCs/>
                <w:spacing w:val="-4"/>
              </w:rPr>
              <w:t>环境管控</w:t>
            </w:r>
            <w:r>
              <w:rPr>
                <w:b/>
                <w:bCs/>
                <w:spacing w:val="-4"/>
              </w:rPr>
              <w:t>单元名称</w:t>
            </w:r>
          </w:p>
        </w:tc>
        <w:tc>
          <w:tcPr>
            <w:tcW w:w="941" w:type="dxa"/>
            <w:vAlign w:val="top"/>
            <w:tcBorders>
              <w:top w:val="single" w:color="000000" w:sz="10" w:space="0"/>
            </w:tcBorders>
          </w:tcPr>
          <w:p>
            <w:pPr>
              <w:pStyle w:val="TableText"/>
              <w:ind w:left="160" w:right="151" w:firstLine="3"/>
              <w:spacing w:before="294" w:line="243" w:lineRule="auto"/>
              <w:rPr/>
            </w:pPr>
            <w:r>
              <w:rPr>
                <w:b/>
                <w:bCs/>
                <w:spacing w:val="-6"/>
              </w:rPr>
              <w:t>管控单</w:t>
            </w:r>
            <w:r>
              <w:rPr>
                <w:b/>
                <w:bCs/>
                <w:spacing w:val="-5"/>
              </w:rPr>
              <w:t>元分类</w:t>
            </w:r>
          </w:p>
        </w:tc>
        <w:tc>
          <w:tcPr>
            <w:tcW w:w="1013" w:type="dxa"/>
            <w:vAlign w:val="top"/>
            <w:tcBorders>
              <w:top w:val="single" w:color="000000" w:sz="10" w:space="0"/>
            </w:tcBorders>
          </w:tcPr>
          <w:p>
            <w:pPr>
              <w:pStyle w:val="TableText"/>
              <w:ind w:left="300" w:right="293" w:firstLine="5"/>
              <w:spacing w:before="294" w:line="243" w:lineRule="auto"/>
              <w:rPr/>
            </w:pPr>
            <w:r>
              <w:rPr>
                <w:b/>
                <w:bCs/>
                <w:spacing w:val="-8"/>
              </w:rPr>
              <w:t>管控</w:t>
            </w:r>
            <w:r>
              <w:rPr>
                <w:b/>
                <w:bCs/>
                <w:spacing w:val="-6"/>
              </w:rPr>
              <w:t>类型</w:t>
            </w:r>
          </w:p>
        </w:tc>
        <w:tc>
          <w:tcPr>
            <w:tcW w:w="2712" w:type="dxa"/>
            <w:vAlign w:val="top"/>
            <w:tcBorders>
              <w:top w:val="single" w:color="000000" w:sz="10" w:space="0"/>
            </w:tcBorders>
          </w:tcPr>
          <w:p>
            <w:pPr>
              <w:spacing w:line="361" w:lineRule="auto"/>
              <w:rPr>
                <w:rFonts w:ascii="Arial"/>
                <w:sz w:val="21"/>
              </w:rPr>
            </w:pPr>
            <w:r/>
          </w:p>
          <w:p>
            <w:pPr>
              <w:pStyle w:val="TableText"/>
              <w:ind w:left="944"/>
              <w:spacing w:before="68" w:line="221" w:lineRule="auto"/>
              <w:rPr/>
            </w:pPr>
            <w:r>
              <w:rPr>
                <w:b/>
                <w:bCs/>
                <w:spacing w:val="-4"/>
              </w:rPr>
              <w:t>管控要求</w:t>
            </w:r>
          </w:p>
        </w:tc>
        <w:tc>
          <w:tcPr>
            <w:tcW w:w="1937" w:type="dxa"/>
            <w:vAlign w:val="top"/>
            <w:tcBorders>
              <w:top w:val="single" w:color="000000" w:sz="10" w:space="0"/>
              <w:right w:val="nil"/>
            </w:tcBorders>
          </w:tcPr>
          <w:p>
            <w:pPr>
              <w:spacing w:line="361" w:lineRule="auto"/>
              <w:rPr>
                <w:rFonts w:ascii="Arial"/>
                <w:sz w:val="21"/>
              </w:rPr>
            </w:pPr>
            <w:r/>
          </w:p>
          <w:p>
            <w:pPr>
              <w:pStyle w:val="TableText"/>
              <w:ind w:left="342"/>
              <w:spacing w:before="68" w:line="220" w:lineRule="auto"/>
              <w:rPr/>
            </w:pPr>
            <w:r>
              <w:rPr>
                <w:b/>
                <w:bCs/>
                <w:spacing w:val="-3"/>
              </w:rPr>
              <w:t>本项目符合性</w:t>
            </w:r>
          </w:p>
        </w:tc>
      </w:tr>
      <w:tr>
        <w:trPr>
          <w:trHeight w:val="6001" w:hRule="atLeast"/>
        </w:trPr>
        <w:tc>
          <w:tcPr>
            <w:tcW w:w="1001" w:type="dxa"/>
            <w:vAlign w:val="top"/>
            <w:tcBorders>
              <w:bottom w:val="single" w:color="000000" w:sz="10" w:space="0"/>
              <w:left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58"/>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ZH1525</w:t>
            </w:r>
          </w:p>
          <w:p>
            <w:pPr>
              <w:ind w:left="146"/>
              <w:spacing w:before="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0210010</w:t>
            </w:r>
          </w:p>
        </w:tc>
        <w:tc>
          <w:tcPr>
            <w:tcW w:w="1119" w:type="dxa"/>
            <w:vAlign w:val="top"/>
            <w:tcBorders>
              <w:bottom w:val="single" w:color="000000" w:sz="10" w:space="0"/>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45" w:right="135" w:hanging="2"/>
              <w:spacing w:before="68"/>
              <w:jc w:val="both"/>
              <w:rPr/>
            </w:pPr>
            <w:r>
              <w:rPr>
                <w:spacing w:val="-2"/>
              </w:rPr>
              <w:t>锡林浩特</w:t>
            </w:r>
            <w:r>
              <w:rPr>
                <w:spacing w:val="-2"/>
              </w:rPr>
              <w:t>市一般生</w:t>
            </w:r>
            <w:r>
              <w:rPr>
                <w:spacing w:val="16"/>
              </w:rPr>
              <w:t>态空间</w:t>
            </w:r>
            <w:r>
              <w:rPr>
                <w:rFonts w:ascii="Times New Roman" w:hAnsi="Times New Roman" w:eastAsia="Times New Roman" w:cs="Times New Roman"/>
                <w:spacing w:val="16"/>
              </w:rPr>
              <w:t>-</w:t>
            </w:r>
            <w:r>
              <w:rPr>
                <w:spacing w:val="-2"/>
              </w:rPr>
              <w:t>防风固沙</w:t>
            </w:r>
            <w:r>
              <w:rPr>
                <w:spacing w:val="-2"/>
              </w:rPr>
              <w:t>生态功能</w:t>
            </w:r>
            <w:r>
              <w:rPr>
                <w:spacing w:val="32"/>
              </w:rPr>
              <w:t>重要区</w:t>
            </w:r>
          </w:p>
        </w:tc>
        <w:tc>
          <w:tcPr>
            <w:tcW w:w="941" w:type="dxa"/>
            <w:vAlign w:val="top"/>
            <w:tcBorders>
              <w:bottom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59" w:right="151" w:hanging="1"/>
              <w:spacing w:before="68" w:line="241" w:lineRule="auto"/>
              <w:rPr/>
            </w:pPr>
            <w:r>
              <w:rPr>
                <w:spacing w:val="-2"/>
              </w:rPr>
              <w:t>优先保</w:t>
            </w:r>
            <w:r>
              <w:rPr>
                <w:spacing w:val="-2"/>
              </w:rPr>
              <w:t>护单元</w:t>
            </w:r>
          </w:p>
        </w:tc>
        <w:tc>
          <w:tcPr>
            <w:tcW w:w="1013" w:type="dxa"/>
            <w:vAlign w:val="top"/>
            <w:tcBorders>
              <w:bottom w:val="single" w:color="000000" w:sz="10"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pStyle w:val="TableText"/>
              <w:ind w:left="197" w:right="187" w:firstLine="4"/>
              <w:spacing w:before="69"/>
              <w:rPr/>
            </w:pPr>
            <w:r>
              <w:rPr>
                <w:spacing w:val="-4"/>
              </w:rPr>
              <w:t>空间布</w:t>
            </w:r>
            <w:r>
              <w:rPr>
                <w:spacing w:val="-3"/>
              </w:rPr>
              <w:t>局约束</w:t>
            </w:r>
          </w:p>
        </w:tc>
        <w:tc>
          <w:tcPr>
            <w:tcW w:w="2712" w:type="dxa"/>
            <w:vAlign w:val="top"/>
            <w:tcBorders>
              <w:bottom w:val="single" w:color="000000" w:sz="10" w:space="0"/>
            </w:tcBorders>
          </w:tcPr>
          <w:p>
            <w:pPr>
              <w:pStyle w:val="TableText"/>
              <w:ind w:left="116"/>
              <w:spacing w:before="33" w:line="221" w:lineRule="auto"/>
              <w:rPr/>
            </w:pPr>
            <w:r>
              <w:rPr>
                <w:spacing w:val="-1"/>
              </w:rPr>
              <w:t>不得批准对防风固沙林网、</w:t>
            </w:r>
          </w:p>
          <w:p>
            <w:pPr>
              <w:pStyle w:val="TableText"/>
              <w:ind w:left="114"/>
              <w:spacing w:before="22" w:line="220" w:lineRule="auto"/>
              <w:rPr/>
            </w:pPr>
            <w:r>
              <w:rPr>
                <w:spacing w:val="-3"/>
              </w:rPr>
              <w:t>林带进行采伐（除了抚育更</w:t>
            </w:r>
          </w:p>
          <w:p>
            <w:pPr>
              <w:pStyle w:val="TableText"/>
              <w:ind w:left="114"/>
              <w:spacing w:before="20" w:line="220" w:lineRule="auto"/>
              <w:rPr/>
            </w:pPr>
            <w:r>
              <w:rPr>
                <w:spacing w:val="-3"/>
              </w:rPr>
              <w:t>新性质的采伐）。对林木更</w:t>
            </w:r>
          </w:p>
          <w:p>
            <w:pPr>
              <w:pStyle w:val="TableText"/>
              <w:ind w:left="205"/>
              <w:spacing w:before="24" w:line="221" w:lineRule="auto"/>
              <w:rPr/>
            </w:pPr>
            <w:r>
              <w:rPr>
                <w:spacing w:val="-1"/>
              </w:rPr>
              <w:t>新困难地区已有的防风固</w:t>
            </w:r>
          </w:p>
          <w:p>
            <w:pPr>
              <w:pStyle w:val="TableText"/>
              <w:ind w:left="115"/>
              <w:spacing w:before="19" w:line="220" w:lineRule="auto"/>
              <w:rPr/>
            </w:pPr>
            <w:r>
              <w:rPr>
                <w:spacing w:val="-3"/>
              </w:rPr>
              <w:t>沙林网、林带，不得批准采</w:t>
            </w:r>
          </w:p>
          <w:p>
            <w:pPr>
              <w:pStyle w:val="TableText"/>
              <w:ind w:left="110"/>
              <w:spacing w:before="20" w:line="221" w:lineRule="auto"/>
              <w:rPr/>
            </w:pPr>
            <w:r>
              <w:rPr>
                <w:spacing w:val="-3"/>
              </w:rPr>
              <w:t>伐。禁止在沙化土地上砍挖</w:t>
            </w:r>
          </w:p>
          <w:p>
            <w:pPr>
              <w:pStyle w:val="TableText"/>
              <w:ind w:left="207"/>
              <w:spacing w:before="23" w:line="220" w:lineRule="auto"/>
              <w:rPr/>
            </w:pPr>
            <w:r>
              <w:rPr>
                <w:spacing w:val="-1"/>
              </w:rPr>
              <w:t>灌木、药材及其他固沙植</w:t>
            </w:r>
          </w:p>
          <w:p>
            <w:pPr>
              <w:pStyle w:val="TableText"/>
              <w:ind w:left="113"/>
              <w:spacing w:before="21" w:line="221" w:lineRule="auto"/>
              <w:rPr/>
            </w:pPr>
            <w:r>
              <w:rPr>
                <w:spacing w:val="-3"/>
              </w:rPr>
              <w:t>物。未经国务院或者国务院</w:t>
            </w:r>
          </w:p>
          <w:p>
            <w:pPr>
              <w:pStyle w:val="TableText"/>
              <w:ind w:left="115"/>
              <w:spacing w:before="22" w:line="221" w:lineRule="auto"/>
              <w:rPr/>
            </w:pPr>
            <w:r>
              <w:rPr>
                <w:spacing w:val="-3"/>
              </w:rPr>
              <w:t>指定的部门同意，不得在沙</w:t>
            </w:r>
          </w:p>
          <w:p>
            <w:pPr>
              <w:pStyle w:val="TableText"/>
              <w:ind w:left="205"/>
              <w:spacing w:before="20" w:line="221" w:lineRule="auto"/>
              <w:rPr/>
            </w:pPr>
            <w:r>
              <w:rPr>
                <w:spacing w:val="-1"/>
              </w:rPr>
              <w:t>化土地封禁保护区范围内</w:t>
            </w:r>
          </w:p>
          <w:p>
            <w:pPr>
              <w:pStyle w:val="TableText"/>
              <w:ind w:left="111"/>
              <w:spacing w:before="22" w:line="221" w:lineRule="auto"/>
              <w:rPr/>
            </w:pPr>
            <w:r>
              <w:rPr>
                <w:spacing w:val="-3"/>
              </w:rPr>
              <w:t>进行修建铁路、公路等建设</w:t>
            </w:r>
          </w:p>
          <w:p>
            <w:pPr>
              <w:pStyle w:val="TableText"/>
              <w:ind w:left="116"/>
              <w:spacing w:before="20" w:line="221" w:lineRule="auto"/>
              <w:rPr/>
            </w:pPr>
            <w:r>
              <w:rPr>
                <w:spacing w:val="-1"/>
              </w:rPr>
              <w:t>活动禁止发展高耗水工业。</w:t>
            </w:r>
          </w:p>
          <w:p>
            <w:pPr>
              <w:pStyle w:val="TableText"/>
              <w:ind w:left="204"/>
              <w:spacing w:before="22" w:line="221" w:lineRule="auto"/>
              <w:rPr/>
            </w:pPr>
            <w:r>
              <w:rPr>
                <w:spacing w:val="-1"/>
              </w:rPr>
              <w:t>禁止在国家沙化土地封禁</w:t>
            </w:r>
          </w:p>
          <w:p>
            <w:pPr>
              <w:pStyle w:val="TableText"/>
              <w:ind w:left="114"/>
              <w:spacing w:before="21" w:line="220" w:lineRule="auto"/>
              <w:rPr/>
            </w:pPr>
            <w:r>
              <w:rPr>
                <w:spacing w:val="-1"/>
              </w:rPr>
              <w:t>保护区砍伐、樵采、开垦、</w:t>
            </w:r>
          </w:p>
          <w:p>
            <w:pPr>
              <w:pStyle w:val="TableText"/>
              <w:ind w:left="113"/>
              <w:spacing w:before="23" w:line="220" w:lineRule="auto"/>
              <w:rPr/>
            </w:pPr>
            <w:r>
              <w:rPr>
                <w:spacing w:val="-1"/>
              </w:rPr>
              <w:t>放牧、采药、狩猎、勘探、</w:t>
            </w:r>
          </w:p>
          <w:p>
            <w:pPr>
              <w:pStyle w:val="TableText"/>
              <w:ind w:left="205"/>
              <w:spacing w:before="21" w:line="221" w:lineRule="auto"/>
              <w:rPr/>
            </w:pPr>
            <w:r>
              <w:rPr>
                <w:spacing w:val="-1"/>
              </w:rPr>
              <w:t>开矿和滥用水资源等一切</w:t>
            </w:r>
          </w:p>
          <w:p>
            <w:pPr>
              <w:pStyle w:val="TableText"/>
              <w:ind w:left="112"/>
              <w:spacing w:before="22" w:line="221" w:lineRule="auto"/>
              <w:rPr/>
            </w:pPr>
            <w:r>
              <w:rPr>
                <w:spacing w:val="-3"/>
              </w:rPr>
              <w:t>破坏植被的活动；禁止在国</w:t>
            </w:r>
          </w:p>
          <w:p>
            <w:pPr>
              <w:pStyle w:val="TableText"/>
              <w:ind w:left="206"/>
              <w:spacing w:before="20" w:line="221" w:lineRule="auto"/>
              <w:rPr/>
            </w:pPr>
            <w:r>
              <w:rPr>
                <w:spacing w:val="-1"/>
              </w:rPr>
              <w:t>家沙化土地封禁保护区范</w:t>
            </w:r>
          </w:p>
          <w:p>
            <w:pPr>
              <w:pStyle w:val="TableText"/>
              <w:ind w:left="132"/>
              <w:spacing w:before="22" w:line="221" w:lineRule="auto"/>
              <w:rPr/>
            </w:pPr>
            <w:r>
              <w:rPr>
                <w:spacing w:val="-4"/>
              </w:rPr>
              <w:t>围内安置移民。区内现有不</w:t>
            </w:r>
          </w:p>
          <w:p>
            <w:pPr>
              <w:pStyle w:val="TableText"/>
              <w:ind w:left="115"/>
              <w:spacing w:before="20" w:line="220" w:lineRule="auto"/>
              <w:rPr/>
            </w:pPr>
            <w:r>
              <w:rPr>
                <w:spacing w:val="-3"/>
              </w:rPr>
              <w:t>符合布局要求的，限期退出</w:t>
            </w:r>
          </w:p>
          <w:p>
            <w:pPr>
              <w:pStyle w:val="TableText"/>
              <w:ind w:left="115"/>
              <w:spacing w:before="24" w:line="221" w:lineRule="auto"/>
              <w:rPr/>
            </w:pPr>
            <w:r>
              <w:rPr>
                <w:spacing w:val="-3"/>
              </w:rPr>
              <w:t>或关停。对已造成的污染或</w:t>
            </w:r>
          </w:p>
          <w:p>
            <w:pPr>
              <w:pStyle w:val="TableText"/>
              <w:ind w:left="415"/>
              <w:spacing w:before="20" w:line="208" w:lineRule="auto"/>
              <w:rPr/>
            </w:pPr>
            <w:r>
              <w:rPr>
                <w:spacing w:val="-3"/>
              </w:rPr>
              <w:t>损害，应限期治理。</w:t>
            </w:r>
          </w:p>
        </w:tc>
        <w:tc>
          <w:tcPr>
            <w:tcW w:w="1937" w:type="dxa"/>
            <w:vAlign w:val="top"/>
            <w:tcBorders>
              <w:bottom w:val="single" w:color="000000" w:sz="10" w:space="0"/>
              <w:right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34"/>
              <w:spacing w:before="68" w:line="220" w:lineRule="auto"/>
              <w:rPr/>
            </w:pPr>
            <w:r>
              <w:rPr>
                <w:spacing w:val="-1"/>
              </w:rPr>
              <w:t>本项目为肉牛育肥</w:t>
            </w:r>
          </w:p>
          <w:p>
            <w:pPr>
              <w:pStyle w:val="TableText"/>
              <w:ind w:left="133"/>
              <w:spacing w:before="23" w:line="221" w:lineRule="auto"/>
              <w:rPr/>
            </w:pPr>
            <w:r>
              <w:rPr/>
              <w:t>基地建设项目，符</w:t>
            </w:r>
          </w:p>
          <w:p>
            <w:pPr>
              <w:pStyle w:val="TableText"/>
              <w:ind w:left="134"/>
              <w:spacing w:before="20" w:line="221" w:lineRule="auto"/>
              <w:rPr/>
            </w:pPr>
            <w:r>
              <w:rPr>
                <w:spacing w:val="-1"/>
              </w:rPr>
              <w:t>合国家产业政策；</w:t>
            </w:r>
          </w:p>
          <w:p>
            <w:pPr>
              <w:pStyle w:val="TableText"/>
              <w:ind w:left="134"/>
              <w:spacing w:before="22" w:line="220" w:lineRule="auto"/>
              <w:rPr/>
            </w:pPr>
            <w:r>
              <w:rPr>
                <w:spacing w:val="-1"/>
              </w:rPr>
              <w:t>租用锡林郭勒盟锡</w:t>
            </w:r>
          </w:p>
          <w:p>
            <w:pPr>
              <w:pStyle w:val="TableText"/>
              <w:ind w:left="134"/>
              <w:spacing w:before="20" w:line="221" w:lineRule="auto"/>
              <w:rPr/>
            </w:pPr>
            <w:r>
              <w:rPr>
                <w:spacing w:val="-1"/>
              </w:rPr>
              <w:t>林浩特市额尔顿街</w:t>
            </w:r>
          </w:p>
          <w:p>
            <w:pPr>
              <w:pStyle w:val="TableText"/>
              <w:ind w:left="132"/>
              <w:spacing w:before="22" w:line="221" w:lineRule="auto"/>
              <w:rPr/>
            </w:pPr>
            <w:r>
              <w:rPr>
                <w:spacing w:val="-1"/>
              </w:rPr>
              <w:t>道办事处新兴社区</w:t>
            </w:r>
          </w:p>
          <w:p>
            <w:pPr>
              <w:pStyle w:val="TableText"/>
              <w:ind w:left="134"/>
              <w:spacing w:before="21" w:line="221" w:lineRule="auto"/>
              <w:rPr/>
            </w:pPr>
            <w:r>
              <w:rPr>
                <w:spacing w:val="-1"/>
              </w:rPr>
              <w:t>沃源奶牛场进行建</w:t>
            </w:r>
          </w:p>
          <w:p>
            <w:pPr>
              <w:pStyle w:val="TableText"/>
              <w:ind w:left="136"/>
              <w:spacing w:before="22" w:line="221" w:lineRule="auto"/>
              <w:rPr/>
            </w:pPr>
            <w:r>
              <w:rPr>
                <w:spacing w:val="-1"/>
              </w:rPr>
              <w:t>设，不新增占地，</w:t>
            </w:r>
          </w:p>
          <w:p>
            <w:pPr>
              <w:pStyle w:val="TableText"/>
              <w:ind w:left="136"/>
              <w:spacing w:before="19" w:line="221" w:lineRule="auto"/>
              <w:rPr/>
            </w:pPr>
            <w:r>
              <w:rPr>
                <w:spacing w:val="-1"/>
              </w:rPr>
              <w:t>不涉及管控要求禁</w:t>
            </w:r>
          </w:p>
          <w:p>
            <w:pPr>
              <w:pStyle w:val="TableText"/>
              <w:ind w:left="134"/>
              <w:spacing w:before="23" w:line="221" w:lineRule="auto"/>
              <w:rPr/>
            </w:pPr>
            <w:r>
              <w:rPr>
                <w:spacing w:val="-1"/>
              </w:rPr>
              <w:t>止行为，故项目建</w:t>
            </w:r>
          </w:p>
          <w:p>
            <w:pPr>
              <w:pStyle w:val="TableText"/>
              <w:ind w:left="136"/>
              <w:spacing w:before="19" w:line="221" w:lineRule="auto"/>
              <w:rPr/>
            </w:pPr>
            <w:r>
              <w:rPr>
                <w:spacing w:val="-1"/>
              </w:rPr>
              <w:t>设符合生态环境准</w:t>
            </w:r>
          </w:p>
          <w:p>
            <w:pPr>
              <w:pStyle w:val="TableText"/>
              <w:ind w:left="343"/>
              <w:spacing w:before="23" w:line="221" w:lineRule="auto"/>
              <w:rPr/>
            </w:pPr>
            <w:r>
              <w:rPr>
                <w:spacing w:val="-1"/>
              </w:rPr>
              <w:t>入清单要求。</w:t>
            </w:r>
          </w:p>
        </w:tc>
      </w:tr>
    </w:tbl>
    <w:p>
      <w:pPr>
        <w:ind w:left="612"/>
        <w:spacing w:before="33" w:line="219" w:lineRule="auto"/>
        <w:rPr>
          <w:rFonts w:ascii="SimSun" w:hAnsi="SimSun" w:eastAsia="SimSun" w:cs="SimSun"/>
          <w:sz w:val="24"/>
          <w:szCs w:val="24"/>
        </w:rPr>
      </w:pPr>
      <w:r>
        <w:rPr>
          <w:rFonts w:ascii="SimSun" w:hAnsi="SimSun" w:eastAsia="SimSun" w:cs="SimSun"/>
          <w:sz w:val="24"/>
          <w:szCs w:val="24"/>
          <w:spacing w:val="3"/>
        </w:rPr>
        <w:t>本项目符合国家产业政策；本项目生活污水排入防渗</w:t>
      </w:r>
      <w:r>
        <w:rPr>
          <w:rFonts w:ascii="SimSun" w:hAnsi="SimSun" w:eastAsia="SimSun" w:cs="SimSun"/>
          <w:sz w:val="24"/>
          <w:szCs w:val="24"/>
          <w:spacing w:val="2"/>
        </w:rPr>
        <w:t>池，定期由环卫部门清</w:t>
      </w:r>
    </w:p>
    <w:p>
      <w:pPr>
        <w:ind w:left="130" w:right="96"/>
        <w:spacing w:before="183" w:line="359" w:lineRule="auto"/>
        <w:jc w:val="both"/>
        <w:rPr>
          <w:rFonts w:ascii="SimSun" w:hAnsi="SimSun" w:eastAsia="SimSun" w:cs="SimSun"/>
          <w:sz w:val="24"/>
          <w:szCs w:val="24"/>
        </w:rPr>
      </w:pPr>
      <w:r>
        <w:rPr>
          <w:rFonts w:ascii="SimSun" w:hAnsi="SimSun" w:eastAsia="SimSun" w:cs="SimSun"/>
          <w:sz w:val="24"/>
          <w:szCs w:val="24"/>
          <w:spacing w:val="2"/>
        </w:rPr>
        <w:t>运处理，本项目牛舍铺设垫料，牛尿及牛粪进入垫料，废垫料暂存于储粪库，最</w:t>
      </w:r>
      <w:r>
        <w:rPr>
          <w:rFonts w:ascii="SimSun" w:hAnsi="SimSun" w:eastAsia="SimSun" w:cs="SimSun"/>
          <w:sz w:val="24"/>
          <w:szCs w:val="24"/>
          <w:spacing w:val="2"/>
        </w:rPr>
        <w:t>终外售给相关单位生产有机肥，本项目废气主要为恶臭气体、发酵废气及食堂油</w:t>
      </w:r>
      <w:r>
        <w:rPr>
          <w:rFonts w:ascii="SimSun" w:hAnsi="SimSun" w:eastAsia="SimSun" w:cs="SimSun"/>
          <w:sz w:val="24"/>
          <w:szCs w:val="24"/>
          <w:spacing w:val="3"/>
        </w:rPr>
        <w:t>烟，经环保设施治理后，能够达标排放，对周围空气影响</w:t>
      </w:r>
      <w:r>
        <w:rPr>
          <w:rFonts w:ascii="SimSun" w:hAnsi="SimSun" w:eastAsia="SimSun" w:cs="SimSun"/>
          <w:sz w:val="24"/>
          <w:szCs w:val="24"/>
          <w:spacing w:val="2"/>
        </w:rPr>
        <w:t>不大，符合生态环境准</w:t>
      </w:r>
      <w:r>
        <w:rPr>
          <w:rFonts w:ascii="SimSun" w:hAnsi="SimSun" w:eastAsia="SimSun" w:cs="SimSun"/>
          <w:sz w:val="24"/>
          <w:szCs w:val="24"/>
          <w:spacing w:val="-9"/>
        </w:rPr>
        <w:t>入要求。</w:t>
      </w:r>
    </w:p>
    <w:p>
      <w:pPr>
        <w:ind w:left="131" w:right="102" w:firstLine="482"/>
        <w:spacing w:line="361" w:lineRule="auto"/>
        <w:rPr>
          <w:rFonts w:ascii="SimSun" w:hAnsi="SimSun" w:eastAsia="SimSun" w:cs="SimSun"/>
          <w:sz w:val="24"/>
          <w:szCs w:val="24"/>
        </w:rPr>
      </w:pPr>
      <w:r>
        <w:rPr>
          <w:rFonts w:ascii="SimSun" w:hAnsi="SimSun" w:eastAsia="SimSun" w:cs="SimSun"/>
          <w:sz w:val="24"/>
          <w:szCs w:val="24"/>
          <w:spacing w:val="1"/>
        </w:rPr>
        <w:t>综上，经过与“三线一单</w:t>
      </w:r>
      <w:r>
        <w:rPr>
          <w:rFonts w:ascii="SimSun" w:hAnsi="SimSun" w:eastAsia="SimSun" w:cs="SimSun"/>
          <w:sz w:val="24"/>
          <w:szCs w:val="24"/>
          <w:spacing w:val="-68"/>
        </w:rPr>
        <w:t xml:space="preserve"> </w:t>
      </w:r>
      <w:r>
        <w:rPr>
          <w:rFonts w:ascii="SimSun" w:hAnsi="SimSun" w:eastAsia="SimSun" w:cs="SimSun"/>
          <w:sz w:val="24"/>
          <w:szCs w:val="24"/>
          <w:spacing w:val="1"/>
        </w:rPr>
        <w:t>”进行对照后，项目不在生态保护红线内、未超出</w:t>
      </w:r>
      <w:r>
        <w:rPr>
          <w:rFonts w:ascii="SimSun" w:hAnsi="SimSun" w:eastAsia="SimSun" w:cs="SimSun"/>
          <w:sz w:val="24"/>
          <w:szCs w:val="24"/>
          <w:spacing w:val="-1"/>
        </w:rPr>
        <w:t>环境质量底线及资源利用上限。</w:t>
      </w:r>
    </w:p>
    <w:p>
      <w:pPr>
        <w:ind w:left="138"/>
        <w:spacing w:before="257"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1.4.7 </w:t>
      </w:r>
      <w:r>
        <w:rPr>
          <w:rFonts w:ascii="SimSun" w:hAnsi="SimSun" w:eastAsia="SimSun" w:cs="SimSun"/>
          <w:sz w:val="24"/>
          <w:szCs w:val="24"/>
          <w:b/>
          <w:bCs/>
          <w:spacing w:val="-2"/>
        </w:rPr>
        <w:t>项目选址及用地合理性分析</w:t>
      </w:r>
    </w:p>
    <w:p>
      <w:pPr>
        <w:pStyle w:val="BodyText"/>
        <w:spacing w:line="340" w:lineRule="auto"/>
        <w:rPr/>
      </w:pPr>
      <w:r/>
    </w:p>
    <w:p>
      <w:pPr>
        <w:ind w:left="570"/>
        <w:spacing w:before="79" w:line="234" w:lineRule="auto"/>
        <w:rPr>
          <w:rFonts w:ascii="SimSun" w:hAnsi="SimSun" w:eastAsia="SimSun" w:cs="SimSun"/>
          <w:sz w:val="24"/>
          <w:szCs w:val="24"/>
        </w:rPr>
      </w:pPr>
      <w:r>
        <w:rPr>
          <w:rFonts w:ascii="Times New Roman" w:hAnsi="Times New Roman" w:eastAsia="Times New Roman" w:cs="Times New Roman"/>
          <w:sz w:val="24"/>
          <w:szCs w:val="24"/>
          <w:spacing w:val="-2"/>
        </w:rPr>
        <w:t>1.4.7.1 </w:t>
      </w:r>
      <w:r>
        <w:rPr>
          <w:rFonts w:ascii="SimSun" w:hAnsi="SimSun" w:eastAsia="SimSun" w:cs="SimSun"/>
          <w:sz w:val="24"/>
          <w:szCs w:val="24"/>
          <w:spacing w:val="-2"/>
        </w:rPr>
        <w:t>选址合理性分析</w:t>
      </w:r>
    </w:p>
    <w:p>
      <w:pPr>
        <w:ind w:left="618"/>
        <w:spacing w:before="16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）禁养区合理性分析</w:t>
      </w:r>
    </w:p>
    <w:p>
      <w:pPr>
        <w:ind w:left="615"/>
        <w:spacing w:before="162" w:line="220" w:lineRule="auto"/>
        <w:rPr>
          <w:rFonts w:ascii="SimSun" w:hAnsi="SimSun" w:eastAsia="SimSun" w:cs="SimSun"/>
          <w:sz w:val="24"/>
          <w:szCs w:val="24"/>
        </w:rPr>
      </w:pPr>
      <w:r>
        <w:pict>
          <v:shape id="_x0000_s46" style="position:absolute;margin-left:6.36601pt;margin-top:42.338pt;mso-position-vertical-relative:text;mso-position-horizontal-relative:text;width:425.7pt;height:0.6pt;z-index:251671552;" filled="false" strokecolor="#808080" strokeweight="0.50pt" coordsize="8514,12" coordorigin="0,0" path="m5,5l8508,6e">
            <v:stroke endcap="round" miterlimit="10"/>
          </v:shape>
        </w:pict>
      </w:r>
      <w:r>
        <w:rPr>
          <w:rFonts w:ascii="SimSun" w:hAnsi="SimSun" w:eastAsia="SimSun" w:cs="SimSun"/>
          <w:sz w:val="24"/>
          <w:szCs w:val="24"/>
          <w:spacing w:val="2"/>
        </w:rPr>
        <w:t>项目区域尚未进行畜禽养殖禁养区划定方案，根据原环保部和农业部制定的</w:t>
      </w:r>
    </w:p>
    <w:p>
      <w:pPr>
        <w:spacing w:line="220" w:lineRule="auto"/>
        <w:sectPr>
          <w:headerReference w:type="default" r:id="rId25"/>
          <w:footerReference w:type="default" r:id="rId26"/>
          <w:pgSz w:w="11907" w:h="16839"/>
          <w:pgMar w:top="1422" w:right="1603" w:bottom="1618" w:left="1579" w:header="1033" w:footer="1415" w:gutter="0"/>
        </w:sectPr>
        <w:rPr>
          <w:rFonts w:ascii="SimSun" w:hAnsi="SimSun" w:eastAsia="SimSun" w:cs="SimSun"/>
          <w:sz w:val="24"/>
          <w:szCs w:val="24"/>
        </w:rPr>
      </w:pPr>
    </w:p>
    <w:p>
      <w:pPr>
        <w:ind w:left="39"/>
        <w:spacing w:before="312" w:line="220" w:lineRule="auto"/>
        <w:rPr>
          <w:rFonts w:ascii="SimSun" w:hAnsi="SimSun" w:eastAsia="SimSun" w:cs="SimSun"/>
          <w:sz w:val="24"/>
          <w:szCs w:val="24"/>
        </w:rPr>
      </w:pPr>
      <w:r>
        <w:rPr>
          <w:rFonts w:ascii="SimSun" w:hAnsi="SimSun" w:eastAsia="SimSun" w:cs="SimSun"/>
          <w:sz w:val="24"/>
          <w:szCs w:val="24"/>
          <w:spacing w:val="-2"/>
        </w:rPr>
        <w:t>《畜禽养殖禁养区划定技术指南》中规定的畜禽养殖禁养区划定范围有：</w:t>
      </w:r>
    </w:p>
    <w:p>
      <w:pPr>
        <w:ind w:left="517"/>
        <w:spacing w:before="180" w:line="217" w:lineRule="auto"/>
        <w:rPr>
          <w:rFonts w:ascii="SimSun" w:hAnsi="SimSun" w:eastAsia="SimSun" w:cs="SimSun"/>
          <w:sz w:val="24"/>
          <w:szCs w:val="24"/>
        </w:rPr>
      </w:pPr>
      <w:r>
        <w:rPr>
          <w:rFonts w:ascii="SimSun" w:hAnsi="SimSun" w:eastAsia="SimSun" w:cs="SimSun"/>
          <w:sz w:val="24"/>
          <w:szCs w:val="24"/>
          <w:spacing w:val="-1"/>
        </w:rPr>
        <w:t>①饮用水水源保护区</w:t>
      </w:r>
    </w:p>
    <w:p>
      <w:pPr>
        <w:ind w:left="39" w:right="37" w:firstLine="478"/>
        <w:spacing w:before="184" w:line="358" w:lineRule="auto"/>
        <w:rPr>
          <w:rFonts w:ascii="SimSun" w:hAnsi="SimSun" w:eastAsia="SimSun" w:cs="SimSun"/>
          <w:sz w:val="24"/>
          <w:szCs w:val="24"/>
        </w:rPr>
      </w:pPr>
      <w:r>
        <w:rPr>
          <w:rFonts w:ascii="SimSun" w:hAnsi="SimSun" w:eastAsia="SimSun" w:cs="SimSun"/>
          <w:sz w:val="24"/>
          <w:szCs w:val="24"/>
          <w:spacing w:val="3"/>
        </w:rPr>
        <w:t>包括饮用水水源一级保护区和二级保护区的</w:t>
      </w:r>
      <w:r>
        <w:rPr>
          <w:rFonts w:ascii="SimSun" w:hAnsi="SimSun" w:eastAsia="SimSun" w:cs="SimSun"/>
          <w:sz w:val="24"/>
          <w:szCs w:val="24"/>
          <w:spacing w:val="2"/>
        </w:rPr>
        <w:t>陆域范围。已经完成饮用水水源</w:t>
      </w:r>
      <w:r>
        <w:rPr>
          <w:rFonts w:ascii="SimSun" w:hAnsi="SimSun" w:eastAsia="SimSun" w:cs="SimSun"/>
          <w:sz w:val="24"/>
          <w:szCs w:val="24"/>
          <w:spacing w:val="2"/>
        </w:rPr>
        <w:t>保护区划分的，按照现有陆域边界范围执行；未完成饮用水水源保护区划分的，</w:t>
      </w:r>
      <w:r>
        <w:rPr>
          <w:rFonts w:ascii="SimSun" w:hAnsi="SimSun" w:eastAsia="SimSun" w:cs="SimSun"/>
          <w:sz w:val="24"/>
          <w:szCs w:val="24"/>
          <w:spacing w:val="-3"/>
        </w:rPr>
        <w:t>参照《饮用水水源保护区划分技术规范》（</w:t>
      </w:r>
      <w:r>
        <w:rPr>
          <w:rFonts w:ascii="Times New Roman" w:hAnsi="Times New Roman" w:eastAsia="Times New Roman" w:cs="Times New Roman"/>
          <w:sz w:val="24"/>
          <w:szCs w:val="24"/>
          <w:spacing w:val="-3"/>
        </w:rPr>
        <w:t>HJ/T338-2007</w:t>
      </w:r>
      <w:r>
        <w:rPr>
          <w:rFonts w:ascii="SimSun" w:hAnsi="SimSun" w:eastAsia="SimSun" w:cs="SimSun"/>
          <w:sz w:val="24"/>
          <w:szCs w:val="24"/>
          <w:spacing w:val="-3"/>
        </w:rPr>
        <w:t>）中各类型饮用水水源保</w:t>
      </w:r>
      <w:r>
        <w:rPr>
          <w:rFonts w:ascii="SimSun" w:hAnsi="SimSun" w:eastAsia="SimSun" w:cs="SimSun"/>
          <w:sz w:val="24"/>
          <w:szCs w:val="24"/>
          <w:spacing w:val="-5"/>
        </w:rPr>
        <w:t>护区划分方法确定。</w:t>
      </w:r>
    </w:p>
    <w:p>
      <w:pPr>
        <w:ind w:left="38" w:right="38" w:firstLine="480"/>
        <w:spacing w:before="7" w:line="359" w:lineRule="auto"/>
        <w:rPr>
          <w:rFonts w:ascii="SimSun" w:hAnsi="SimSun" w:eastAsia="SimSun" w:cs="SimSun"/>
          <w:sz w:val="24"/>
          <w:szCs w:val="24"/>
        </w:rPr>
      </w:pPr>
      <w:r>
        <w:rPr>
          <w:rFonts w:ascii="SimSun" w:hAnsi="SimSun" w:eastAsia="SimSun" w:cs="SimSun"/>
          <w:sz w:val="24"/>
          <w:szCs w:val="24"/>
          <w:spacing w:val="2"/>
        </w:rPr>
        <w:t>其中，饮水水源保护一级保护区内禁止建设养殖场。饮用水水源二级保护区</w:t>
      </w:r>
      <w:r>
        <w:rPr>
          <w:rFonts w:ascii="SimSun" w:hAnsi="SimSun" w:eastAsia="SimSun" w:cs="SimSun"/>
          <w:sz w:val="24"/>
          <w:szCs w:val="24"/>
          <w:spacing w:val="-3"/>
        </w:rPr>
        <w:t>禁止建设有污染物排放的养殖场。</w:t>
      </w:r>
    </w:p>
    <w:p>
      <w:pPr>
        <w:ind w:left="516"/>
        <w:spacing w:line="217" w:lineRule="auto"/>
        <w:rPr>
          <w:rFonts w:ascii="SimSun" w:hAnsi="SimSun" w:eastAsia="SimSun" w:cs="SimSun"/>
          <w:sz w:val="24"/>
          <w:szCs w:val="24"/>
        </w:rPr>
      </w:pPr>
      <w:r>
        <w:rPr>
          <w:rFonts w:ascii="SimSun" w:hAnsi="SimSun" w:eastAsia="SimSun" w:cs="SimSun"/>
          <w:sz w:val="24"/>
          <w:szCs w:val="24"/>
          <w:spacing w:val="-2"/>
        </w:rPr>
        <w:t>②自然保护区</w:t>
      </w:r>
    </w:p>
    <w:p>
      <w:pPr>
        <w:ind w:left="57" w:right="38" w:firstLine="460"/>
        <w:spacing w:before="186" w:line="359" w:lineRule="auto"/>
        <w:rPr>
          <w:rFonts w:ascii="SimSun" w:hAnsi="SimSun" w:eastAsia="SimSun" w:cs="SimSun"/>
          <w:sz w:val="24"/>
          <w:szCs w:val="24"/>
        </w:rPr>
      </w:pPr>
      <w:r>
        <w:rPr>
          <w:rFonts w:ascii="SimSun" w:hAnsi="SimSun" w:eastAsia="SimSun" w:cs="SimSun"/>
          <w:sz w:val="24"/>
          <w:szCs w:val="24"/>
          <w:spacing w:val="3"/>
        </w:rPr>
        <w:t>包括国家级和地方级自然保护区的核心区和</w:t>
      </w:r>
      <w:r>
        <w:rPr>
          <w:rFonts w:ascii="SimSun" w:hAnsi="SimSun" w:eastAsia="SimSun" w:cs="SimSun"/>
          <w:sz w:val="24"/>
          <w:szCs w:val="24"/>
          <w:spacing w:val="2"/>
        </w:rPr>
        <w:t>缓冲区，按照各级人民政府公布</w:t>
      </w:r>
      <w:r>
        <w:rPr>
          <w:rFonts w:ascii="SimSun" w:hAnsi="SimSun" w:eastAsia="SimSun" w:cs="SimSun"/>
          <w:sz w:val="24"/>
          <w:szCs w:val="24"/>
          <w:spacing w:val="-6"/>
        </w:rPr>
        <w:t>的自然保护区范围执行。</w:t>
      </w:r>
    </w:p>
    <w:p>
      <w:pPr>
        <w:ind w:left="557"/>
        <w:spacing w:before="1" w:line="219" w:lineRule="auto"/>
        <w:rPr>
          <w:rFonts w:ascii="SimSun" w:hAnsi="SimSun" w:eastAsia="SimSun" w:cs="SimSun"/>
          <w:sz w:val="24"/>
          <w:szCs w:val="24"/>
        </w:rPr>
      </w:pPr>
      <w:r>
        <w:rPr>
          <w:rFonts w:ascii="SimSun" w:hAnsi="SimSun" w:eastAsia="SimSun" w:cs="SimSun"/>
          <w:sz w:val="24"/>
          <w:szCs w:val="24"/>
          <w:spacing w:val="-4"/>
        </w:rPr>
        <w:t>自然保护区核心区和缓冲区范围内，禁止建设养殖场。</w:t>
      </w:r>
    </w:p>
    <w:p>
      <w:pPr>
        <w:ind w:left="516"/>
        <w:spacing w:before="180" w:line="217" w:lineRule="auto"/>
        <w:rPr>
          <w:rFonts w:ascii="SimSun" w:hAnsi="SimSun" w:eastAsia="SimSun" w:cs="SimSun"/>
          <w:sz w:val="24"/>
          <w:szCs w:val="24"/>
        </w:rPr>
      </w:pPr>
      <w:r>
        <w:rPr>
          <w:rFonts w:ascii="SimSun" w:hAnsi="SimSun" w:eastAsia="SimSun" w:cs="SimSun"/>
          <w:sz w:val="24"/>
          <w:szCs w:val="24"/>
          <w:spacing w:val="-2"/>
        </w:rPr>
        <w:t>③风景名胜区</w:t>
      </w:r>
    </w:p>
    <w:p>
      <w:pPr>
        <w:ind w:left="40" w:right="38" w:firstLine="478"/>
        <w:spacing w:before="186" w:line="359" w:lineRule="auto"/>
        <w:rPr>
          <w:rFonts w:ascii="SimSun" w:hAnsi="SimSun" w:eastAsia="SimSun" w:cs="SimSun"/>
          <w:sz w:val="24"/>
          <w:szCs w:val="24"/>
        </w:rPr>
      </w:pPr>
      <w:r>
        <w:rPr>
          <w:rFonts w:ascii="SimSun" w:hAnsi="SimSun" w:eastAsia="SimSun" w:cs="SimSun"/>
          <w:sz w:val="24"/>
          <w:szCs w:val="24"/>
          <w:spacing w:val="3"/>
        </w:rPr>
        <w:t>包括国家级和省级风景名胜区，以国务院及</w:t>
      </w:r>
      <w:r>
        <w:rPr>
          <w:rFonts w:ascii="SimSun" w:hAnsi="SimSun" w:eastAsia="SimSun" w:cs="SimSun"/>
          <w:sz w:val="24"/>
          <w:szCs w:val="24"/>
          <w:spacing w:val="2"/>
        </w:rPr>
        <w:t>省级人民政府批准公布的名单为</w:t>
      </w:r>
      <w:r>
        <w:rPr>
          <w:rFonts w:ascii="SimSun" w:hAnsi="SimSun" w:eastAsia="SimSun" w:cs="SimSun"/>
          <w:sz w:val="24"/>
          <w:szCs w:val="24"/>
          <w:spacing w:val="-3"/>
        </w:rPr>
        <w:t>准，范围按照其规划确定的范围执行。</w:t>
      </w:r>
    </w:p>
    <w:p>
      <w:pPr>
        <w:ind w:left="38" w:right="31" w:firstLine="480"/>
        <w:spacing w:before="3" w:line="349" w:lineRule="auto"/>
        <w:rPr>
          <w:rFonts w:ascii="SimSun" w:hAnsi="SimSun" w:eastAsia="SimSun" w:cs="SimSun"/>
          <w:sz w:val="24"/>
          <w:szCs w:val="24"/>
        </w:rPr>
      </w:pPr>
      <w:r>
        <w:rPr>
          <w:rFonts w:ascii="SimSun" w:hAnsi="SimSun" w:eastAsia="SimSun" w:cs="SimSun"/>
          <w:sz w:val="24"/>
          <w:szCs w:val="24"/>
          <w:spacing w:val="1"/>
        </w:rPr>
        <w:t>其中，风景名胜区的核心景区禁止建设养殖场</w:t>
      </w:r>
      <w:r>
        <w:rPr>
          <w:rFonts w:ascii="Times New Roman" w:hAnsi="Times New Roman" w:eastAsia="Times New Roman" w:cs="Times New Roman"/>
          <w:sz w:val="24"/>
          <w:szCs w:val="24"/>
          <w:spacing w:val="1"/>
        </w:rPr>
        <w:t>;</w:t>
      </w:r>
      <w:r>
        <w:rPr>
          <w:rFonts w:ascii="SimSun" w:hAnsi="SimSun" w:eastAsia="SimSun" w:cs="SimSun"/>
          <w:sz w:val="24"/>
          <w:szCs w:val="24"/>
          <w:spacing w:val="1"/>
        </w:rPr>
        <w:t>其它区域</w:t>
      </w:r>
      <w:r>
        <w:rPr>
          <w:rFonts w:ascii="SimSun" w:hAnsi="SimSun" w:eastAsia="SimSun" w:cs="SimSun"/>
          <w:sz w:val="24"/>
          <w:szCs w:val="24"/>
        </w:rPr>
        <w:t>禁止建设有污染物排</w:t>
      </w:r>
      <w:r>
        <w:rPr>
          <w:rFonts w:ascii="SimSun" w:hAnsi="SimSun" w:eastAsia="SimSun" w:cs="SimSun"/>
          <w:sz w:val="24"/>
          <w:szCs w:val="24"/>
          <w:spacing w:val="-7"/>
        </w:rPr>
        <w:t>放的养殖场。</w:t>
      </w:r>
    </w:p>
    <w:p>
      <w:pPr>
        <w:ind w:left="516"/>
        <w:spacing w:before="24" w:line="217" w:lineRule="auto"/>
        <w:rPr>
          <w:rFonts w:ascii="SimSun" w:hAnsi="SimSun" w:eastAsia="SimSun" w:cs="SimSun"/>
          <w:sz w:val="24"/>
          <w:szCs w:val="24"/>
        </w:rPr>
      </w:pPr>
      <w:r>
        <w:rPr>
          <w:rFonts w:ascii="SimSun" w:hAnsi="SimSun" w:eastAsia="SimSun" w:cs="SimSun"/>
          <w:sz w:val="24"/>
          <w:szCs w:val="24"/>
          <w:spacing w:val="-1"/>
        </w:rPr>
        <w:t>④城镇居民区和文化教育科学研究区</w:t>
      </w:r>
    </w:p>
    <w:p>
      <w:pPr>
        <w:ind w:left="39" w:right="38" w:firstLine="478"/>
        <w:spacing w:before="183" w:line="359" w:lineRule="auto"/>
        <w:rPr>
          <w:rFonts w:ascii="SimSun" w:hAnsi="SimSun" w:eastAsia="SimSun" w:cs="SimSun"/>
          <w:sz w:val="24"/>
          <w:szCs w:val="24"/>
        </w:rPr>
      </w:pPr>
      <w:r>
        <w:rPr>
          <w:rFonts w:ascii="SimSun" w:hAnsi="SimSun" w:eastAsia="SimSun" w:cs="SimSun"/>
          <w:sz w:val="24"/>
          <w:szCs w:val="24"/>
          <w:spacing w:val="3"/>
        </w:rPr>
        <w:t>根据城镇现行总体规划，动物防疫条件、卫</w:t>
      </w:r>
      <w:r>
        <w:rPr>
          <w:rFonts w:ascii="SimSun" w:hAnsi="SimSun" w:eastAsia="SimSun" w:cs="SimSun"/>
          <w:sz w:val="24"/>
          <w:szCs w:val="24"/>
          <w:spacing w:val="2"/>
        </w:rPr>
        <w:t>生防护和环境保护要求等，因地</w:t>
      </w:r>
      <w:r>
        <w:rPr>
          <w:rFonts w:ascii="SimSun" w:hAnsi="SimSun" w:eastAsia="SimSun" w:cs="SimSun"/>
          <w:sz w:val="24"/>
          <w:szCs w:val="24"/>
          <w:spacing w:val="-1"/>
        </w:rPr>
        <w:t>制宜，兼顾城镇发展，科学设置边界范围。边界范围</w:t>
      </w:r>
      <w:r>
        <w:rPr>
          <w:rFonts w:ascii="SimSun" w:hAnsi="SimSun" w:eastAsia="SimSun" w:cs="SimSun"/>
          <w:sz w:val="24"/>
          <w:szCs w:val="24"/>
          <w:spacing w:val="-2"/>
        </w:rPr>
        <w:t>内，禁止建设养殖场。</w:t>
      </w:r>
    </w:p>
    <w:p>
      <w:pPr>
        <w:ind w:left="516"/>
        <w:spacing w:before="1" w:line="217" w:lineRule="auto"/>
        <w:rPr>
          <w:rFonts w:ascii="SimSun" w:hAnsi="SimSun" w:eastAsia="SimSun" w:cs="SimSun"/>
          <w:sz w:val="24"/>
          <w:szCs w:val="24"/>
        </w:rPr>
      </w:pPr>
      <w:r>
        <w:rPr>
          <w:rFonts w:ascii="SimSun" w:hAnsi="SimSun" w:eastAsia="SimSun" w:cs="SimSun"/>
          <w:sz w:val="24"/>
          <w:szCs w:val="24"/>
          <w:spacing w:val="-1"/>
        </w:rPr>
        <w:t>⑤依照法律法规规定应当划定的区域</w:t>
      </w:r>
    </w:p>
    <w:p>
      <w:pPr>
        <w:ind w:left="519"/>
        <w:spacing w:before="184" w:line="220" w:lineRule="auto"/>
        <w:rPr>
          <w:rFonts w:ascii="SimSun" w:hAnsi="SimSun" w:eastAsia="SimSun" w:cs="SimSun"/>
          <w:sz w:val="24"/>
          <w:szCs w:val="24"/>
        </w:rPr>
      </w:pPr>
      <w:r>
        <w:rPr>
          <w:rFonts w:ascii="SimSun" w:hAnsi="SimSun" w:eastAsia="SimSun" w:cs="SimSun"/>
          <w:sz w:val="24"/>
          <w:szCs w:val="24"/>
          <w:spacing w:val="-3"/>
        </w:rPr>
        <w:t>法律法规规定的其它禁止建设养殖场的区域。</w:t>
      </w:r>
    </w:p>
    <w:p>
      <w:pPr>
        <w:ind w:left="39" w:right="28" w:firstLine="480"/>
        <w:spacing w:before="184" w:line="359" w:lineRule="auto"/>
        <w:rPr>
          <w:rFonts w:ascii="SimSun" w:hAnsi="SimSun" w:eastAsia="SimSun" w:cs="SimSun"/>
          <w:sz w:val="24"/>
          <w:szCs w:val="24"/>
        </w:rPr>
      </w:pPr>
      <w:r>
        <w:rPr>
          <w:rFonts w:ascii="SimSun" w:hAnsi="SimSun" w:eastAsia="SimSun" w:cs="SimSun"/>
          <w:sz w:val="24"/>
          <w:szCs w:val="24"/>
        </w:rPr>
        <w:t>依据《畜禽养殖业污染防治技术规范》（</w:t>
      </w:r>
      <w:r>
        <w:rPr>
          <w:rFonts w:ascii="Times New Roman" w:hAnsi="Times New Roman" w:eastAsia="Times New Roman" w:cs="Times New Roman"/>
          <w:sz w:val="24"/>
          <w:szCs w:val="24"/>
        </w:rPr>
        <w:t>HJ/T81-2001</w:t>
      </w:r>
      <w:r>
        <w:rPr>
          <w:rFonts w:ascii="SimSun" w:hAnsi="SimSun" w:eastAsia="SimSun" w:cs="SimSun"/>
          <w:sz w:val="24"/>
          <w:szCs w:val="24"/>
        </w:rPr>
        <w:t>）中规定，禁止在下列</w:t>
      </w:r>
      <w:r>
        <w:rPr>
          <w:rFonts w:ascii="SimSun" w:hAnsi="SimSun" w:eastAsia="SimSun" w:cs="SimSun"/>
          <w:sz w:val="24"/>
          <w:szCs w:val="24"/>
          <w:spacing w:val="2"/>
        </w:rPr>
        <w:t>区域内建设畜禽养殖场：①生活饮用水的水源保护区，风景名胜区，以及自然保</w:t>
      </w:r>
      <w:r>
        <w:rPr>
          <w:rFonts w:ascii="SimSun" w:hAnsi="SimSun" w:eastAsia="SimSun" w:cs="SimSun"/>
          <w:sz w:val="24"/>
          <w:szCs w:val="24"/>
          <w:spacing w:val="2"/>
        </w:rPr>
        <w:t>护区的核心区和缓冲区；②城市和城镇居民区，包括文教科研区、医疗区、商业</w:t>
      </w:r>
      <w:r>
        <w:rPr>
          <w:rFonts w:ascii="SimSun" w:hAnsi="SimSun" w:eastAsia="SimSun" w:cs="SimSun"/>
          <w:sz w:val="24"/>
          <w:szCs w:val="24"/>
          <w:spacing w:val="2"/>
        </w:rPr>
        <w:t>区、工业区、游览区等人口集中地区；③县级人民政府依法划定的禁养区域；④</w:t>
      </w:r>
      <w:r>
        <w:rPr>
          <w:rFonts w:ascii="SimSun" w:hAnsi="SimSun" w:eastAsia="SimSun" w:cs="SimSun"/>
          <w:sz w:val="24"/>
          <w:szCs w:val="24"/>
          <w:spacing w:val="-6"/>
        </w:rPr>
        <w:t>国家或 地方法律、法规规定的禁养区域；</w:t>
      </w:r>
      <w:r>
        <w:rPr>
          <w:rFonts w:ascii="SimSun" w:hAnsi="SimSun" w:eastAsia="SimSun" w:cs="SimSun"/>
          <w:sz w:val="24"/>
          <w:szCs w:val="24"/>
          <w:spacing w:val="70"/>
        </w:rPr>
        <w:t xml:space="preserve"> </w:t>
      </w:r>
      <w:r>
        <w:rPr>
          <w:rFonts w:ascii="SimSun" w:hAnsi="SimSun" w:eastAsia="SimSun" w:cs="SimSun"/>
          <w:sz w:val="24"/>
          <w:szCs w:val="24"/>
          <w:spacing w:val="-6"/>
        </w:rPr>
        <w:t>⑤厂界与上述禁建区域边界的最小距离</w:t>
      </w:r>
      <w:r>
        <w:rPr>
          <w:rFonts w:ascii="SimSun" w:hAnsi="SimSun" w:eastAsia="SimSun" w:cs="SimSun"/>
          <w:sz w:val="24"/>
          <w:szCs w:val="24"/>
          <w:spacing w:val="-3"/>
        </w:rPr>
        <w:t>不得小于</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500m</w:t>
      </w:r>
      <w:r>
        <w:rPr>
          <w:rFonts w:ascii="SimSun" w:hAnsi="SimSun" w:eastAsia="SimSun" w:cs="SimSun"/>
          <w:sz w:val="24"/>
          <w:szCs w:val="24"/>
          <w:spacing w:val="-3"/>
        </w:rPr>
        <w:t>。</w:t>
      </w:r>
    </w:p>
    <w:p>
      <w:pPr>
        <w:ind w:right="34"/>
        <w:spacing w:before="1" w:line="218" w:lineRule="auto"/>
        <w:jc w:val="right"/>
        <w:rPr>
          <w:rFonts w:ascii="SimSun" w:hAnsi="SimSun" w:eastAsia="SimSun" w:cs="SimSun"/>
          <w:sz w:val="24"/>
          <w:szCs w:val="24"/>
        </w:rPr>
      </w:pPr>
      <w:r>
        <w:pict>
          <v:shape id="_x0000_s48" style="position:absolute;margin-left:1.68601pt;margin-top:19.7939pt;mso-position-vertical-relative:text;mso-position-horizontal-relative:text;width:425.7pt;height:0.6pt;z-index:251672576;" filled="false" strokecolor="#808080" strokeweight="0.50pt" coordsize="8514,12" coordorigin="0,0" path="m5,5l8508,6e">
            <v:stroke endcap="round" miterlimit="10"/>
          </v:shape>
        </w:pict>
      </w:r>
      <w:r>
        <w:rPr>
          <w:rFonts w:ascii="SimSun" w:hAnsi="SimSun" w:eastAsia="SimSun" w:cs="SimSun"/>
          <w:sz w:val="24"/>
          <w:szCs w:val="24"/>
          <w:spacing w:val="3"/>
        </w:rPr>
        <w:t>经查询，本项目不在锡林郭勒草原国家级自然保</w:t>
      </w:r>
      <w:r>
        <w:rPr>
          <w:rFonts w:ascii="SimSun" w:hAnsi="SimSun" w:eastAsia="SimSun" w:cs="SimSun"/>
          <w:sz w:val="24"/>
          <w:szCs w:val="24"/>
          <w:spacing w:val="2"/>
        </w:rPr>
        <w:t>护区，且本项目不在风景名</w:t>
      </w:r>
    </w:p>
    <w:p>
      <w:pPr>
        <w:spacing w:line="218" w:lineRule="auto"/>
        <w:sectPr>
          <w:headerReference w:type="default" r:id="rId15"/>
          <w:footerReference w:type="default" r:id="rId27"/>
          <w:pgSz w:w="11907" w:h="16839"/>
          <w:pgMar w:top="1422" w:right="1670" w:bottom="1618" w:left="1673" w:header="1033" w:footer="1417" w:gutter="0"/>
        </w:sectPr>
        <w:rPr>
          <w:rFonts w:ascii="SimSun" w:hAnsi="SimSun" w:eastAsia="SimSun" w:cs="SimSun"/>
          <w:sz w:val="24"/>
          <w:szCs w:val="24"/>
        </w:rPr>
      </w:pPr>
    </w:p>
    <w:p>
      <w:pPr>
        <w:ind w:left="131" w:right="106"/>
        <w:spacing w:before="312" w:line="359" w:lineRule="auto"/>
        <w:jc w:val="both"/>
        <w:rPr>
          <w:rFonts w:ascii="SimSun" w:hAnsi="SimSun" w:eastAsia="SimSun" w:cs="SimSun"/>
          <w:sz w:val="24"/>
          <w:szCs w:val="24"/>
        </w:rPr>
      </w:pPr>
      <w:r>
        <w:rPr>
          <w:rFonts w:ascii="SimSun" w:hAnsi="SimSun" w:eastAsia="SimSun" w:cs="SimSun"/>
          <w:sz w:val="24"/>
          <w:szCs w:val="24"/>
          <w:spacing w:val="2"/>
        </w:rPr>
        <w:t>胜区、水源保护区、人口密集区及其他禁建区等特殊敏感地区，且距离城镇居民</w:t>
      </w:r>
      <w:r>
        <w:rPr>
          <w:rFonts w:ascii="SimSun" w:hAnsi="SimSun" w:eastAsia="SimSun" w:cs="SimSun"/>
          <w:sz w:val="24"/>
          <w:szCs w:val="24"/>
          <w:spacing w:val="-2"/>
        </w:rPr>
        <w:t>均较远，大于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500m</w:t>
      </w:r>
      <w:r>
        <w:rPr>
          <w:rFonts w:ascii="SimSun" w:hAnsi="SimSun" w:eastAsia="SimSun" w:cs="SimSun"/>
          <w:sz w:val="24"/>
          <w:szCs w:val="24"/>
          <w:spacing w:val="-2"/>
        </w:rPr>
        <w:t>，因此本项目符合《畜禽养殖禁养区划定技术指南》及《畜禽</w:t>
      </w:r>
      <w:r>
        <w:rPr>
          <w:rFonts w:ascii="SimSun" w:hAnsi="SimSun" w:eastAsia="SimSun" w:cs="SimSun"/>
          <w:sz w:val="24"/>
          <w:szCs w:val="24"/>
          <w:spacing w:val="-1"/>
        </w:rPr>
        <w:t>养殖业污染防治技术规范》（</w:t>
      </w:r>
      <w:r>
        <w:rPr>
          <w:rFonts w:ascii="Times New Roman" w:hAnsi="Times New Roman" w:eastAsia="Times New Roman" w:cs="Times New Roman"/>
          <w:sz w:val="24"/>
          <w:szCs w:val="24"/>
          <w:spacing w:val="-1"/>
        </w:rPr>
        <w:t>HJ/T81-2001</w:t>
      </w:r>
      <w:r>
        <w:rPr>
          <w:rFonts w:ascii="SimSun" w:hAnsi="SimSun" w:eastAsia="SimSun" w:cs="SimSun"/>
          <w:sz w:val="24"/>
          <w:szCs w:val="24"/>
          <w:spacing w:val="-1"/>
        </w:rPr>
        <w:t>）中的</w:t>
      </w:r>
      <w:r>
        <w:rPr>
          <w:rFonts w:ascii="SimSun" w:hAnsi="SimSun" w:eastAsia="SimSun" w:cs="SimSun"/>
          <w:sz w:val="24"/>
          <w:szCs w:val="24"/>
          <w:spacing w:val="-2"/>
        </w:rPr>
        <w:t>相关规定。</w:t>
      </w:r>
    </w:p>
    <w:p>
      <w:pPr>
        <w:ind w:left="2624"/>
        <w:spacing w:line="233"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28"/>
        </w:rPr>
        <w:t xml:space="preserve"> </w:t>
      </w:r>
      <w:r>
        <w:rPr>
          <w:rFonts w:ascii="Times New Roman" w:hAnsi="Times New Roman" w:eastAsia="Times New Roman" w:cs="Times New Roman"/>
          <w:sz w:val="24"/>
          <w:szCs w:val="24"/>
          <w:b/>
          <w:bCs/>
          <w:spacing w:val="-3"/>
        </w:rPr>
        <w:t>1-8    </w:t>
      </w:r>
      <w:r>
        <w:rPr>
          <w:rFonts w:ascii="SimSun" w:hAnsi="SimSun" w:eastAsia="SimSun" w:cs="SimSun"/>
          <w:sz w:val="24"/>
          <w:szCs w:val="24"/>
          <w:b/>
          <w:bCs/>
          <w:spacing w:val="-3"/>
        </w:rPr>
        <w:t>畜禽养殖业选址合理性分析表</w:t>
      </w:r>
    </w:p>
    <w:p>
      <w:pPr>
        <w:spacing w:line="130" w:lineRule="exact"/>
        <w:rPr/>
      </w:pPr>
      <w:r/>
    </w:p>
    <w:tbl>
      <w:tblPr>
        <w:tblStyle w:val="TableNormal"/>
        <w:tblW w:w="872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76"/>
        <w:gridCol w:w="4647"/>
      </w:tblGrid>
      <w:tr>
        <w:trPr>
          <w:trHeight w:val="281" w:hRule="atLeast"/>
        </w:trPr>
        <w:tc>
          <w:tcPr>
            <w:tcW w:w="4076" w:type="dxa"/>
            <w:vAlign w:val="top"/>
            <w:tcBorders>
              <w:left w:val="nil"/>
              <w:top w:val="single" w:color="000000" w:sz="10" w:space="0"/>
            </w:tcBorders>
          </w:tcPr>
          <w:p>
            <w:pPr>
              <w:pStyle w:val="TableText"/>
              <w:ind w:left="1631"/>
              <w:spacing w:before="33" w:line="209" w:lineRule="auto"/>
              <w:rPr/>
            </w:pPr>
            <w:r>
              <w:rPr>
                <w:b/>
                <w:bCs/>
                <w:spacing w:val="-4"/>
              </w:rPr>
              <w:t>规范要求</w:t>
            </w:r>
          </w:p>
        </w:tc>
        <w:tc>
          <w:tcPr>
            <w:tcW w:w="4647" w:type="dxa"/>
            <w:vAlign w:val="top"/>
            <w:tcBorders>
              <w:right w:val="nil"/>
              <w:top w:val="single" w:color="000000" w:sz="10" w:space="0"/>
            </w:tcBorders>
          </w:tcPr>
          <w:p>
            <w:pPr>
              <w:pStyle w:val="TableText"/>
              <w:ind w:left="1801"/>
              <w:spacing w:before="33" w:line="209" w:lineRule="auto"/>
              <w:rPr/>
            </w:pPr>
            <w:r>
              <w:rPr>
                <w:b/>
                <w:bCs/>
                <w:spacing w:val="-3"/>
              </w:rPr>
              <w:t>本项目选址</w:t>
            </w:r>
          </w:p>
        </w:tc>
      </w:tr>
      <w:tr>
        <w:trPr>
          <w:trHeight w:val="275" w:hRule="atLeast"/>
        </w:trPr>
        <w:tc>
          <w:tcPr>
            <w:tcW w:w="8723" w:type="dxa"/>
            <w:vAlign w:val="top"/>
            <w:gridSpan w:val="2"/>
            <w:tcBorders>
              <w:left w:val="nil"/>
              <w:right w:val="nil"/>
            </w:tcBorders>
          </w:tcPr>
          <w:p>
            <w:pPr>
              <w:pStyle w:val="TableText"/>
              <w:ind w:left="876"/>
              <w:spacing w:before="30" w:line="206" w:lineRule="auto"/>
              <w:rPr/>
            </w:pPr>
            <w:r>
              <w:rPr/>
              <w:t>《畜禽养殖业污染防治技术规范》（</w:t>
            </w:r>
            <w:r>
              <w:rPr>
                <w:rFonts w:ascii="Times New Roman" w:hAnsi="Times New Roman" w:eastAsia="Times New Roman" w:cs="Times New Roman"/>
              </w:rPr>
              <w:t>HJ/T81-2001</w:t>
            </w:r>
            <w:r>
              <w:rPr/>
              <w:t>）中对</w:t>
            </w:r>
            <w:r>
              <w:rPr>
                <w:spacing w:val="-1"/>
              </w:rPr>
              <w:t>畜禽养殖场选址要求</w:t>
            </w:r>
          </w:p>
        </w:tc>
      </w:tr>
      <w:tr>
        <w:trPr>
          <w:trHeight w:val="1093" w:hRule="atLeast"/>
        </w:trPr>
        <w:tc>
          <w:tcPr>
            <w:tcW w:w="4076" w:type="dxa"/>
            <w:vAlign w:val="top"/>
            <w:tcBorders>
              <w:left w:val="nil"/>
            </w:tcBorders>
          </w:tcPr>
          <w:p>
            <w:pPr>
              <w:pStyle w:val="TableText"/>
              <w:ind w:left="267" w:right="134" w:hanging="102"/>
              <w:spacing w:before="304" w:line="243" w:lineRule="auto"/>
              <w:rPr/>
            </w:pPr>
            <w:r>
              <w:rPr>
                <w:spacing w:val="-1"/>
              </w:rPr>
              <w:t>不准建于生活饮用水水源保护区、风景名</w:t>
            </w:r>
            <w:r>
              <w:rPr>
                <w:spacing w:val="-1"/>
              </w:rPr>
              <w:t>胜区、自然保护区的核心区及缓冲区；</w:t>
            </w:r>
          </w:p>
        </w:tc>
        <w:tc>
          <w:tcPr>
            <w:tcW w:w="4647" w:type="dxa"/>
            <w:vAlign w:val="top"/>
            <w:tcBorders>
              <w:right w:val="nil"/>
            </w:tcBorders>
          </w:tcPr>
          <w:p>
            <w:pPr>
              <w:pStyle w:val="TableText"/>
              <w:ind w:left="124"/>
              <w:spacing w:before="33" w:line="220" w:lineRule="auto"/>
              <w:rPr/>
            </w:pPr>
            <w:r>
              <w:rPr>
                <w:spacing w:val="-1"/>
              </w:rPr>
              <w:t>本项目租用锡林郭勒盟锡林浩特市额尔顿街道办</w:t>
            </w:r>
          </w:p>
          <w:p>
            <w:pPr>
              <w:pStyle w:val="TableText"/>
              <w:ind w:left="123"/>
              <w:spacing w:before="20" w:line="221" w:lineRule="auto"/>
              <w:rPr/>
            </w:pPr>
            <w:r>
              <w:rPr>
                <w:spacing w:val="-1"/>
              </w:rPr>
              <w:t>事处新兴社区沃源奶牛场进行建设，不涉及生活</w:t>
            </w:r>
          </w:p>
          <w:p>
            <w:pPr>
              <w:pStyle w:val="TableText"/>
              <w:ind w:left="123"/>
              <w:spacing w:before="22" w:line="221" w:lineRule="auto"/>
              <w:rPr/>
            </w:pPr>
            <w:r>
              <w:rPr>
                <w:spacing w:val="-1"/>
              </w:rPr>
              <w:t>饮用水水源保护区、风景名胜区、自然保护区的</w:t>
            </w:r>
          </w:p>
          <w:p>
            <w:pPr>
              <w:pStyle w:val="TableText"/>
              <w:ind w:left="1491"/>
              <w:spacing w:before="21" w:line="204" w:lineRule="auto"/>
              <w:rPr/>
            </w:pPr>
            <w:r>
              <w:rPr>
                <w:spacing w:val="-1"/>
              </w:rPr>
              <w:t>核心区及缓冲区。</w:t>
            </w:r>
          </w:p>
        </w:tc>
      </w:tr>
      <w:tr>
        <w:trPr>
          <w:trHeight w:val="817" w:hRule="atLeast"/>
        </w:trPr>
        <w:tc>
          <w:tcPr>
            <w:tcW w:w="4076" w:type="dxa"/>
            <w:vAlign w:val="top"/>
            <w:tcBorders>
              <w:left w:val="nil"/>
            </w:tcBorders>
          </w:tcPr>
          <w:p>
            <w:pPr>
              <w:pStyle w:val="TableText"/>
              <w:ind w:left="165"/>
              <w:spacing w:before="35" w:line="220" w:lineRule="auto"/>
              <w:rPr/>
            </w:pPr>
            <w:r>
              <w:rPr>
                <w:spacing w:val="-1"/>
              </w:rPr>
              <w:t>不准建于城市和城镇居民，包括文教科研</w:t>
            </w:r>
          </w:p>
          <w:p>
            <w:pPr>
              <w:pStyle w:val="TableText"/>
              <w:ind w:left="177"/>
              <w:spacing w:before="20" w:line="221" w:lineRule="auto"/>
              <w:rPr/>
            </w:pPr>
            <w:r>
              <w:rPr>
                <w:spacing w:val="-2"/>
              </w:rPr>
              <w:t>区、医疗区、商业区、工业区、游览区等</w:t>
            </w:r>
          </w:p>
          <w:p>
            <w:pPr>
              <w:pStyle w:val="TableText"/>
              <w:ind w:left="1317"/>
              <w:spacing w:before="22" w:line="199" w:lineRule="auto"/>
              <w:rPr/>
            </w:pPr>
            <w:r>
              <w:rPr>
                <w:spacing w:val="-5"/>
              </w:rPr>
              <w:t>人口集中地区；</w:t>
            </w:r>
          </w:p>
        </w:tc>
        <w:tc>
          <w:tcPr>
            <w:tcW w:w="4647" w:type="dxa"/>
            <w:vAlign w:val="top"/>
            <w:tcBorders>
              <w:right w:val="nil"/>
            </w:tcBorders>
          </w:tcPr>
          <w:p>
            <w:pPr>
              <w:pStyle w:val="TableText"/>
              <w:ind w:left="124"/>
              <w:spacing w:before="170" w:line="220" w:lineRule="auto"/>
              <w:rPr/>
            </w:pPr>
            <w:r>
              <w:rPr>
                <w:spacing w:val="-1"/>
              </w:rPr>
              <w:t>本项目最近敏感点为西侧</w:t>
            </w:r>
            <w:r>
              <w:rPr>
                <w:spacing w:val="-47"/>
              </w:rPr>
              <w:t xml:space="preserve"> </w:t>
            </w:r>
            <w:r>
              <w:rPr>
                <w:spacing w:val="-1"/>
              </w:rPr>
              <w:t>4.5km</w:t>
            </w:r>
            <w:r>
              <w:rPr>
                <w:spacing w:val="-42"/>
              </w:rPr>
              <w:t xml:space="preserve"> </w:t>
            </w:r>
            <w:r>
              <w:rPr>
                <w:spacing w:val="-1"/>
              </w:rPr>
              <w:t>处锡林浩特市居</w:t>
            </w:r>
          </w:p>
          <w:p>
            <w:pPr>
              <w:pStyle w:val="TableText"/>
              <w:ind w:left="1404"/>
              <w:spacing w:before="23" w:line="221" w:lineRule="auto"/>
              <w:rPr/>
            </w:pPr>
            <w:r>
              <w:rPr>
                <w:spacing w:val="-5"/>
              </w:rPr>
              <w:t>民，符合选址要求。</w:t>
            </w:r>
          </w:p>
        </w:tc>
      </w:tr>
      <w:tr>
        <w:trPr>
          <w:trHeight w:val="547" w:hRule="atLeast"/>
        </w:trPr>
        <w:tc>
          <w:tcPr>
            <w:tcW w:w="4076" w:type="dxa"/>
            <w:vAlign w:val="top"/>
            <w:tcBorders>
              <w:left w:val="nil"/>
            </w:tcBorders>
          </w:tcPr>
          <w:p>
            <w:pPr>
              <w:pStyle w:val="TableText"/>
              <w:ind w:left="161"/>
              <w:spacing w:before="39" w:line="220" w:lineRule="auto"/>
              <w:rPr/>
            </w:pPr>
            <w:r>
              <w:rPr>
                <w:spacing w:val="-1"/>
              </w:rPr>
              <w:t>禁止建在县级人民政府依法划定的禁养区</w:t>
            </w:r>
          </w:p>
          <w:p>
            <w:pPr>
              <w:pStyle w:val="TableText"/>
              <w:ind w:left="1843"/>
              <w:spacing w:before="23" w:line="197" w:lineRule="auto"/>
              <w:rPr/>
            </w:pPr>
            <w:r>
              <w:rPr>
                <w:spacing w:val="-15"/>
              </w:rPr>
              <w:t>域；</w:t>
            </w:r>
          </w:p>
        </w:tc>
        <w:tc>
          <w:tcPr>
            <w:tcW w:w="4647" w:type="dxa"/>
            <w:vAlign w:val="top"/>
            <w:tcBorders>
              <w:right w:val="nil"/>
            </w:tcBorders>
          </w:tcPr>
          <w:p>
            <w:pPr>
              <w:pStyle w:val="TableText"/>
              <w:ind w:left="1173"/>
              <w:spacing w:before="176" w:line="220" w:lineRule="auto"/>
              <w:rPr/>
            </w:pPr>
            <w:r>
              <w:rPr>
                <w:spacing w:val="-2"/>
              </w:rPr>
              <w:t>本项目不在禁养区范围。</w:t>
            </w:r>
          </w:p>
        </w:tc>
      </w:tr>
      <w:tr>
        <w:trPr>
          <w:trHeight w:val="547" w:hRule="atLeast"/>
        </w:trPr>
        <w:tc>
          <w:tcPr>
            <w:tcW w:w="4076" w:type="dxa"/>
            <w:vAlign w:val="top"/>
            <w:tcBorders>
              <w:left w:val="nil"/>
            </w:tcBorders>
          </w:tcPr>
          <w:p>
            <w:pPr>
              <w:pStyle w:val="TableText"/>
              <w:ind w:left="161"/>
              <w:spacing w:before="41" w:line="221" w:lineRule="auto"/>
              <w:rPr/>
            </w:pPr>
            <w:r>
              <w:rPr>
                <w:spacing w:val="-1"/>
              </w:rPr>
              <w:t>禁止建在国家或地方法律、法规规定需特</w:t>
            </w:r>
          </w:p>
          <w:p>
            <w:pPr>
              <w:pStyle w:val="TableText"/>
              <w:ind w:left="1107"/>
              <w:spacing w:before="22" w:line="195" w:lineRule="auto"/>
              <w:rPr/>
            </w:pPr>
            <w:r>
              <w:rPr>
                <w:spacing w:val="-4"/>
              </w:rPr>
              <w:t>殊保护的其它区域；</w:t>
            </w:r>
          </w:p>
        </w:tc>
        <w:tc>
          <w:tcPr>
            <w:tcW w:w="4647" w:type="dxa"/>
            <w:vAlign w:val="top"/>
            <w:tcBorders>
              <w:right w:val="nil"/>
            </w:tcBorders>
          </w:tcPr>
          <w:p>
            <w:pPr>
              <w:pStyle w:val="TableText"/>
              <w:ind w:left="2016"/>
              <w:spacing w:before="178" w:line="222" w:lineRule="auto"/>
              <w:rPr/>
            </w:pPr>
            <w:r>
              <w:rPr>
                <w:spacing w:val="-2"/>
              </w:rPr>
              <w:t>不涉及</w:t>
            </w:r>
          </w:p>
        </w:tc>
      </w:tr>
      <w:tr>
        <w:trPr>
          <w:trHeight w:val="1362" w:hRule="atLeast"/>
        </w:trPr>
        <w:tc>
          <w:tcPr>
            <w:tcW w:w="4076" w:type="dxa"/>
            <w:vAlign w:val="top"/>
            <w:tcBorders>
              <w:left w:val="nil"/>
            </w:tcBorders>
          </w:tcPr>
          <w:p>
            <w:pPr>
              <w:pStyle w:val="TableText"/>
              <w:ind w:left="162" w:right="134"/>
              <w:spacing w:before="43" w:line="230" w:lineRule="auto"/>
              <w:jc w:val="both"/>
              <w:rPr/>
            </w:pPr>
            <w:r>
              <w:rPr>
                <w:spacing w:val="-1"/>
              </w:rPr>
              <w:t>新建、改建、扩建的畜禽养殖场选址应避</w:t>
            </w:r>
            <w:r>
              <w:rPr>
                <w:spacing w:val="-1"/>
              </w:rPr>
              <w:t>开上述规定的禁建区域，在禁建区域附近</w:t>
            </w:r>
            <w:r>
              <w:rPr>
                <w:spacing w:val="-1"/>
              </w:rPr>
              <w:t>建设的，应设在上述规定的禁建区域常年</w:t>
            </w:r>
            <w:r>
              <w:rPr>
                <w:spacing w:val="-1"/>
              </w:rPr>
              <w:t>主导风向的下风向或侧风向处，场界与禁</w:t>
            </w:r>
            <w:r>
              <w:rPr>
                <w:spacing w:val="1"/>
              </w:rPr>
              <w:t>建区域边界的最小距离不得小于</w:t>
            </w:r>
            <w:r>
              <w:rPr>
                <w:spacing w:val="-26"/>
              </w:rPr>
              <w:t xml:space="preserve"> </w:t>
            </w:r>
            <w:r>
              <w:rPr>
                <w:rFonts w:ascii="Times New Roman" w:hAnsi="Times New Roman" w:eastAsia="Times New Roman" w:cs="Times New Roman"/>
                <w:spacing w:val="1"/>
              </w:rPr>
              <w:t>500m</w:t>
            </w:r>
            <w:r>
              <w:rPr>
                <w:spacing w:val="1"/>
              </w:rPr>
              <w:t>；</w:t>
            </w:r>
          </w:p>
        </w:tc>
        <w:tc>
          <w:tcPr>
            <w:tcW w:w="4647" w:type="dxa"/>
            <w:vAlign w:val="top"/>
            <w:tcBorders>
              <w:right w:val="nil"/>
            </w:tcBorders>
          </w:tcPr>
          <w:p>
            <w:pPr>
              <w:spacing w:line="259" w:lineRule="auto"/>
              <w:rPr>
                <w:rFonts w:ascii="Arial"/>
                <w:sz w:val="21"/>
              </w:rPr>
            </w:pPr>
            <w:r/>
          </w:p>
          <w:p>
            <w:pPr>
              <w:spacing w:line="260" w:lineRule="auto"/>
              <w:rPr>
                <w:rFonts w:ascii="Arial"/>
                <w:sz w:val="21"/>
              </w:rPr>
            </w:pPr>
            <w:r/>
          </w:p>
          <w:p>
            <w:pPr>
              <w:pStyle w:val="TableText"/>
              <w:ind w:left="1173"/>
              <w:spacing w:before="69" w:line="220" w:lineRule="auto"/>
              <w:rPr/>
            </w:pPr>
            <w:r>
              <w:rPr>
                <w:spacing w:val="-2"/>
              </w:rPr>
              <w:t>本项目不在禁养区范围。</w:t>
            </w:r>
          </w:p>
        </w:tc>
      </w:tr>
      <w:tr>
        <w:trPr>
          <w:trHeight w:val="548" w:hRule="atLeast"/>
        </w:trPr>
        <w:tc>
          <w:tcPr>
            <w:tcW w:w="8723" w:type="dxa"/>
            <w:vAlign w:val="top"/>
            <w:gridSpan w:val="2"/>
            <w:tcBorders>
              <w:left w:val="nil"/>
              <w:right w:val="nil"/>
            </w:tcBorders>
          </w:tcPr>
          <w:p>
            <w:pPr>
              <w:pStyle w:val="TableText"/>
              <w:ind w:left="132"/>
              <w:spacing w:before="50" w:line="219" w:lineRule="auto"/>
              <w:rPr/>
            </w:pPr>
            <w:r>
              <w:rPr/>
              <w:t>《畜禽养殖业污染防治措施技术规范》（HJ/T81-200</w:t>
            </w:r>
            <w:r>
              <w:rPr>
                <w:spacing w:val="-1"/>
              </w:rPr>
              <w:t>1）中对畜禽养殖场粪便贮存设施选址要</w:t>
            </w:r>
          </w:p>
          <w:p>
            <w:pPr>
              <w:pStyle w:val="TableText"/>
              <w:ind w:left="4273"/>
              <w:spacing w:before="24" w:line="188" w:lineRule="auto"/>
              <w:rPr/>
            </w:pPr>
            <w:r>
              <w:rPr/>
              <w:t>求</w:t>
            </w:r>
          </w:p>
        </w:tc>
      </w:tr>
      <w:tr>
        <w:trPr>
          <w:trHeight w:val="844" w:hRule="atLeast"/>
        </w:trPr>
        <w:tc>
          <w:tcPr>
            <w:tcW w:w="4076" w:type="dxa"/>
            <w:vAlign w:val="top"/>
            <w:tcBorders>
              <w:left w:val="nil"/>
              <w:bottom w:val="single" w:color="000000" w:sz="10" w:space="0"/>
            </w:tcBorders>
          </w:tcPr>
          <w:p>
            <w:pPr>
              <w:pStyle w:val="TableText"/>
              <w:ind w:left="175"/>
              <w:spacing w:before="51" w:line="221" w:lineRule="auto"/>
              <w:rPr/>
            </w:pPr>
            <w:r>
              <w:rPr>
                <w:spacing w:val="-1"/>
              </w:rPr>
              <w:t>畜禽粪便的贮存设施的位置应设在养殖场</w:t>
            </w:r>
          </w:p>
          <w:p>
            <w:pPr>
              <w:pStyle w:val="TableText"/>
              <w:ind w:left="163"/>
              <w:spacing w:before="22" w:line="221" w:lineRule="auto"/>
              <w:rPr/>
            </w:pPr>
            <w:r>
              <w:rPr>
                <w:spacing w:val="-1"/>
              </w:rPr>
              <w:t>生产及生活管理区的常年主导风向的下风</w:t>
            </w:r>
          </w:p>
          <w:p>
            <w:pPr>
              <w:pStyle w:val="TableText"/>
              <w:ind w:left="1337"/>
              <w:spacing w:before="19" w:line="209" w:lineRule="auto"/>
              <w:rPr/>
            </w:pPr>
            <w:r>
              <w:rPr>
                <w:spacing w:val="-6"/>
              </w:rPr>
              <w:t>向或侧风向处。</w:t>
            </w:r>
          </w:p>
        </w:tc>
        <w:tc>
          <w:tcPr>
            <w:tcW w:w="4647" w:type="dxa"/>
            <w:vAlign w:val="top"/>
            <w:tcBorders>
              <w:right w:val="nil"/>
              <w:bottom w:val="single" w:color="000000" w:sz="10" w:space="0"/>
            </w:tcBorders>
          </w:tcPr>
          <w:p>
            <w:pPr>
              <w:pStyle w:val="TableText"/>
              <w:ind w:left="126"/>
              <w:spacing w:before="51" w:line="220" w:lineRule="auto"/>
              <w:rPr/>
            </w:pPr>
            <w:r>
              <w:rPr>
                <w:spacing w:val="-1"/>
              </w:rPr>
              <w:t>该地区常年主导风向为西南风，本项目办公室位</w:t>
            </w:r>
          </w:p>
          <w:p>
            <w:pPr>
              <w:pStyle w:val="TableText"/>
              <w:ind w:left="126"/>
              <w:spacing w:before="23" w:line="221" w:lineRule="auto"/>
              <w:rPr/>
            </w:pPr>
            <w:r>
              <w:rPr>
                <w:spacing w:val="-1"/>
              </w:rPr>
              <w:t>于厂区西侧，养殖区域位于厂区西侧，养殖区域</w:t>
            </w:r>
          </w:p>
          <w:p>
            <w:pPr>
              <w:pStyle w:val="TableText"/>
              <w:ind w:left="965"/>
              <w:spacing w:before="19" w:line="209" w:lineRule="auto"/>
              <w:rPr/>
            </w:pPr>
            <w:r>
              <w:rPr>
                <w:spacing w:val="-2"/>
              </w:rPr>
              <w:t>属于生活管理区的侧下风向。</w:t>
            </w:r>
          </w:p>
        </w:tc>
      </w:tr>
    </w:tbl>
    <w:p>
      <w:pPr>
        <w:ind w:left="611"/>
        <w:spacing w:before="309" w:line="219" w:lineRule="auto"/>
        <w:rPr>
          <w:rFonts w:ascii="SimSun" w:hAnsi="SimSun" w:eastAsia="SimSun" w:cs="SimSun"/>
          <w:sz w:val="24"/>
          <w:szCs w:val="24"/>
        </w:rPr>
      </w:pPr>
      <w:r>
        <w:rPr>
          <w:rFonts w:ascii="SimSun" w:hAnsi="SimSun" w:eastAsia="SimSun" w:cs="SimSun"/>
          <w:sz w:val="24"/>
          <w:szCs w:val="24"/>
          <w:spacing w:val="-2"/>
        </w:rPr>
        <w:t>根据上述合理性分析可知，本项目选址符合要求。</w:t>
      </w:r>
    </w:p>
    <w:p>
      <w:pPr>
        <w:ind w:left="569"/>
        <w:spacing w:before="184" w:line="220" w:lineRule="auto"/>
        <w:rPr>
          <w:rFonts w:ascii="SimSun" w:hAnsi="SimSun" w:eastAsia="SimSun" w:cs="SimSun"/>
          <w:sz w:val="24"/>
          <w:szCs w:val="24"/>
        </w:rPr>
      </w:pPr>
      <w:r>
        <w:rPr>
          <w:rFonts w:ascii="SimSun" w:hAnsi="SimSun" w:eastAsia="SimSun" w:cs="SimSun"/>
          <w:sz w:val="24"/>
          <w:szCs w:val="24"/>
          <w:spacing w:val="-3"/>
        </w:rPr>
        <w:t>1.4.7.2</w:t>
      </w:r>
      <w:r>
        <w:rPr>
          <w:rFonts w:ascii="SimSun" w:hAnsi="SimSun" w:eastAsia="SimSun" w:cs="SimSun"/>
          <w:sz w:val="24"/>
          <w:szCs w:val="24"/>
          <w:spacing w:val="-45"/>
        </w:rPr>
        <w:t xml:space="preserve"> </w:t>
      </w:r>
      <w:r>
        <w:rPr>
          <w:rFonts w:ascii="SimSun" w:hAnsi="SimSun" w:eastAsia="SimSun" w:cs="SimSun"/>
          <w:sz w:val="24"/>
          <w:szCs w:val="24"/>
          <w:spacing w:val="-3"/>
        </w:rPr>
        <w:t>用地合理性分析</w:t>
      </w:r>
    </w:p>
    <w:p>
      <w:pPr>
        <w:ind w:left="131" w:right="94" w:firstLine="480"/>
        <w:spacing w:before="176" w:line="357" w:lineRule="auto"/>
        <w:rPr>
          <w:rFonts w:ascii="SimSun" w:hAnsi="SimSun" w:eastAsia="SimSun" w:cs="SimSun"/>
          <w:sz w:val="24"/>
          <w:szCs w:val="24"/>
        </w:rPr>
      </w:pPr>
      <w:r>
        <w:pict>
          <v:shape id="_x0000_s52" style="position:absolute;margin-left:6.36601pt;margin-top:208.221pt;mso-position-vertical-relative:text;mso-position-horizontal-relative:text;width:425.7pt;height:0.6pt;z-index:251673600;" filled="false" strokecolor="#808080" strokeweight="0.50pt" coordsize="8514,12" coordorigin="0,0" path="m5,5l8508,6e">
            <v:stroke endcap="round" miterlimit="10"/>
          </v:shape>
        </w:pict>
      </w:r>
      <w:r>
        <w:rPr>
          <w:rFonts w:ascii="SimSun" w:hAnsi="SimSun" w:eastAsia="SimSun" w:cs="SimSun"/>
          <w:sz w:val="24"/>
          <w:szCs w:val="24"/>
        </w:rPr>
        <w:t>本项目为肉牛养殖项目，位于锡林郭勒盟锡林浩特</w:t>
      </w:r>
      <w:r>
        <w:rPr>
          <w:rFonts w:ascii="SimSun" w:hAnsi="SimSun" w:eastAsia="SimSun" w:cs="SimSun"/>
          <w:sz w:val="24"/>
          <w:szCs w:val="24"/>
          <w:spacing w:val="-1"/>
        </w:rPr>
        <w:t>市额尔顿街道办事处新兴</w:t>
      </w:r>
      <w:r>
        <w:rPr>
          <w:rFonts w:ascii="SimSun" w:hAnsi="SimSun" w:eastAsia="SimSun" w:cs="SimSun"/>
          <w:sz w:val="24"/>
          <w:szCs w:val="24"/>
        </w:rPr>
        <w:t>社区沃源奶牛场，沃源奶牛场至今未进行环评手续，不存在</w:t>
      </w:r>
      <w:r>
        <w:rPr>
          <w:rFonts w:ascii="SimSun" w:hAnsi="SimSun" w:eastAsia="SimSun" w:cs="SimSun"/>
          <w:sz w:val="24"/>
          <w:szCs w:val="24"/>
          <w:spacing w:val="-1"/>
        </w:rPr>
        <w:t>重复审批情况。本项</w:t>
      </w:r>
      <w:r>
        <w:rPr>
          <w:rFonts w:ascii="SimSun" w:hAnsi="SimSun" w:eastAsia="SimSun" w:cs="SimSun"/>
          <w:sz w:val="24"/>
          <w:szCs w:val="24"/>
          <w:spacing w:val="-2"/>
        </w:rPr>
        <w:t>目租用锡林浩特市额尔敦街道办事处新兴社区沃源奶牛场部分厂址进行建设，</w:t>
      </w:r>
      <w:r>
        <w:rPr>
          <w:rFonts w:ascii="SimSun" w:hAnsi="SimSun" w:eastAsia="SimSun" w:cs="SimSun"/>
          <w:sz w:val="24"/>
          <w:szCs w:val="24"/>
          <w:spacing w:val="-59"/>
        </w:rPr>
        <w:t xml:space="preserve"> </w:t>
      </w:r>
      <w:r>
        <w:rPr>
          <w:rFonts w:ascii="SimSun" w:hAnsi="SimSun" w:eastAsia="SimSun" w:cs="SimSun"/>
          <w:sz w:val="24"/>
          <w:szCs w:val="24"/>
          <w:spacing w:val="-2"/>
        </w:rPr>
        <w:t>占</w:t>
      </w:r>
      <w:r>
        <w:rPr>
          <w:rFonts w:ascii="SimSun" w:hAnsi="SimSun" w:eastAsia="SimSun" w:cs="SimSun"/>
          <w:sz w:val="24"/>
          <w:szCs w:val="24"/>
          <w:spacing w:val="-3"/>
        </w:rPr>
        <w:t>地现状为荒草地，无历史遗留建筑物及现存环境问题，租用面积为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66300m</w:t>
      </w:r>
      <w:r>
        <w:rPr>
          <w:rFonts w:ascii="Times New Roman" w:hAnsi="Times New Roman" w:eastAsia="Times New Roman" w:cs="Times New Roman"/>
          <w:sz w:val="16"/>
          <w:szCs w:val="16"/>
          <w:spacing w:val="-4"/>
          <w:position w:val="10"/>
        </w:rPr>
        <w:t>2</w:t>
      </w:r>
      <w:r>
        <w:rPr>
          <w:rFonts w:ascii="SimSun" w:hAnsi="SimSun" w:eastAsia="SimSun" w:cs="SimSun"/>
          <w:sz w:val="24"/>
          <w:szCs w:val="24"/>
          <w:spacing w:val="-4"/>
        </w:rPr>
        <w:t>，总建</w:t>
      </w:r>
      <w:r>
        <w:rPr>
          <w:rFonts w:ascii="SimSun" w:hAnsi="SimSun" w:eastAsia="SimSun" w:cs="SimSun"/>
          <w:sz w:val="24"/>
          <w:szCs w:val="24"/>
          <w:spacing w:val="-4"/>
        </w:rPr>
        <w:t>筑面积为</w:t>
      </w:r>
      <w:r>
        <w:rPr>
          <w:rFonts w:ascii="SimSun" w:hAnsi="SimSun" w:eastAsia="SimSun" w:cs="SimSun"/>
          <w:sz w:val="24"/>
          <w:szCs w:val="24"/>
          <w:spacing w:val="-15"/>
        </w:rPr>
        <w:t xml:space="preserve"> </w:t>
      </w:r>
      <w:r>
        <w:rPr>
          <w:rFonts w:ascii="Times New Roman" w:hAnsi="Times New Roman" w:eastAsia="Times New Roman" w:cs="Times New Roman"/>
          <w:sz w:val="24"/>
          <w:szCs w:val="24"/>
          <w:spacing w:val="-4"/>
        </w:rPr>
        <w:t>15624m</w:t>
      </w:r>
      <w:r>
        <w:rPr>
          <w:rFonts w:ascii="Times New Roman" w:hAnsi="Times New Roman" w:eastAsia="Times New Roman" w:cs="Times New Roman"/>
          <w:sz w:val="16"/>
          <w:szCs w:val="16"/>
          <w:spacing w:val="-4"/>
          <w:position w:val="10"/>
        </w:rPr>
        <w:t>2</w:t>
      </w:r>
      <w:r>
        <w:rPr>
          <w:rFonts w:ascii="SimSun" w:hAnsi="SimSun" w:eastAsia="SimSun" w:cs="SimSun"/>
          <w:sz w:val="24"/>
          <w:szCs w:val="24"/>
          <w:spacing w:val="-4"/>
        </w:rPr>
        <w:t>。根据锡林浩特市林业和草原局文件《锡林浩特市林业和草原局</w:t>
      </w:r>
      <w:r>
        <w:rPr>
          <w:rFonts w:ascii="SimSun" w:hAnsi="SimSun" w:eastAsia="SimSun" w:cs="SimSun"/>
          <w:sz w:val="24"/>
          <w:szCs w:val="24"/>
        </w:rPr>
        <w:t>关于沃原奶牛场锡林郭勒盟广汇德养殖有限责任公司、</w:t>
      </w:r>
      <w:r>
        <w:rPr>
          <w:rFonts w:ascii="SimSun" w:hAnsi="SimSun" w:eastAsia="SimSun" w:cs="SimSun"/>
          <w:sz w:val="24"/>
          <w:szCs w:val="24"/>
          <w:spacing w:val="-1"/>
        </w:rPr>
        <w:t>锡林郭勒盟牧林农机服务</w:t>
      </w:r>
      <w:r>
        <w:rPr>
          <w:rFonts w:ascii="SimSun" w:hAnsi="SimSun" w:eastAsia="SimSun" w:cs="SimSun"/>
          <w:sz w:val="24"/>
          <w:szCs w:val="24"/>
          <w:spacing w:val="-2"/>
        </w:rPr>
        <w:t>有限责任公司及马红、杨建军等</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2"/>
        </w:rPr>
        <w:t>13 </w:t>
      </w:r>
      <w:r>
        <w:rPr>
          <w:rFonts w:ascii="SimSun" w:hAnsi="SimSun" w:eastAsia="SimSun" w:cs="SimSun"/>
          <w:sz w:val="24"/>
          <w:szCs w:val="24"/>
          <w:spacing w:val="-2"/>
        </w:rPr>
        <w:t>户居民在草原上修建直接为草原保护和畜牧业</w:t>
      </w:r>
      <w:r>
        <w:rPr>
          <w:rFonts w:ascii="SimSun" w:hAnsi="SimSun" w:eastAsia="SimSun" w:cs="SimSun"/>
          <w:sz w:val="24"/>
          <w:szCs w:val="24"/>
          <w:spacing w:val="-2"/>
        </w:rPr>
        <w:t>生产服务工程设施的批复》（锡市林草保畜占草字</w:t>
      </w:r>
      <w:r>
        <w:rPr>
          <w:rFonts w:ascii="Times New Roman" w:hAnsi="Times New Roman" w:eastAsia="Times New Roman" w:cs="Times New Roman"/>
          <w:sz w:val="24"/>
          <w:szCs w:val="24"/>
          <w:spacing w:val="-2"/>
        </w:rPr>
        <w:t>[2025]3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号</w:t>
      </w:r>
      <w:r>
        <w:rPr>
          <w:rFonts w:ascii="SimSun" w:hAnsi="SimSun" w:eastAsia="SimSun" w:cs="SimSun"/>
          <w:sz w:val="24"/>
          <w:szCs w:val="24"/>
          <w:spacing w:val="25"/>
        </w:rPr>
        <w:t>），</w:t>
      </w:r>
      <w:r>
        <w:rPr>
          <w:rFonts w:ascii="SimSun" w:hAnsi="SimSun" w:eastAsia="SimSun" w:cs="SimSun"/>
          <w:sz w:val="24"/>
          <w:szCs w:val="24"/>
          <w:spacing w:val="-2"/>
        </w:rPr>
        <w:t>同意锡林郭勒盟</w:t>
      </w:r>
    </w:p>
    <w:p>
      <w:pPr>
        <w:spacing w:line="357" w:lineRule="auto"/>
        <w:sectPr>
          <w:headerReference w:type="default" r:id="rId28"/>
          <w:footerReference w:type="default" r:id="rId29"/>
          <w:pgSz w:w="11907" w:h="16839"/>
          <w:pgMar w:top="1422" w:right="1603" w:bottom="1618" w:left="1579" w:header="1033" w:footer="1417" w:gutter="0"/>
        </w:sectPr>
        <w:rPr>
          <w:rFonts w:ascii="SimSun" w:hAnsi="SimSun" w:eastAsia="SimSun" w:cs="SimSun"/>
          <w:sz w:val="24"/>
          <w:szCs w:val="24"/>
        </w:rPr>
      </w:pPr>
    </w:p>
    <w:p>
      <w:pPr>
        <w:ind w:left="132" w:right="211"/>
        <w:spacing w:before="312" w:line="361" w:lineRule="auto"/>
        <w:jc w:val="both"/>
        <w:rPr>
          <w:rFonts w:ascii="SimSun" w:hAnsi="SimSun" w:eastAsia="SimSun" w:cs="SimSun"/>
          <w:sz w:val="24"/>
          <w:szCs w:val="24"/>
        </w:rPr>
      </w:pPr>
      <w:r>
        <w:rPr>
          <w:rFonts w:ascii="SimSun" w:hAnsi="SimSun" w:eastAsia="SimSun" w:cs="SimSun"/>
          <w:sz w:val="24"/>
          <w:szCs w:val="24"/>
        </w:rPr>
        <w:t>牧林农机服务有限责任公司在草原上修建直接为草原</w:t>
      </w:r>
      <w:r>
        <w:rPr>
          <w:rFonts w:ascii="SimSun" w:hAnsi="SimSun" w:eastAsia="SimSun" w:cs="SimSun"/>
          <w:sz w:val="24"/>
          <w:szCs w:val="24"/>
          <w:spacing w:val="-1"/>
        </w:rPr>
        <w:t>保护和畜牧业生产服务工程</w:t>
      </w:r>
      <w:r>
        <w:rPr>
          <w:rFonts w:ascii="SimSun" w:hAnsi="SimSun" w:eastAsia="SimSun" w:cs="SimSun"/>
          <w:sz w:val="24"/>
          <w:szCs w:val="24"/>
        </w:rPr>
        <w:t>设施，项目位于锡林浩特市沃原奶牛场，属国有未承包</w:t>
      </w:r>
      <w:r>
        <w:rPr>
          <w:rFonts w:ascii="SimSun" w:hAnsi="SimSun" w:eastAsia="SimSun" w:cs="SimSun"/>
          <w:sz w:val="24"/>
          <w:szCs w:val="24"/>
          <w:spacing w:val="-1"/>
        </w:rPr>
        <w:t>到户草原，因此，本项目</w:t>
      </w:r>
      <w:r>
        <w:rPr>
          <w:rFonts w:ascii="SimSun" w:hAnsi="SimSun" w:eastAsia="SimSun" w:cs="SimSun"/>
          <w:sz w:val="24"/>
          <w:szCs w:val="24"/>
          <w:spacing w:val="-5"/>
        </w:rPr>
        <w:t>用地性质合理。</w:t>
      </w:r>
    </w:p>
    <w:p>
      <w:pPr>
        <w:ind w:left="138"/>
        <w:spacing w:before="254"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1.4.8 </w:t>
      </w:r>
      <w:r>
        <w:rPr>
          <w:rFonts w:ascii="SimSun" w:hAnsi="SimSun" w:eastAsia="SimSun" w:cs="SimSun"/>
          <w:sz w:val="24"/>
          <w:szCs w:val="24"/>
          <w:b/>
          <w:bCs/>
          <w:spacing w:val="-2"/>
        </w:rPr>
        <w:t>项目与其他相关规划符合性分析</w:t>
      </w:r>
    </w:p>
    <w:p>
      <w:pPr>
        <w:pStyle w:val="BodyText"/>
        <w:spacing w:line="343" w:lineRule="auto"/>
        <w:rPr/>
      </w:pPr>
      <w:r/>
    </w:p>
    <w:p>
      <w:pPr>
        <w:ind w:left="612"/>
        <w:spacing w:before="78" w:line="219" w:lineRule="auto"/>
        <w:rPr>
          <w:rFonts w:ascii="SimSun" w:hAnsi="SimSun" w:eastAsia="SimSun" w:cs="SimSun"/>
          <w:sz w:val="24"/>
          <w:szCs w:val="24"/>
        </w:rPr>
      </w:pPr>
      <w:r>
        <w:rPr>
          <w:rFonts w:ascii="SimSun" w:hAnsi="SimSun" w:eastAsia="SimSun" w:cs="SimSun"/>
          <w:sz w:val="24"/>
          <w:szCs w:val="24"/>
          <w:spacing w:val="-3"/>
        </w:rPr>
        <w:t>本项目与其他相关规划符合性情况详见下表。</w:t>
      </w:r>
    </w:p>
    <w:p>
      <w:pPr>
        <w:ind w:left="2264"/>
        <w:spacing w:before="180" w:line="233"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24"/>
        </w:rPr>
        <w:t xml:space="preserve"> </w:t>
      </w:r>
      <w:r>
        <w:rPr>
          <w:rFonts w:ascii="Times New Roman" w:hAnsi="Times New Roman" w:eastAsia="Times New Roman" w:cs="Times New Roman"/>
          <w:sz w:val="24"/>
          <w:szCs w:val="24"/>
          <w:b/>
          <w:bCs/>
          <w:spacing w:val="-3"/>
        </w:rPr>
        <w:t>1-9    </w:t>
      </w:r>
      <w:r>
        <w:rPr>
          <w:rFonts w:ascii="SimSun" w:hAnsi="SimSun" w:eastAsia="SimSun" w:cs="SimSun"/>
          <w:sz w:val="24"/>
          <w:szCs w:val="24"/>
          <w:b/>
          <w:bCs/>
          <w:spacing w:val="-3"/>
        </w:rPr>
        <w:t>本项目与其他相关规划符合性分析表</w:t>
      </w:r>
    </w:p>
    <w:p>
      <w:pPr>
        <w:spacing w:line="13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5"/>
        <w:gridCol w:w="4917"/>
        <w:gridCol w:w="1754"/>
        <w:gridCol w:w="639"/>
      </w:tblGrid>
      <w:tr>
        <w:trPr>
          <w:trHeight w:val="552" w:hRule="atLeast"/>
        </w:trPr>
        <w:tc>
          <w:tcPr>
            <w:tcW w:w="1425" w:type="dxa"/>
            <w:vAlign w:val="top"/>
            <w:tcBorders>
              <w:left w:val="nil"/>
              <w:top w:val="single" w:color="000000" w:sz="10" w:space="0"/>
            </w:tcBorders>
          </w:tcPr>
          <w:p>
            <w:pPr>
              <w:pStyle w:val="TableText"/>
              <w:ind w:left="305"/>
              <w:spacing w:before="171" w:line="221" w:lineRule="auto"/>
              <w:rPr/>
            </w:pPr>
            <w:r>
              <w:rPr>
                <w:b/>
                <w:bCs/>
                <w:spacing w:val="-3"/>
              </w:rPr>
              <w:t>相关规划</w:t>
            </w:r>
          </w:p>
        </w:tc>
        <w:tc>
          <w:tcPr>
            <w:tcW w:w="4917" w:type="dxa"/>
            <w:vAlign w:val="top"/>
            <w:tcBorders>
              <w:top w:val="single" w:color="000000" w:sz="10" w:space="0"/>
            </w:tcBorders>
          </w:tcPr>
          <w:p>
            <w:pPr>
              <w:pStyle w:val="TableText"/>
              <w:ind w:left="2042"/>
              <w:spacing w:before="171" w:line="221" w:lineRule="auto"/>
              <w:rPr/>
            </w:pPr>
            <w:r>
              <w:rPr>
                <w:b/>
                <w:bCs/>
                <w:spacing w:val="-3"/>
              </w:rPr>
              <w:t>相关要求</w:t>
            </w:r>
          </w:p>
        </w:tc>
        <w:tc>
          <w:tcPr>
            <w:tcW w:w="1754" w:type="dxa"/>
            <w:vAlign w:val="top"/>
            <w:tcBorders>
              <w:top w:val="single" w:color="000000" w:sz="10" w:space="0"/>
            </w:tcBorders>
          </w:tcPr>
          <w:p>
            <w:pPr>
              <w:pStyle w:val="TableText"/>
              <w:ind w:left="566"/>
              <w:spacing w:before="170" w:line="220" w:lineRule="auto"/>
              <w:rPr/>
            </w:pPr>
            <w:r>
              <w:rPr>
                <w:b/>
                <w:bCs/>
                <w:spacing w:val="-4"/>
              </w:rPr>
              <w:t>本项目</w:t>
            </w:r>
          </w:p>
        </w:tc>
        <w:tc>
          <w:tcPr>
            <w:tcW w:w="639" w:type="dxa"/>
            <w:vAlign w:val="top"/>
            <w:tcBorders>
              <w:right w:val="nil"/>
              <w:top w:val="single" w:color="000000" w:sz="10" w:space="0"/>
            </w:tcBorders>
          </w:tcPr>
          <w:p>
            <w:pPr>
              <w:pStyle w:val="TableText"/>
              <w:ind w:left="222" w:right="107" w:hanging="106"/>
              <w:spacing w:before="34" w:line="223" w:lineRule="auto"/>
              <w:rPr/>
            </w:pPr>
            <w:r>
              <w:rPr>
                <w:b/>
                <w:bCs/>
                <w:spacing w:val="-6"/>
              </w:rPr>
              <w:t>符合</w:t>
            </w:r>
            <w:r>
              <w:rPr>
                <w:b/>
                <w:bCs/>
                <w:spacing w:val="-3"/>
              </w:rPr>
              <w:t>性</w:t>
            </w:r>
          </w:p>
        </w:tc>
      </w:tr>
      <w:tr>
        <w:trPr>
          <w:trHeight w:val="2992" w:hRule="atLeast"/>
        </w:trPr>
        <w:tc>
          <w:tcPr>
            <w:tcW w:w="1425" w:type="dxa"/>
            <w:vAlign w:val="top"/>
            <w:tcBorders>
              <w:left w:val="nil"/>
            </w:tcBorders>
          </w:tcPr>
          <w:p>
            <w:pPr>
              <w:spacing w:line="320" w:lineRule="auto"/>
              <w:rPr>
                <w:rFonts w:ascii="Arial"/>
                <w:sz w:val="21"/>
              </w:rPr>
            </w:pPr>
            <w:r/>
          </w:p>
          <w:p>
            <w:pPr>
              <w:spacing w:line="320" w:lineRule="auto"/>
              <w:rPr>
                <w:rFonts w:ascii="Arial"/>
                <w:sz w:val="21"/>
              </w:rPr>
            </w:pPr>
            <w:r/>
          </w:p>
          <w:p>
            <w:pPr>
              <w:pStyle w:val="TableText"/>
              <w:ind w:left="204"/>
              <w:spacing w:before="68" w:line="221" w:lineRule="auto"/>
              <w:rPr/>
            </w:pPr>
            <w:r>
              <w:rPr>
                <w:spacing w:val="-7"/>
              </w:rPr>
              <w:t>《内蒙古自</w:t>
            </w:r>
          </w:p>
          <w:p>
            <w:pPr>
              <w:pStyle w:val="TableText"/>
              <w:ind w:left="207"/>
              <w:spacing w:before="20" w:line="222" w:lineRule="auto"/>
              <w:rPr/>
            </w:pPr>
            <w:r>
              <w:rPr>
                <w:spacing w:val="-2"/>
              </w:rPr>
              <w:t>治区国民经</w:t>
            </w:r>
          </w:p>
          <w:p>
            <w:pPr>
              <w:pStyle w:val="TableText"/>
              <w:ind w:left="203"/>
              <w:spacing w:before="20" w:line="220" w:lineRule="auto"/>
              <w:rPr/>
            </w:pPr>
            <w:r>
              <w:rPr>
                <w:spacing w:val="-2"/>
              </w:rPr>
              <w:t>济和社会发</w:t>
            </w:r>
          </w:p>
          <w:p>
            <w:pPr>
              <w:pStyle w:val="TableText"/>
              <w:ind w:left="204"/>
              <w:spacing w:before="20" w:line="221" w:lineRule="auto"/>
              <w:rPr/>
            </w:pPr>
            <w:r>
              <w:rPr>
                <w:spacing w:val="-2"/>
              </w:rPr>
              <w:t>展第十四个</w:t>
            </w:r>
          </w:p>
          <w:p>
            <w:pPr>
              <w:pStyle w:val="TableText"/>
              <w:ind w:left="206"/>
              <w:spacing w:before="22" w:line="221" w:lineRule="auto"/>
              <w:rPr/>
            </w:pPr>
            <w:r>
              <w:rPr>
                <w:spacing w:val="-2"/>
              </w:rPr>
              <w:t>五年规划纲</w:t>
            </w:r>
          </w:p>
          <w:p>
            <w:pPr>
              <w:pStyle w:val="TableText"/>
              <w:ind w:left="517"/>
              <w:spacing w:before="21" w:line="223" w:lineRule="auto"/>
              <w:rPr/>
            </w:pPr>
            <w:r>
              <w:rPr>
                <w:spacing w:val="-4"/>
              </w:rPr>
              <w:t>要》</w:t>
            </w:r>
          </w:p>
        </w:tc>
        <w:tc>
          <w:tcPr>
            <w:tcW w:w="4917" w:type="dxa"/>
            <w:vAlign w:val="top"/>
          </w:tcPr>
          <w:p>
            <w:pPr>
              <w:pStyle w:val="TableText"/>
              <w:ind w:left="152"/>
              <w:spacing w:before="31" w:line="220" w:lineRule="auto"/>
              <w:rPr/>
            </w:pPr>
            <w:r>
              <w:rPr>
                <w:spacing w:val="-2"/>
              </w:rPr>
              <w:t>第十二章促进农畜产品生产基地优质高效转型中：</w:t>
            </w:r>
          </w:p>
          <w:p>
            <w:pPr>
              <w:pStyle w:val="TableText"/>
              <w:ind w:left="156"/>
              <w:spacing w:before="23" w:line="220" w:lineRule="auto"/>
              <w:rPr/>
            </w:pPr>
            <w:r>
              <w:rPr>
                <w:spacing w:val="-1"/>
              </w:rPr>
              <w:t>坚持“农牧结合、为养而种”“种养结合、以种促</w:t>
            </w:r>
          </w:p>
          <w:p>
            <w:pPr>
              <w:pStyle w:val="TableText"/>
              <w:ind w:left="153"/>
              <w:spacing w:before="20" w:line="221" w:lineRule="auto"/>
              <w:rPr/>
            </w:pPr>
            <w:r>
              <w:rPr>
                <w:spacing w:val="-2"/>
              </w:rPr>
              <w:t>养”，实施国家绿色肉奶安全保障基地建设工程，</w:t>
            </w:r>
          </w:p>
          <w:p>
            <w:pPr>
              <w:pStyle w:val="TableText"/>
              <w:ind w:left="155"/>
              <w:spacing w:before="22" w:line="221" w:lineRule="auto"/>
              <w:rPr/>
            </w:pPr>
            <w:r>
              <w:rPr>
                <w:spacing w:val="-1"/>
              </w:rPr>
              <w:t>大力推动奶牛、肉牛、肉羊和绒山羊向优势产区集</w:t>
            </w:r>
          </w:p>
          <w:p>
            <w:pPr>
              <w:pStyle w:val="TableText"/>
              <w:ind w:left="160"/>
              <w:spacing w:before="19" w:line="221" w:lineRule="auto"/>
              <w:rPr/>
            </w:pPr>
            <w:r>
              <w:rPr>
                <w:spacing w:val="-1"/>
              </w:rPr>
              <w:t>聚，推动牛羊肉和牛奶生产大县建设，力争奶产量</w:t>
            </w:r>
          </w:p>
          <w:p>
            <w:pPr>
              <w:pStyle w:val="TableText"/>
              <w:ind w:left="151"/>
              <w:spacing w:before="22" w:line="221" w:lineRule="auto"/>
              <w:rPr/>
            </w:pPr>
            <w:r>
              <w:rPr>
                <w:spacing w:val="-2"/>
              </w:rPr>
              <w:t>达到</w:t>
            </w:r>
            <w:r>
              <w:rPr>
                <w:spacing w:val="-21"/>
              </w:rPr>
              <w:t xml:space="preserve"> </w:t>
            </w:r>
            <w:r>
              <w:rPr>
                <w:spacing w:val="-2"/>
              </w:rPr>
              <w:t>1000</w:t>
            </w:r>
            <w:r>
              <w:rPr>
                <w:spacing w:val="-41"/>
              </w:rPr>
              <w:t xml:space="preserve"> </w:t>
            </w:r>
            <w:r>
              <w:rPr>
                <w:spacing w:val="-2"/>
              </w:rPr>
              <w:t>万吨，打造以黄河流域、西辽河-嫩江流</w:t>
            </w:r>
          </w:p>
          <w:p>
            <w:pPr>
              <w:pStyle w:val="TableText"/>
              <w:ind w:left="153"/>
              <w:spacing w:before="20" w:line="221" w:lineRule="auto"/>
              <w:rPr/>
            </w:pPr>
            <w:r>
              <w:rPr>
                <w:spacing w:val="-1"/>
              </w:rPr>
              <w:t>域及北方农牧交错带、北部牧区寒冷地区为重点的</w:t>
            </w:r>
          </w:p>
          <w:p>
            <w:pPr>
              <w:pStyle w:val="TableText"/>
              <w:ind w:left="151"/>
              <w:spacing w:before="22" w:line="221" w:lineRule="auto"/>
              <w:rPr/>
            </w:pPr>
            <w:r>
              <w:rPr/>
              <w:t>优质饲草产业带，重点建设呼和浩特中国草</w:t>
            </w:r>
            <w:r>
              <w:rPr>
                <w:spacing w:val="-1"/>
              </w:rPr>
              <w:t>种资源</w:t>
            </w:r>
          </w:p>
          <w:p>
            <w:pPr>
              <w:pStyle w:val="TableText"/>
              <w:ind w:left="153"/>
              <w:spacing w:before="20" w:line="220" w:lineRule="auto"/>
              <w:rPr/>
            </w:pPr>
            <w:r>
              <w:rPr>
                <w:spacing w:val="-1"/>
              </w:rPr>
              <w:t>库、锡林郭勒和呼伦贝尔高产优质饲草基地、阿鲁</w:t>
            </w:r>
          </w:p>
          <w:p>
            <w:pPr>
              <w:pStyle w:val="TableText"/>
              <w:ind w:left="114"/>
              <w:spacing w:before="24" w:line="220" w:lineRule="auto"/>
              <w:rPr/>
            </w:pPr>
            <w:r>
              <w:rPr>
                <w:spacing w:val="-2"/>
              </w:rPr>
              <w:t>科尔沁百万亩优质苜蓿产业基地，力争突破</w:t>
            </w:r>
            <w:r>
              <w:rPr>
                <w:spacing w:val="-36"/>
              </w:rPr>
              <w:t xml:space="preserve"> </w:t>
            </w:r>
            <w:r>
              <w:rPr>
                <w:spacing w:val="-2"/>
              </w:rPr>
              <w:t>3000</w:t>
            </w:r>
            <w:r>
              <w:rPr>
                <w:spacing w:val="-38"/>
              </w:rPr>
              <w:t xml:space="preserve"> </w:t>
            </w:r>
            <w:r>
              <w:rPr>
                <w:spacing w:val="-2"/>
              </w:rPr>
              <w:t>万</w:t>
            </w:r>
          </w:p>
          <w:p>
            <w:pPr>
              <w:pStyle w:val="TableText"/>
              <w:ind w:left="2253"/>
              <w:spacing w:before="21" w:line="199" w:lineRule="auto"/>
              <w:rPr/>
            </w:pPr>
            <w:r>
              <w:rPr>
                <w:spacing w:val="-10"/>
              </w:rPr>
              <w:t>亩。</w:t>
            </w:r>
          </w:p>
        </w:tc>
        <w:tc>
          <w:tcPr>
            <w:tcW w:w="1754" w:type="dxa"/>
            <w:vAlign w:val="top"/>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148" w:right="135"/>
              <w:spacing w:before="68" w:line="241" w:lineRule="auto"/>
              <w:jc w:val="both"/>
              <w:rPr/>
            </w:pPr>
            <w:r>
              <w:rPr>
                <w:spacing w:val="-1"/>
              </w:rPr>
              <w:t>本项目为肉牛育</w:t>
            </w:r>
            <w:r>
              <w:rPr>
                <w:spacing w:val="16"/>
              </w:rPr>
              <w:t>肥基地建设项</w:t>
            </w:r>
            <w:r>
              <w:rPr>
                <w:spacing w:val="-1"/>
              </w:rPr>
              <w:t>目，属于标准化</w:t>
            </w:r>
            <w:r>
              <w:rPr>
                <w:spacing w:val="-3"/>
              </w:rPr>
              <w:t>规模化养殖场。</w:t>
            </w:r>
          </w:p>
        </w:tc>
        <w:tc>
          <w:tcPr>
            <w:tcW w:w="639" w:type="dxa"/>
            <w:vAlign w:val="top"/>
            <w:tcBorders>
              <w:right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6"/>
              <w:spacing w:before="69" w:line="221" w:lineRule="auto"/>
              <w:rPr/>
            </w:pPr>
            <w:r>
              <w:rPr>
                <w:spacing w:val="-2"/>
              </w:rPr>
              <w:t>符合</w:t>
            </w:r>
          </w:p>
        </w:tc>
      </w:tr>
      <w:tr>
        <w:trPr>
          <w:trHeight w:val="2179" w:hRule="atLeast"/>
        </w:trPr>
        <w:tc>
          <w:tcPr>
            <w:tcW w:w="1425" w:type="dxa"/>
            <w:vAlign w:val="top"/>
            <w:tcBorders>
              <w:left w:val="nil"/>
            </w:tcBorders>
          </w:tcPr>
          <w:p>
            <w:pPr>
              <w:spacing w:line="381" w:lineRule="auto"/>
              <w:rPr>
                <w:rFonts w:ascii="Arial"/>
                <w:sz w:val="21"/>
              </w:rPr>
            </w:pPr>
            <w:r/>
          </w:p>
          <w:p>
            <w:pPr>
              <w:pStyle w:val="TableText"/>
              <w:ind w:left="131" w:right="46" w:firstLine="72"/>
              <w:spacing w:before="68"/>
              <w:jc w:val="both"/>
              <w:rPr/>
            </w:pPr>
            <w:r>
              <w:rPr>
                <w:spacing w:val="-2"/>
              </w:rPr>
              <w:t>《锡林郭勒</w:t>
            </w:r>
            <w:r>
              <w:rPr>
                <w:spacing w:val="13"/>
              </w:rPr>
              <w:t>盟国民经济</w:t>
            </w:r>
            <w:r>
              <w:rPr>
                <w:spacing w:val="13"/>
              </w:rPr>
              <w:t>和社会发展</w:t>
            </w:r>
            <w:r>
              <w:rPr>
                <w:spacing w:val="13"/>
              </w:rPr>
              <w:t>第十四个五</w:t>
            </w:r>
            <w:r>
              <w:rPr>
                <w:spacing w:val="-3"/>
              </w:rPr>
              <w:t>年规划纲要》</w:t>
            </w:r>
          </w:p>
        </w:tc>
        <w:tc>
          <w:tcPr>
            <w:tcW w:w="4917" w:type="dxa"/>
            <w:vAlign w:val="top"/>
          </w:tcPr>
          <w:p>
            <w:pPr>
              <w:pStyle w:val="TableText"/>
              <w:ind w:left="113" w:right="29" w:firstLine="39"/>
              <w:spacing w:before="39" w:line="234" w:lineRule="auto"/>
              <w:jc w:val="both"/>
              <w:rPr/>
            </w:pPr>
            <w:r>
              <w:rPr>
                <w:spacing w:val="-1"/>
              </w:rPr>
              <w:t>加强良种肉牛繁育体系建设，强化育成牛保护，发</w:t>
            </w:r>
            <w:r>
              <w:rPr/>
              <w:t>展肉牛育肥产业，提高饲养管理水平。到</w:t>
            </w:r>
            <w:r>
              <w:rPr>
                <w:spacing w:val="-48"/>
              </w:rPr>
              <w:t xml:space="preserve"> </w:t>
            </w:r>
            <w:r>
              <w:rPr>
                <w:rFonts w:ascii="Times New Roman" w:hAnsi="Times New Roman" w:eastAsia="Times New Roman" w:cs="Times New Roman"/>
              </w:rPr>
              <w:t>2025 </w:t>
            </w:r>
            <w:r>
              <w:rPr/>
              <w:t>年，</w:t>
            </w:r>
            <w:r>
              <w:rPr>
                <w:spacing w:val="-3"/>
              </w:rPr>
              <w:t>全盟天然放牧羊存栏稳定在</w:t>
            </w:r>
            <w:r>
              <w:rPr>
                <w:spacing w:val="-23"/>
              </w:rPr>
              <w:t xml:space="preserve"> </w:t>
            </w:r>
            <w:r>
              <w:rPr>
                <w:rFonts w:ascii="Times New Roman" w:hAnsi="Times New Roman" w:eastAsia="Times New Roman" w:cs="Times New Roman"/>
                <w:spacing w:val="-3"/>
              </w:rPr>
              <w:t>1000</w:t>
            </w:r>
            <w:r>
              <w:rPr>
                <w:rFonts w:ascii="Times New Roman" w:hAnsi="Times New Roman" w:eastAsia="Times New Roman" w:cs="Times New Roman"/>
                <w:spacing w:val="14"/>
              </w:rPr>
              <w:t xml:space="preserve"> </w:t>
            </w:r>
            <w:r>
              <w:rPr>
                <w:spacing w:val="-3"/>
              </w:rPr>
              <w:t>万只、舍饲育肥羊</w:t>
            </w:r>
            <w:r>
              <w:rPr>
                <w:spacing w:val="-10"/>
              </w:rPr>
              <w:t>达到</w:t>
            </w:r>
            <w:r>
              <w:rPr>
                <w:spacing w:val="-43"/>
              </w:rPr>
              <w:t xml:space="preserve"> </w:t>
            </w:r>
            <w:r>
              <w:rPr>
                <w:rFonts w:ascii="Times New Roman" w:hAnsi="Times New Roman" w:eastAsia="Times New Roman" w:cs="Times New Roman"/>
                <w:spacing w:val="-10"/>
              </w:rPr>
              <w:t>300</w:t>
            </w:r>
            <w:r>
              <w:rPr>
                <w:rFonts w:ascii="Times New Roman" w:hAnsi="Times New Roman" w:eastAsia="Times New Roman" w:cs="Times New Roman"/>
                <w:spacing w:val="14"/>
              </w:rPr>
              <w:t xml:space="preserve"> </w:t>
            </w:r>
            <w:r>
              <w:rPr>
                <w:spacing w:val="-10"/>
              </w:rPr>
              <w:t>万只，种羊场达到</w:t>
            </w:r>
            <w:r>
              <w:rPr>
                <w:spacing w:val="-28"/>
              </w:rPr>
              <w:t xml:space="preserve"> </w:t>
            </w:r>
            <w:r>
              <w:rPr>
                <w:rFonts w:ascii="Times New Roman" w:hAnsi="Times New Roman" w:eastAsia="Times New Roman" w:cs="Times New Roman"/>
                <w:spacing w:val="-10"/>
              </w:rPr>
              <w:t>150</w:t>
            </w:r>
            <w:r>
              <w:rPr>
                <w:rFonts w:ascii="Times New Roman" w:hAnsi="Times New Roman" w:eastAsia="Times New Roman" w:cs="Times New Roman"/>
                <w:spacing w:val="11"/>
              </w:rPr>
              <w:t xml:space="preserve"> </w:t>
            </w:r>
            <w:r>
              <w:rPr>
                <w:spacing w:val="-10"/>
              </w:rPr>
              <w:t>处，核心群达到</w:t>
            </w:r>
            <w:r>
              <w:rPr>
                <w:spacing w:val="-28"/>
              </w:rPr>
              <w:t xml:space="preserve"> </w:t>
            </w:r>
            <w:r>
              <w:rPr>
                <w:rFonts w:ascii="Times New Roman" w:hAnsi="Times New Roman" w:eastAsia="Times New Roman" w:cs="Times New Roman"/>
                <w:spacing w:val="-10"/>
              </w:rPr>
              <w:t>15</w:t>
            </w:r>
            <w:r>
              <w:rPr>
                <w:rFonts w:ascii="Times New Roman" w:hAnsi="Times New Roman" w:eastAsia="Times New Roman" w:cs="Times New Roman"/>
                <w:spacing w:val="-11"/>
              </w:rPr>
              <w:t>00</w:t>
            </w:r>
            <w:r>
              <w:rPr>
                <w:spacing w:val="1"/>
              </w:rPr>
              <w:t>群，年供优质种公羊能力达到</w:t>
            </w:r>
            <w:r>
              <w:rPr>
                <w:spacing w:val="-40"/>
              </w:rPr>
              <w:t xml:space="preserve"> </w:t>
            </w:r>
            <w:r>
              <w:rPr>
                <w:rFonts w:ascii="Times New Roman" w:hAnsi="Times New Roman" w:eastAsia="Times New Roman" w:cs="Times New Roman"/>
                <w:spacing w:val="1"/>
              </w:rPr>
              <w:t>4 </w:t>
            </w:r>
            <w:r>
              <w:rPr>
                <w:spacing w:val="1"/>
              </w:rPr>
              <w:t>万只以上；肉牛存</w:t>
            </w:r>
            <w:r>
              <w:rPr>
                <w:spacing w:val="1"/>
              </w:rPr>
              <w:t>栏达到</w:t>
            </w:r>
            <w:r>
              <w:rPr>
                <w:spacing w:val="-47"/>
              </w:rPr>
              <w:t xml:space="preserve"> </w:t>
            </w:r>
            <w:r>
              <w:rPr>
                <w:rFonts w:ascii="Times New Roman" w:hAnsi="Times New Roman" w:eastAsia="Times New Roman" w:cs="Times New Roman"/>
                <w:spacing w:val="1"/>
              </w:rPr>
              <w:t>200 </w:t>
            </w:r>
            <w:r>
              <w:rPr>
                <w:spacing w:val="1"/>
              </w:rPr>
              <w:t>万头，核心群达到</w:t>
            </w:r>
            <w:r>
              <w:rPr>
                <w:spacing w:val="-43"/>
              </w:rPr>
              <w:t xml:space="preserve"> </w:t>
            </w:r>
            <w:r>
              <w:rPr>
                <w:rFonts w:ascii="Times New Roman" w:hAnsi="Times New Roman" w:eastAsia="Times New Roman" w:cs="Times New Roman"/>
                <w:spacing w:val="1"/>
              </w:rPr>
              <w:t>350 </w:t>
            </w:r>
            <w:r>
              <w:rPr>
                <w:spacing w:val="1"/>
              </w:rPr>
              <w:t>群，</w:t>
            </w:r>
            <w:r>
              <w:rPr/>
              <w:t>年供合格种</w:t>
            </w:r>
            <w:r>
              <w:rPr>
                <w:spacing w:val="-5"/>
              </w:rPr>
              <w:t>公牛</w:t>
            </w:r>
            <w:r>
              <w:rPr>
                <w:spacing w:val="-44"/>
              </w:rPr>
              <w:t xml:space="preserve"> </w:t>
            </w:r>
            <w:r>
              <w:rPr>
                <w:rFonts w:ascii="Times New Roman" w:hAnsi="Times New Roman" w:eastAsia="Times New Roman" w:cs="Times New Roman"/>
                <w:spacing w:val="-5"/>
              </w:rPr>
              <w:t>0.8</w:t>
            </w:r>
            <w:r>
              <w:rPr>
                <w:rFonts w:ascii="Times New Roman" w:hAnsi="Times New Roman" w:eastAsia="Times New Roman" w:cs="Times New Roman"/>
                <w:spacing w:val="14"/>
              </w:rPr>
              <w:t xml:space="preserve"> </w:t>
            </w:r>
            <w:r>
              <w:rPr>
                <w:spacing w:val="-5"/>
              </w:rPr>
              <w:t>万头、后备母牛</w:t>
            </w:r>
            <w:r>
              <w:rPr>
                <w:spacing w:val="-48"/>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2"/>
              </w:rPr>
              <w:t xml:space="preserve"> </w:t>
            </w:r>
            <w:r>
              <w:rPr>
                <w:spacing w:val="-5"/>
              </w:rPr>
              <w:t>万头，全盟肉牛繁殖</w:t>
            </w:r>
            <w:r>
              <w:rPr>
                <w:spacing w:val="-6"/>
              </w:rPr>
              <w:t>成活</w:t>
            </w:r>
            <w:r>
              <w:rPr>
                <w:spacing w:val="-7"/>
              </w:rPr>
              <w:t>率达到</w:t>
            </w:r>
            <w:r>
              <w:rPr>
                <w:spacing w:val="-47"/>
              </w:rPr>
              <w:t xml:space="preserve"> </w:t>
            </w:r>
            <w:r>
              <w:rPr>
                <w:rFonts w:ascii="Times New Roman" w:hAnsi="Times New Roman" w:eastAsia="Times New Roman" w:cs="Times New Roman"/>
                <w:spacing w:val="-7"/>
              </w:rPr>
              <w:t>85%</w:t>
            </w:r>
            <w:r>
              <w:rPr>
                <w:spacing w:val="-7"/>
              </w:rPr>
              <w:t>以上，年肉牛精深加工能力达到</w:t>
            </w:r>
            <w:r>
              <w:rPr>
                <w:spacing w:val="-60"/>
              </w:rPr>
              <w:t xml:space="preserve"> </w:t>
            </w:r>
            <w:r>
              <w:rPr>
                <w:rFonts w:ascii="Times New Roman" w:hAnsi="Times New Roman" w:eastAsia="Times New Roman" w:cs="Times New Roman"/>
                <w:spacing w:val="-7"/>
              </w:rPr>
              <w:t>30 </w:t>
            </w:r>
            <w:r>
              <w:rPr>
                <w:spacing w:val="-7"/>
              </w:rPr>
              <w:t>万头。</w:t>
            </w:r>
          </w:p>
        </w:tc>
        <w:tc>
          <w:tcPr>
            <w:tcW w:w="1754" w:type="dxa"/>
            <w:vAlign w:val="top"/>
          </w:tcPr>
          <w:p>
            <w:pPr>
              <w:spacing w:line="379" w:lineRule="auto"/>
              <w:rPr>
                <w:rFonts w:ascii="Arial"/>
                <w:sz w:val="21"/>
              </w:rPr>
            </w:pPr>
            <w:r/>
          </w:p>
          <w:p>
            <w:pPr>
              <w:pStyle w:val="TableText"/>
              <w:ind w:left="148"/>
              <w:spacing w:before="68" w:line="220" w:lineRule="auto"/>
              <w:rPr/>
            </w:pPr>
            <w:r>
              <w:rPr>
                <w:spacing w:val="-1"/>
              </w:rPr>
              <w:t>本项目为肉牛育</w:t>
            </w:r>
          </w:p>
          <w:p>
            <w:pPr>
              <w:pStyle w:val="TableText"/>
              <w:ind w:left="253"/>
              <w:spacing w:before="20" w:line="220" w:lineRule="auto"/>
              <w:rPr/>
            </w:pPr>
            <w:r>
              <w:rPr>
                <w:spacing w:val="-1"/>
              </w:rPr>
              <w:t>肥基地建设项</w:t>
            </w:r>
          </w:p>
          <w:p>
            <w:pPr>
              <w:pStyle w:val="TableText"/>
              <w:ind w:right="20"/>
              <w:spacing w:before="23" w:line="221" w:lineRule="auto"/>
              <w:jc w:val="right"/>
              <w:rPr/>
            </w:pPr>
            <w:r>
              <w:rPr>
                <w:spacing w:val="-14"/>
              </w:rPr>
              <w:t>目，不涉及繁育，</w:t>
            </w:r>
          </w:p>
          <w:p>
            <w:pPr>
              <w:pStyle w:val="TableText"/>
              <w:ind w:left="149"/>
              <w:spacing w:before="19" w:line="221" w:lineRule="auto"/>
              <w:rPr/>
            </w:pPr>
            <w:r>
              <w:rPr>
                <w:spacing w:val="-1"/>
              </w:rPr>
              <w:t>属于标准化养殖</w:t>
            </w:r>
          </w:p>
          <w:p>
            <w:pPr>
              <w:pStyle w:val="TableText"/>
              <w:ind w:left="462"/>
              <w:spacing w:before="22" w:line="220" w:lineRule="auto"/>
              <w:rPr/>
            </w:pPr>
            <w:r>
              <w:rPr>
                <w:spacing w:val="-2"/>
              </w:rPr>
              <w:t>和育肥。</w:t>
            </w:r>
          </w:p>
        </w:tc>
        <w:tc>
          <w:tcPr>
            <w:tcW w:w="639" w:type="dxa"/>
            <w:vAlign w:val="top"/>
            <w:tcBorders>
              <w:right w:val="nil"/>
            </w:tcBorders>
          </w:tcPr>
          <w:p>
            <w:pPr>
              <w:spacing w:line="306" w:lineRule="auto"/>
              <w:rPr>
                <w:rFonts w:ascii="Arial"/>
                <w:sz w:val="21"/>
              </w:rPr>
            </w:pPr>
            <w:r/>
          </w:p>
          <w:p>
            <w:pPr>
              <w:spacing w:line="307" w:lineRule="auto"/>
              <w:rPr>
                <w:rFonts w:ascii="Arial"/>
                <w:sz w:val="21"/>
              </w:rPr>
            </w:pPr>
            <w:r/>
          </w:p>
          <w:p>
            <w:pPr>
              <w:spacing w:line="307" w:lineRule="auto"/>
              <w:rPr>
                <w:rFonts w:ascii="Arial"/>
                <w:sz w:val="21"/>
              </w:rPr>
            </w:pPr>
            <w:r/>
          </w:p>
          <w:p>
            <w:pPr>
              <w:pStyle w:val="TableText"/>
              <w:ind w:left="116"/>
              <w:spacing w:before="68" w:line="221" w:lineRule="auto"/>
              <w:rPr/>
            </w:pPr>
            <w:r>
              <w:rPr>
                <w:spacing w:val="-2"/>
              </w:rPr>
              <w:t>符合</w:t>
            </w:r>
          </w:p>
        </w:tc>
      </w:tr>
      <w:tr>
        <w:trPr>
          <w:trHeight w:val="4106" w:hRule="atLeast"/>
        </w:trPr>
        <w:tc>
          <w:tcPr>
            <w:tcW w:w="1425" w:type="dxa"/>
            <w:vAlign w:val="top"/>
            <w:tcBorders>
              <w:left w:val="nil"/>
              <w:bottom w:val="single" w:color="000000" w:sz="10" w:space="0"/>
            </w:tcBorders>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204"/>
              <w:spacing w:before="69" w:line="220" w:lineRule="auto"/>
              <w:rPr/>
            </w:pPr>
            <w:r>
              <w:rPr>
                <w:spacing w:val="-4"/>
              </w:rPr>
              <w:t>《锡林郭勒</w:t>
            </w:r>
          </w:p>
          <w:p>
            <w:pPr>
              <w:pStyle w:val="TableText"/>
              <w:ind w:left="202"/>
              <w:spacing w:before="23" w:line="221" w:lineRule="auto"/>
              <w:rPr/>
            </w:pPr>
            <w:r>
              <w:rPr>
                <w:spacing w:val="-1"/>
              </w:rPr>
              <w:t>盟关于加强</w:t>
            </w:r>
          </w:p>
          <w:p>
            <w:pPr>
              <w:pStyle w:val="TableText"/>
              <w:ind w:left="201"/>
              <w:spacing w:before="18" w:line="221" w:lineRule="auto"/>
              <w:rPr/>
            </w:pPr>
            <w:r>
              <w:rPr>
                <w:spacing w:val="-1"/>
              </w:rPr>
              <w:t>病死畜禽无</w:t>
            </w:r>
          </w:p>
          <w:p>
            <w:pPr>
              <w:pStyle w:val="TableText"/>
              <w:ind w:left="206"/>
              <w:spacing w:before="23" w:line="221" w:lineRule="auto"/>
              <w:rPr/>
            </w:pPr>
            <w:r>
              <w:rPr>
                <w:spacing w:val="-2"/>
              </w:rPr>
              <w:t>害化处理工</w:t>
            </w:r>
          </w:p>
          <w:p>
            <w:pPr>
              <w:pStyle w:val="TableText"/>
              <w:ind w:left="203"/>
              <w:spacing w:before="19" w:line="221" w:lineRule="auto"/>
              <w:rPr/>
            </w:pPr>
            <w:r>
              <w:rPr>
                <w:spacing w:val="-2"/>
              </w:rPr>
              <w:t>作的实施意</w:t>
            </w:r>
          </w:p>
          <w:p>
            <w:pPr>
              <w:pStyle w:val="TableText"/>
              <w:ind w:left="520"/>
              <w:spacing w:before="22" w:line="221" w:lineRule="auto"/>
              <w:rPr/>
            </w:pPr>
            <w:r>
              <w:rPr>
                <w:spacing w:val="-5"/>
              </w:rPr>
              <w:t>见》</w:t>
            </w:r>
          </w:p>
        </w:tc>
        <w:tc>
          <w:tcPr>
            <w:tcW w:w="4917" w:type="dxa"/>
            <w:vAlign w:val="top"/>
            <w:tcBorders>
              <w:bottom w:val="single" w:color="000000" w:sz="10" w:space="0"/>
            </w:tcBorders>
          </w:tcPr>
          <w:p>
            <w:pPr>
              <w:pStyle w:val="TableText"/>
              <w:ind w:left="151" w:right="141" w:firstLine="3"/>
              <w:spacing w:before="52" w:line="237" w:lineRule="auto"/>
              <w:rPr/>
            </w:pPr>
            <w:r>
              <w:rPr>
                <w:spacing w:val="-1"/>
              </w:rPr>
              <w:t>各地政府要根据本地区畜禽养殖、疫病发生和畜禽</w:t>
            </w:r>
            <w:r>
              <w:rPr/>
              <w:t>死亡等情况，统筹规划和合理布局病死畜禽</w:t>
            </w:r>
            <w:r>
              <w:rPr>
                <w:spacing w:val="-1"/>
              </w:rPr>
              <w:t>无害化</w:t>
            </w:r>
            <w:r>
              <w:rPr>
                <w:spacing w:val="-2"/>
              </w:rPr>
              <w:t>收集处理体系，组织建设覆盖饲养、屠宰、经营、</w:t>
            </w:r>
            <w:r>
              <w:rPr/>
              <w:t>运输等各环节的病死畜禽无害化处理场所，</w:t>
            </w:r>
            <w:r>
              <w:rPr>
                <w:spacing w:val="-1"/>
              </w:rPr>
              <w:t>处理场</w:t>
            </w:r>
            <w:r>
              <w:rPr>
                <w:spacing w:val="-1"/>
              </w:rPr>
              <w:t>所的设计处理能力应高于日常病死畜禽处理量。鼓</w:t>
            </w:r>
            <w:r>
              <w:rPr>
                <w:spacing w:val="-1"/>
              </w:rPr>
              <w:t>励跨行政区域建设病死畜禽专业无害化处理场。处</w:t>
            </w:r>
            <w:r>
              <w:rPr/>
              <w:t>理设施应优先采用化制、发酵等既能实现无</w:t>
            </w:r>
            <w:r>
              <w:rPr>
                <w:spacing w:val="-1"/>
              </w:rPr>
              <w:t>害化处</w:t>
            </w:r>
            <w:r>
              <w:rPr>
                <w:spacing w:val="-1"/>
              </w:rPr>
              <w:t>理又能资源化利用的工艺技术。支持研究新型、高</w:t>
            </w:r>
            <w:r>
              <w:rPr/>
              <w:t>效、环保的无害化处理技术和装备。有条件</w:t>
            </w:r>
            <w:r>
              <w:rPr>
                <w:spacing w:val="-1"/>
              </w:rPr>
              <w:t>的地区</w:t>
            </w:r>
            <w:r>
              <w:rPr/>
              <w:t>也可在完善防疫设施的基础上，利用现有医</w:t>
            </w:r>
            <w:r>
              <w:rPr>
                <w:spacing w:val="-1"/>
              </w:rPr>
              <w:t>疗垃圾</w:t>
            </w:r>
            <w:r>
              <w:rPr/>
              <w:t>处理厂等对病死畜禽进行无害化处理。深埋</w:t>
            </w:r>
            <w:r>
              <w:rPr>
                <w:spacing w:val="-1"/>
              </w:rPr>
              <w:t>处理的</w:t>
            </w:r>
            <w:r>
              <w:rPr/>
              <w:t>病死畜禽要严格按照农业部技术标准处理。</w:t>
            </w:r>
            <w:r>
              <w:rPr>
                <w:spacing w:val="-1"/>
              </w:rPr>
              <w:t>对零星</w:t>
            </w:r>
            <w:r>
              <w:rPr/>
              <w:t>病死畜禽自行处理的，各地要制定处理规范</w:t>
            </w:r>
            <w:r>
              <w:rPr>
                <w:spacing w:val="-1"/>
              </w:rPr>
              <w:t>，确保</w:t>
            </w:r>
            <w:r>
              <w:rPr/>
              <w:t>清洁安全、不污染环境。对发生一类动物疫</w:t>
            </w:r>
            <w:r>
              <w:rPr>
                <w:spacing w:val="-1"/>
              </w:rPr>
              <w:t>病以及</w:t>
            </w:r>
            <w:r>
              <w:rPr/>
              <w:t>炭疽、结核、禽流感等重点动物疫病死亡的</w:t>
            </w:r>
            <w:r>
              <w:rPr>
                <w:spacing w:val="-1"/>
              </w:rPr>
              <w:t>畜禽必</w:t>
            </w:r>
          </w:p>
        </w:tc>
        <w:tc>
          <w:tcPr>
            <w:tcW w:w="1754" w:type="dxa"/>
            <w:vAlign w:val="top"/>
            <w:tcBorders>
              <w:bottom w:val="single" w:color="000000" w:sz="10" w:space="0"/>
            </w:tcBorders>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46"/>
              <w:spacing w:before="68" w:line="221" w:lineRule="auto"/>
              <w:rPr/>
            </w:pPr>
            <w:r>
              <w:rPr>
                <w:spacing w:val="-1"/>
              </w:rPr>
              <w:t>病死牛委托相关</w:t>
            </w:r>
          </w:p>
          <w:p>
            <w:pPr>
              <w:pStyle w:val="TableText"/>
              <w:ind w:left="149"/>
              <w:spacing w:before="19" w:line="221" w:lineRule="auto"/>
              <w:rPr/>
            </w:pPr>
            <w:r>
              <w:rPr>
                <w:spacing w:val="-1"/>
              </w:rPr>
              <w:t>单位进行无害化</w:t>
            </w:r>
          </w:p>
          <w:p>
            <w:pPr>
              <w:pStyle w:val="TableText"/>
              <w:ind w:left="151"/>
              <w:spacing w:before="22" w:line="221" w:lineRule="auto"/>
              <w:rPr/>
            </w:pPr>
            <w:r>
              <w:rPr>
                <w:spacing w:val="-3"/>
              </w:rPr>
              <w:t>处置，不在厂区</w:t>
            </w:r>
          </w:p>
          <w:p>
            <w:pPr>
              <w:pStyle w:val="TableText"/>
              <w:ind w:left="278"/>
              <w:spacing w:before="18" w:line="221" w:lineRule="auto"/>
              <w:rPr/>
            </w:pPr>
            <w:r>
              <w:rPr>
                <w:spacing w:val="-6"/>
              </w:rPr>
              <w:t>内自行处置。</w:t>
            </w:r>
          </w:p>
        </w:tc>
        <w:tc>
          <w:tcPr>
            <w:tcW w:w="639" w:type="dxa"/>
            <w:vAlign w:val="top"/>
            <w:tcBorders>
              <w:right w:val="nil"/>
              <w:bottom w:val="single" w:color="000000" w:sz="10"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6"/>
              <w:spacing w:before="69" w:line="221" w:lineRule="auto"/>
              <w:rPr/>
            </w:pPr>
            <w:r>
              <w:rPr>
                <w:spacing w:val="-2"/>
              </w:rPr>
              <w:t>符合</w:t>
            </w:r>
          </w:p>
        </w:tc>
      </w:tr>
    </w:tbl>
    <w:p>
      <w:pPr>
        <w:pStyle w:val="BodyText"/>
        <w:rPr/>
      </w:pPr>
      <w:r>
        <w:pict>
          <v:shape id="_x0000_s54" style="position:absolute;margin-left:6.36601pt;margin-top:14.354pt;mso-position-vertical-relative:text;mso-position-horizontal-relative:text;width:425.7pt;height:0.6pt;z-index:251674624;" filled="false" strokecolor="#808080" strokeweight="0.50pt" coordsize="8514,12" coordorigin="0,0" path="m5,5l8508,6e">
            <v:stroke endcap="round" miterlimit="10"/>
          </v:shape>
        </w:pict>
      </w:r>
      <w:r/>
    </w:p>
    <w:p>
      <w:pPr>
        <w:sectPr>
          <w:headerReference w:type="default" r:id="rId21"/>
          <w:footerReference w:type="default" r:id="rId30"/>
          <w:pgSz w:w="11907" w:h="16839"/>
          <w:pgMar w:top="1422" w:right="1591" w:bottom="1618" w:left="1579" w:header="1033" w:footer="1417" w:gutter="0"/>
        </w:sectPr>
        <w:rPr/>
      </w:pPr>
    </w:p>
    <w:p>
      <w:pPr>
        <w:spacing w:before="37"/>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5"/>
        <w:gridCol w:w="4917"/>
        <w:gridCol w:w="1754"/>
        <w:gridCol w:w="639"/>
      </w:tblGrid>
      <w:tr>
        <w:trPr>
          <w:trHeight w:val="281" w:hRule="atLeast"/>
        </w:trPr>
        <w:tc>
          <w:tcPr>
            <w:tcW w:w="1425" w:type="dxa"/>
            <w:vAlign w:val="top"/>
            <w:tcBorders>
              <w:top w:val="single" w:color="000000" w:sz="10" w:space="0"/>
              <w:left w:val="nil"/>
            </w:tcBorders>
          </w:tcPr>
          <w:p>
            <w:pPr>
              <w:rPr>
                <w:rFonts w:ascii="Arial"/>
                <w:sz w:val="21"/>
              </w:rPr>
            </w:pPr>
            <w:r/>
          </w:p>
        </w:tc>
        <w:tc>
          <w:tcPr>
            <w:tcW w:w="4917" w:type="dxa"/>
            <w:vAlign w:val="top"/>
            <w:tcBorders>
              <w:top w:val="single" w:color="000000" w:sz="10" w:space="0"/>
            </w:tcBorders>
          </w:tcPr>
          <w:p>
            <w:pPr>
              <w:pStyle w:val="TableText"/>
              <w:ind w:left="365"/>
              <w:spacing w:before="34" w:line="208" w:lineRule="auto"/>
              <w:rPr/>
            </w:pPr>
            <w:r>
              <w:rPr>
                <w:spacing w:val="-2"/>
              </w:rPr>
              <w:t>须实施工厂化焚烧处理。设立三级处理体系。</w:t>
            </w:r>
          </w:p>
        </w:tc>
        <w:tc>
          <w:tcPr>
            <w:tcW w:w="1754" w:type="dxa"/>
            <w:vAlign w:val="top"/>
            <w:tcBorders>
              <w:top w:val="single" w:color="000000" w:sz="10" w:space="0"/>
            </w:tcBorders>
          </w:tcPr>
          <w:p>
            <w:pPr>
              <w:rPr>
                <w:rFonts w:ascii="Arial"/>
                <w:sz w:val="21"/>
              </w:rPr>
            </w:pPr>
            <w:r/>
          </w:p>
        </w:tc>
        <w:tc>
          <w:tcPr>
            <w:tcW w:w="639" w:type="dxa"/>
            <w:vAlign w:val="top"/>
            <w:tcBorders>
              <w:top w:val="single" w:color="000000" w:sz="10" w:space="0"/>
              <w:right w:val="nil"/>
            </w:tcBorders>
          </w:tcPr>
          <w:p>
            <w:pPr>
              <w:rPr>
                <w:rFonts w:ascii="Arial"/>
                <w:sz w:val="21"/>
              </w:rPr>
            </w:pPr>
            <w:r/>
          </w:p>
        </w:tc>
      </w:tr>
      <w:tr>
        <w:trPr>
          <w:trHeight w:val="3548" w:hRule="atLeast"/>
        </w:trPr>
        <w:tc>
          <w:tcPr>
            <w:tcW w:w="1425" w:type="dxa"/>
            <w:vAlign w:val="top"/>
            <w:tcBorders>
              <w:bottom w:val="single" w:color="000000" w:sz="10" w:space="0"/>
              <w:left w:val="nil"/>
            </w:tcBorders>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pStyle w:val="TableText"/>
              <w:ind w:left="201"/>
              <w:spacing w:before="69" w:line="220" w:lineRule="auto"/>
              <w:rPr/>
            </w:pPr>
            <w:r>
              <w:rPr>
                <w:spacing w:val="-1"/>
              </w:rPr>
              <w:t>锡林郭勒盟</w:t>
            </w:r>
          </w:p>
          <w:p>
            <w:pPr>
              <w:pStyle w:val="TableText"/>
              <w:ind w:left="188"/>
              <w:spacing w:before="21" w:line="222" w:lineRule="auto"/>
              <w:rPr/>
            </w:pPr>
            <w:r>
              <w:rPr>
                <w:spacing w:val="17"/>
              </w:rPr>
              <w:t>“十四五</w:t>
            </w:r>
            <w:r>
              <w:rPr>
                <w:spacing w:val="-77"/>
              </w:rPr>
              <w:t xml:space="preserve"> </w:t>
            </w:r>
            <w:r>
              <w:rPr>
                <w:spacing w:val="17"/>
              </w:rPr>
              <w:t>”</w:t>
            </w:r>
          </w:p>
          <w:p>
            <w:pPr>
              <w:pStyle w:val="TableText"/>
              <w:ind w:left="204"/>
              <w:spacing w:before="18" w:line="221" w:lineRule="auto"/>
              <w:rPr/>
            </w:pPr>
            <w:r>
              <w:rPr>
                <w:spacing w:val="-2"/>
              </w:rPr>
              <w:t>生态环境保</w:t>
            </w:r>
          </w:p>
          <w:p>
            <w:pPr>
              <w:pStyle w:val="TableText"/>
              <w:ind w:left="412"/>
              <w:spacing w:before="22" w:line="221" w:lineRule="auto"/>
              <w:rPr/>
            </w:pPr>
            <w:r>
              <w:rPr>
                <w:spacing w:val="-2"/>
              </w:rPr>
              <w:t>护规划</w:t>
            </w:r>
          </w:p>
        </w:tc>
        <w:tc>
          <w:tcPr>
            <w:tcW w:w="4917" w:type="dxa"/>
            <w:vAlign w:val="top"/>
            <w:tcBorders>
              <w:bottom w:val="single" w:color="000000" w:sz="10" w:space="0"/>
            </w:tcBorders>
          </w:tcPr>
          <w:p>
            <w:pPr>
              <w:spacing w:line="368" w:lineRule="auto"/>
              <w:rPr>
                <w:rFonts w:ascii="Arial"/>
                <w:sz w:val="21"/>
              </w:rPr>
            </w:pPr>
            <w:r/>
          </w:p>
          <w:p>
            <w:pPr>
              <w:pStyle w:val="TableText"/>
              <w:ind w:right="11"/>
              <w:spacing w:before="68" w:line="221" w:lineRule="auto"/>
              <w:jc w:val="right"/>
              <w:rPr/>
            </w:pPr>
            <w:r>
              <w:rPr>
                <w:spacing w:val="-2"/>
              </w:rPr>
              <w:t>推进畜禽粪污资源化利用。推广适合不同区域特点、</w:t>
            </w:r>
          </w:p>
          <w:p>
            <w:pPr>
              <w:pStyle w:val="TableText"/>
              <w:ind w:left="154"/>
              <w:spacing w:before="22" w:line="221" w:lineRule="auto"/>
              <w:rPr/>
            </w:pPr>
            <w:r>
              <w:rPr>
                <w:spacing w:val="-1"/>
              </w:rPr>
              <w:t>经济高效、可持续运行的畜禽养殖废弃物综合利用</w:t>
            </w:r>
          </w:p>
          <w:p>
            <w:pPr>
              <w:pStyle w:val="TableText"/>
              <w:ind w:left="151"/>
              <w:spacing w:before="19" w:line="221" w:lineRule="auto"/>
              <w:rPr/>
            </w:pPr>
            <w:r>
              <w:rPr/>
              <w:t>模式。积极探索整县推进模式，开展畜牧业</w:t>
            </w:r>
            <w:r>
              <w:rPr>
                <w:spacing w:val="-1"/>
              </w:rPr>
              <w:t>绿色发</w:t>
            </w:r>
          </w:p>
          <w:p>
            <w:pPr>
              <w:pStyle w:val="TableText"/>
              <w:ind w:left="154"/>
              <w:spacing w:before="22" w:line="221" w:lineRule="auto"/>
              <w:rPr/>
            </w:pPr>
            <w:r>
              <w:rPr>
                <w:spacing w:val="-1"/>
              </w:rPr>
              <w:t>展示范旗县创建活动。引导规模养殖场建设粪污处</w:t>
            </w:r>
          </w:p>
          <w:p>
            <w:pPr>
              <w:pStyle w:val="TableText"/>
              <w:spacing w:before="19" w:line="221" w:lineRule="auto"/>
              <w:jc w:val="right"/>
              <w:rPr/>
            </w:pPr>
            <w:r>
              <w:rPr>
                <w:spacing w:val="-4"/>
              </w:rPr>
              <w:t>理利用配套设施，对现有设施和装备进行改造升级，</w:t>
            </w:r>
          </w:p>
          <w:p>
            <w:pPr>
              <w:pStyle w:val="TableText"/>
              <w:ind w:left="155"/>
              <w:spacing w:before="20" w:line="221" w:lineRule="auto"/>
              <w:rPr/>
            </w:pPr>
            <w:r>
              <w:rPr>
                <w:spacing w:val="-1"/>
              </w:rPr>
              <w:t>大力推广清洁养殖工艺。制定厕所粪污、畜禽粪污</w:t>
            </w:r>
          </w:p>
          <w:p>
            <w:pPr>
              <w:pStyle w:val="TableText"/>
              <w:ind w:left="151"/>
              <w:spacing w:before="22" w:line="220" w:lineRule="auto"/>
              <w:rPr/>
            </w:pPr>
            <w:r>
              <w:rPr/>
              <w:t>还田利用标准，做好技术指导和服务，推动</w:t>
            </w:r>
            <w:r>
              <w:rPr>
                <w:spacing w:val="-1"/>
              </w:rPr>
              <w:t>粪肥科</w:t>
            </w:r>
          </w:p>
          <w:p>
            <w:pPr>
              <w:pStyle w:val="TableText"/>
              <w:ind w:left="118"/>
              <w:spacing w:before="21" w:line="220" w:lineRule="auto"/>
              <w:rPr/>
            </w:pPr>
            <w:r>
              <w:rPr>
                <w:spacing w:val="-8"/>
              </w:rPr>
              <w:t>学还田，构建种养结合、农牧循环发展机制。到</w:t>
            </w:r>
            <w:r>
              <w:rPr>
                <w:spacing w:val="-42"/>
              </w:rPr>
              <w:t xml:space="preserve"> </w:t>
            </w:r>
            <w:r>
              <w:rPr>
                <w:spacing w:val="-9"/>
              </w:rPr>
              <w:t>2025</w:t>
            </w:r>
          </w:p>
          <w:p>
            <w:pPr>
              <w:pStyle w:val="TableText"/>
              <w:spacing w:before="23" w:line="221" w:lineRule="auto"/>
              <w:jc w:val="right"/>
              <w:rPr/>
            </w:pPr>
            <w:r>
              <w:rPr>
                <w:spacing w:val="-6"/>
              </w:rPr>
              <w:t>年，规模养殖场粪污处理设施装备配套率达到</w:t>
            </w:r>
            <w:r>
              <w:rPr>
                <w:spacing w:val="-28"/>
              </w:rPr>
              <w:t xml:space="preserve"> </w:t>
            </w:r>
            <w:r>
              <w:rPr>
                <w:spacing w:val="-6"/>
              </w:rPr>
              <w:t>1</w:t>
            </w:r>
            <w:r>
              <w:rPr>
                <w:spacing w:val="-7"/>
              </w:rPr>
              <w:t>00%，</w:t>
            </w:r>
          </w:p>
          <w:p>
            <w:pPr>
              <w:pStyle w:val="TableText"/>
              <w:ind w:left="718"/>
              <w:spacing w:before="20" w:line="221" w:lineRule="auto"/>
              <w:rPr/>
            </w:pPr>
            <w:r>
              <w:rPr>
                <w:spacing w:val="-2"/>
              </w:rPr>
              <w:t>畜禽粪污资源化利用率达到</w:t>
            </w:r>
            <w:r>
              <w:rPr>
                <w:spacing w:val="-35"/>
              </w:rPr>
              <w:t xml:space="preserve"> </w:t>
            </w:r>
            <w:r>
              <w:rPr>
                <w:spacing w:val="-2"/>
              </w:rPr>
              <w:t>80%以上。</w:t>
            </w:r>
          </w:p>
        </w:tc>
        <w:tc>
          <w:tcPr>
            <w:tcW w:w="1754" w:type="dxa"/>
            <w:vAlign w:val="top"/>
            <w:tcBorders>
              <w:bottom w:val="single" w:color="000000" w:sz="10" w:space="0"/>
            </w:tcBorders>
          </w:tcPr>
          <w:p>
            <w:pPr>
              <w:pStyle w:val="TableText"/>
              <w:ind w:left="148"/>
              <w:spacing w:before="31" w:line="220" w:lineRule="auto"/>
              <w:rPr/>
            </w:pPr>
            <w:r>
              <w:rPr>
                <w:spacing w:val="-1"/>
              </w:rPr>
              <w:t>本项目牛舍铺设</w:t>
            </w:r>
          </w:p>
          <w:p>
            <w:pPr>
              <w:pStyle w:val="TableText"/>
              <w:ind w:left="149"/>
              <w:spacing w:before="21" w:line="221" w:lineRule="auto"/>
              <w:rPr/>
            </w:pPr>
            <w:r>
              <w:rPr>
                <w:spacing w:val="-1"/>
              </w:rPr>
              <w:t>垫料，牛尿及牛</w:t>
            </w:r>
          </w:p>
          <w:p>
            <w:pPr>
              <w:pStyle w:val="TableText"/>
              <w:ind w:left="149"/>
              <w:spacing w:before="21" w:line="221" w:lineRule="auto"/>
              <w:rPr/>
            </w:pPr>
            <w:r>
              <w:rPr>
                <w:spacing w:val="-2"/>
              </w:rPr>
              <w:t>粪进入垫料，废</w:t>
            </w:r>
          </w:p>
          <w:p>
            <w:pPr>
              <w:pStyle w:val="TableText"/>
              <w:ind w:left="149"/>
              <w:spacing w:before="19" w:line="221" w:lineRule="auto"/>
              <w:rPr/>
            </w:pPr>
            <w:r>
              <w:rPr>
                <w:spacing w:val="-1"/>
              </w:rPr>
              <w:t>垫料暂存于储粪</w:t>
            </w:r>
          </w:p>
          <w:p>
            <w:pPr>
              <w:pStyle w:val="TableText"/>
              <w:ind w:left="148"/>
              <w:spacing w:before="22" w:line="221" w:lineRule="auto"/>
              <w:rPr/>
            </w:pPr>
            <w:r>
              <w:rPr>
                <w:spacing w:val="-1"/>
              </w:rPr>
              <w:t>库，最终外售相</w:t>
            </w:r>
          </w:p>
          <w:p>
            <w:pPr>
              <w:pStyle w:val="TableText"/>
              <w:ind w:left="151"/>
              <w:spacing w:before="20" w:line="220" w:lineRule="auto"/>
              <w:rPr/>
            </w:pPr>
            <w:r>
              <w:rPr>
                <w:spacing w:val="-2"/>
              </w:rPr>
              <w:t>关单位生产有机</w:t>
            </w:r>
          </w:p>
          <w:p>
            <w:pPr>
              <w:pStyle w:val="TableText"/>
              <w:ind w:left="147"/>
              <w:spacing w:before="23" w:line="220" w:lineRule="auto"/>
              <w:rPr/>
            </w:pPr>
            <w:r>
              <w:rPr>
                <w:spacing w:val="-1"/>
              </w:rPr>
              <w:t>肥，属于粪肥还</w:t>
            </w:r>
          </w:p>
          <w:p>
            <w:pPr>
              <w:pStyle w:val="TableText"/>
              <w:ind w:left="173"/>
              <w:spacing w:before="21" w:line="221" w:lineRule="auto"/>
              <w:rPr/>
            </w:pPr>
            <w:r>
              <w:rPr>
                <w:spacing w:val="-5"/>
              </w:rPr>
              <w:t>田的方式进行资</w:t>
            </w:r>
          </w:p>
          <w:p>
            <w:pPr>
              <w:pStyle w:val="TableText"/>
              <w:ind w:left="146"/>
              <w:spacing w:before="22" w:line="222" w:lineRule="auto"/>
              <w:rPr/>
            </w:pPr>
            <w:r>
              <w:rPr>
                <w:spacing w:val="-1"/>
              </w:rPr>
              <w:t>源化利用，对畜</w:t>
            </w:r>
          </w:p>
          <w:p>
            <w:pPr>
              <w:pStyle w:val="TableText"/>
              <w:ind w:left="149"/>
              <w:spacing w:before="19" w:line="220" w:lineRule="auto"/>
              <w:rPr/>
            </w:pPr>
            <w:r>
              <w:rPr>
                <w:spacing w:val="-1"/>
              </w:rPr>
              <w:t>禽粪污进行科学</w:t>
            </w:r>
          </w:p>
          <w:p>
            <w:pPr>
              <w:pStyle w:val="TableText"/>
              <w:ind w:left="151"/>
              <w:spacing w:before="23" w:line="222" w:lineRule="auto"/>
              <w:rPr/>
            </w:pPr>
            <w:r>
              <w:rPr>
                <w:spacing w:val="-2"/>
              </w:rPr>
              <w:t>处理和资源化利</w:t>
            </w:r>
          </w:p>
          <w:p>
            <w:pPr>
              <w:pStyle w:val="TableText"/>
              <w:ind w:left="149"/>
              <w:spacing w:before="20" w:line="221" w:lineRule="auto"/>
              <w:rPr/>
            </w:pPr>
            <w:r>
              <w:rPr>
                <w:spacing w:val="-1"/>
              </w:rPr>
              <w:t>用，防止污染环</w:t>
            </w:r>
          </w:p>
          <w:p>
            <w:pPr>
              <w:pStyle w:val="TableText"/>
              <w:ind w:left="674"/>
              <w:spacing w:before="21" w:line="209" w:lineRule="auto"/>
              <w:rPr/>
            </w:pPr>
            <w:r>
              <w:rPr>
                <w:spacing w:val="-10"/>
              </w:rPr>
              <w:t>境。</w:t>
            </w:r>
          </w:p>
        </w:tc>
        <w:tc>
          <w:tcPr>
            <w:tcW w:w="639" w:type="dxa"/>
            <w:vAlign w:val="top"/>
            <w:tcBorders>
              <w:bottom w:val="single" w:color="000000" w:sz="10" w:space="0"/>
              <w:right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16"/>
              <w:spacing w:before="68" w:line="221" w:lineRule="auto"/>
              <w:rPr/>
            </w:pPr>
            <w:r>
              <w:rPr>
                <w:spacing w:val="-2"/>
              </w:rPr>
              <w:t>符合</w:t>
            </w:r>
          </w:p>
        </w:tc>
      </w:tr>
    </w:tbl>
    <w:p>
      <w:pPr>
        <w:ind w:left="138"/>
        <w:spacing w:before="295"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1.4.9 </w:t>
      </w:r>
      <w:r>
        <w:rPr>
          <w:rFonts w:ascii="SimSun" w:hAnsi="SimSun" w:eastAsia="SimSun" w:cs="SimSun"/>
          <w:sz w:val="24"/>
          <w:szCs w:val="24"/>
          <w:b/>
          <w:bCs/>
          <w:spacing w:val="-2"/>
        </w:rPr>
        <w:t>关注的主要环境问题</w:t>
      </w:r>
    </w:p>
    <w:p>
      <w:pPr>
        <w:pStyle w:val="BodyText"/>
        <w:spacing w:line="341" w:lineRule="auto"/>
        <w:rPr/>
      </w:pPr>
      <w:r/>
    </w:p>
    <w:p>
      <w:pPr>
        <w:ind w:left="130" w:right="108" w:firstLine="481"/>
        <w:spacing w:before="78" w:line="360" w:lineRule="auto"/>
        <w:rPr>
          <w:rFonts w:ascii="SimSun" w:hAnsi="SimSun" w:eastAsia="SimSun" w:cs="SimSun"/>
          <w:sz w:val="24"/>
          <w:szCs w:val="24"/>
        </w:rPr>
      </w:pPr>
      <w:r>
        <w:rPr>
          <w:rFonts w:ascii="SimSun" w:hAnsi="SimSun" w:eastAsia="SimSun" w:cs="SimSun"/>
          <w:sz w:val="24"/>
          <w:szCs w:val="24"/>
          <w:spacing w:val="3"/>
        </w:rPr>
        <w:t>本项目为肉牛养殖项目，施工期影响主要表现</w:t>
      </w:r>
      <w:r>
        <w:rPr>
          <w:rFonts w:ascii="SimSun" w:hAnsi="SimSun" w:eastAsia="SimSun" w:cs="SimSun"/>
          <w:sz w:val="24"/>
          <w:szCs w:val="24"/>
          <w:spacing w:val="2"/>
        </w:rPr>
        <w:t>为施工废水、施工废气、噪声</w:t>
      </w:r>
      <w:r>
        <w:rPr>
          <w:rFonts w:ascii="SimSun" w:hAnsi="SimSun" w:eastAsia="SimSun" w:cs="SimSun"/>
          <w:sz w:val="24"/>
          <w:szCs w:val="24"/>
          <w:spacing w:val="2"/>
        </w:rPr>
        <w:t>及施工期固体废物对周围环境的影响，运营期包</w:t>
      </w:r>
      <w:r>
        <w:rPr>
          <w:rFonts w:ascii="SimSun" w:hAnsi="SimSun" w:eastAsia="SimSun" w:cs="SimSun"/>
          <w:sz w:val="24"/>
          <w:szCs w:val="24"/>
          <w:spacing w:val="1"/>
        </w:rPr>
        <w:t>括大气环境影响、水环境影响、</w:t>
      </w:r>
      <w:r>
        <w:rPr>
          <w:rFonts w:ascii="SimSun" w:hAnsi="SimSun" w:eastAsia="SimSun" w:cs="SimSun"/>
          <w:sz w:val="24"/>
          <w:szCs w:val="24"/>
          <w:spacing w:val="3"/>
        </w:rPr>
        <w:t>声环境影响以及固体废物对周围环境的影响，根据项目污</w:t>
      </w:r>
      <w:r>
        <w:rPr>
          <w:rFonts w:ascii="SimSun" w:hAnsi="SimSun" w:eastAsia="SimSun" w:cs="SimSun"/>
          <w:sz w:val="24"/>
          <w:szCs w:val="24"/>
          <w:spacing w:val="2"/>
        </w:rPr>
        <w:t>染特征，本评价重点关</w:t>
      </w:r>
      <w:r>
        <w:rPr>
          <w:rFonts w:ascii="SimSun" w:hAnsi="SimSun" w:eastAsia="SimSun" w:cs="SimSun"/>
          <w:sz w:val="24"/>
          <w:szCs w:val="24"/>
          <w:spacing w:val="3"/>
        </w:rPr>
        <w:t>注运营期对大气环境、水环境影响、声环境、固体</w:t>
      </w:r>
      <w:r>
        <w:rPr>
          <w:rFonts w:ascii="SimSun" w:hAnsi="SimSun" w:eastAsia="SimSun" w:cs="SimSun"/>
          <w:sz w:val="24"/>
          <w:szCs w:val="24"/>
          <w:spacing w:val="2"/>
        </w:rPr>
        <w:t>废物影响范围及程度，并提出</w:t>
      </w:r>
      <w:r>
        <w:rPr>
          <w:rFonts w:ascii="SimSun" w:hAnsi="SimSun" w:eastAsia="SimSun" w:cs="SimSun"/>
          <w:sz w:val="24"/>
          <w:szCs w:val="24"/>
          <w:spacing w:val="-4"/>
        </w:rPr>
        <w:t>可行的污染治理措施。</w:t>
      </w:r>
    </w:p>
    <w:p>
      <w:pPr>
        <w:ind w:left="138"/>
        <w:spacing w:before="253" w:line="232" w:lineRule="auto"/>
        <w:outlineLvl w:val="1"/>
        <w:rPr>
          <w:rFonts w:ascii="SimSun" w:hAnsi="SimSun" w:eastAsia="SimSun" w:cs="SimSun"/>
          <w:sz w:val="24"/>
          <w:szCs w:val="24"/>
        </w:rPr>
      </w:pPr>
      <w:bookmarkStart w:name="bookmark7" w:id="9"/>
      <w:bookmarkEnd w:id="9"/>
      <w:r>
        <w:rPr>
          <w:rFonts w:ascii="Times New Roman" w:hAnsi="Times New Roman" w:eastAsia="Times New Roman" w:cs="Times New Roman"/>
          <w:sz w:val="24"/>
          <w:szCs w:val="24"/>
          <w:b/>
          <w:bCs/>
          <w:spacing w:val="-3"/>
        </w:rPr>
        <w:t>1.5 </w:t>
      </w:r>
      <w:r>
        <w:rPr>
          <w:rFonts w:ascii="SimSun" w:hAnsi="SimSun" w:eastAsia="SimSun" w:cs="SimSun"/>
          <w:sz w:val="24"/>
          <w:szCs w:val="24"/>
          <w:b/>
          <w:bCs/>
          <w:spacing w:val="-3"/>
        </w:rPr>
        <w:t>环境影响评价的主要结论</w:t>
      </w:r>
    </w:p>
    <w:p>
      <w:pPr>
        <w:pStyle w:val="BodyText"/>
        <w:spacing w:line="344" w:lineRule="auto"/>
        <w:rPr/>
      </w:pPr>
      <w:r/>
    </w:p>
    <w:p>
      <w:pPr>
        <w:ind w:left="132" w:right="111" w:firstLine="479"/>
        <w:spacing w:before="78" w:line="360" w:lineRule="auto"/>
        <w:jc w:val="both"/>
        <w:rPr>
          <w:rFonts w:ascii="SimSun" w:hAnsi="SimSun" w:eastAsia="SimSun" w:cs="SimSun"/>
          <w:sz w:val="24"/>
          <w:szCs w:val="24"/>
        </w:rPr>
      </w:pPr>
      <w:r>
        <w:pict>
          <v:shape id="_x0000_s56" style="position:absolute;margin-left:6.36601pt;margin-top:267.749pt;mso-position-vertical-relative:text;mso-position-horizontal-relative:text;width:425.7pt;height:0.6pt;z-index:251675648;" filled="false" strokecolor="#808080" strokeweight="0.50pt" coordsize="8514,12" coordorigin="0,0" path="m5,5l8508,6e">
            <v:stroke endcap="round" miterlimit="10"/>
          </v:shape>
        </w:pict>
      </w:r>
      <w:r>
        <w:rPr>
          <w:rFonts w:ascii="SimSun" w:hAnsi="SimSun" w:eastAsia="SimSun" w:cs="SimSun"/>
          <w:sz w:val="24"/>
          <w:szCs w:val="24"/>
          <w:spacing w:val="10"/>
        </w:rPr>
        <w:t>本项目为锡林郭勒盟牧林农机服务有限责任公司肉牛育肥养殖基地建设项</w:t>
      </w:r>
      <w:r>
        <w:rPr>
          <w:rFonts w:ascii="SimSun" w:hAnsi="SimSun" w:eastAsia="SimSun" w:cs="SimSun"/>
          <w:sz w:val="24"/>
          <w:szCs w:val="24"/>
          <w:spacing w:val="2"/>
        </w:rPr>
        <w:t>目，符合国家产业政策，项目选址合理，公众参与认同性较好，项目投产后可带</w:t>
      </w:r>
      <w:r>
        <w:rPr>
          <w:rFonts w:ascii="SimSun" w:hAnsi="SimSun" w:eastAsia="SimSun" w:cs="SimSun"/>
          <w:sz w:val="24"/>
          <w:szCs w:val="24"/>
          <w:spacing w:val="2"/>
        </w:rPr>
        <w:t>动地方经济发展，具有一定的社会效益。只要建设单位认真落实报告书中所提出</w:t>
      </w:r>
      <w:r>
        <w:rPr>
          <w:rFonts w:ascii="SimSun" w:hAnsi="SimSun" w:eastAsia="SimSun" w:cs="SimSun"/>
          <w:sz w:val="24"/>
          <w:szCs w:val="24"/>
          <w:spacing w:val="2"/>
        </w:rPr>
        <w:t>的各项污染防治措施，防范企业自身产生的环境问题，在实现污染物达标排放的</w:t>
      </w:r>
      <w:r>
        <w:rPr>
          <w:rFonts w:ascii="SimSun" w:hAnsi="SimSun" w:eastAsia="SimSun" w:cs="SimSun"/>
          <w:sz w:val="24"/>
          <w:szCs w:val="24"/>
          <w:spacing w:val="-1"/>
        </w:rPr>
        <w:t>前提下，从环保角度讲，此项目是可行的。</w:t>
      </w:r>
    </w:p>
    <w:p>
      <w:pPr>
        <w:spacing w:line="360" w:lineRule="auto"/>
        <w:sectPr>
          <w:footerReference w:type="default" r:id="rId31"/>
          <w:pgSz w:w="11907" w:h="16839"/>
          <w:pgMar w:top="1422" w:right="1591" w:bottom="1618" w:left="1579" w:header="1033" w:footer="1417" w:gutter="0"/>
        </w:sectPr>
        <w:rPr>
          <w:rFonts w:ascii="SimSun" w:hAnsi="SimSun" w:eastAsia="SimSun" w:cs="SimSun"/>
          <w:sz w:val="24"/>
          <w:szCs w:val="24"/>
        </w:rPr>
      </w:pPr>
    </w:p>
    <w:p>
      <w:pPr>
        <w:pStyle w:val="BodyText"/>
        <w:spacing w:line="279" w:lineRule="auto"/>
        <w:rPr/>
      </w:pPr>
      <w:r/>
    </w:p>
    <w:p>
      <w:pPr>
        <w:pStyle w:val="BodyText"/>
        <w:spacing w:line="280" w:lineRule="auto"/>
        <w:rPr/>
      </w:pPr>
      <w:r/>
    </w:p>
    <w:p>
      <w:pPr>
        <w:ind w:left="36"/>
        <w:spacing w:before="97" w:line="234" w:lineRule="auto"/>
        <w:outlineLvl w:val="0"/>
        <w:rPr>
          <w:rFonts w:ascii="SimSun" w:hAnsi="SimSun" w:eastAsia="SimSun" w:cs="SimSun"/>
          <w:sz w:val="30"/>
          <w:szCs w:val="30"/>
        </w:rPr>
      </w:pPr>
      <w:bookmarkStart w:name="bookmark8" w:id="10"/>
      <w:bookmarkEnd w:id="10"/>
      <w:bookmarkStart w:name="bookmark9" w:id="11"/>
      <w:bookmarkEnd w:id="11"/>
      <w:r>
        <w:rPr>
          <w:rFonts w:ascii="Times New Roman" w:hAnsi="Times New Roman" w:eastAsia="Times New Roman" w:cs="Times New Roman"/>
          <w:sz w:val="30"/>
          <w:szCs w:val="30"/>
          <w:b/>
          <w:bCs/>
          <w:spacing w:val="-3"/>
        </w:rPr>
        <w:t>2.</w:t>
      </w:r>
      <w:r>
        <w:rPr>
          <w:rFonts w:ascii="SimSun" w:hAnsi="SimSun" w:eastAsia="SimSun" w:cs="SimSun"/>
          <w:sz w:val="30"/>
          <w:szCs w:val="30"/>
          <w:b/>
          <w:bCs/>
          <w:spacing w:val="-3"/>
        </w:rPr>
        <w:t>总则</w:t>
      </w:r>
    </w:p>
    <w:p>
      <w:pPr>
        <w:pStyle w:val="BodyText"/>
        <w:spacing w:line="444" w:lineRule="auto"/>
        <w:rPr/>
      </w:pPr>
      <w:r/>
    </w:p>
    <w:p>
      <w:pPr>
        <w:ind w:left="34"/>
        <w:spacing w:before="78" w:line="233" w:lineRule="auto"/>
        <w:outlineLvl w:val="1"/>
        <w:rPr>
          <w:rFonts w:ascii="SimSun" w:hAnsi="SimSun" w:eastAsia="SimSun" w:cs="SimSun"/>
          <w:sz w:val="24"/>
          <w:szCs w:val="24"/>
        </w:rPr>
      </w:pPr>
      <w:bookmarkStart w:name="bookmark64" w:id="12"/>
      <w:bookmarkEnd w:id="12"/>
      <w:r>
        <w:rPr>
          <w:rFonts w:ascii="Times New Roman" w:hAnsi="Times New Roman" w:eastAsia="Times New Roman" w:cs="Times New Roman"/>
          <w:sz w:val="24"/>
          <w:szCs w:val="24"/>
          <w:b/>
          <w:bCs/>
          <w:spacing w:val="-2"/>
        </w:rPr>
        <w:t>2.1 </w:t>
      </w:r>
      <w:r>
        <w:rPr>
          <w:rFonts w:ascii="SimSun" w:hAnsi="SimSun" w:eastAsia="SimSun" w:cs="SimSun"/>
          <w:sz w:val="24"/>
          <w:szCs w:val="24"/>
          <w:b/>
          <w:bCs/>
          <w:spacing w:val="-2"/>
        </w:rPr>
        <w:t>编制依据</w:t>
      </w:r>
    </w:p>
    <w:p>
      <w:pPr>
        <w:pStyle w:val="BodyText"/>
        <w:spacing w:line="345" w:lineRule="auto"/>
        <w:rPr/>
      </w:pPr>
      <w:r/>
    </w:p>
    <w:p>
      <w:pPr>
        <w:ind w:left="3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2.1.1 </w:t>
      </w:r>
      <w:r>
        <w:rPr>
          <w:rFonts w:ascii="SimSun" w:hAnsi="SimSun" w:eastAsia="SimSun" w:cs="SimSun"/>
          <w:sz w:val="24"/>
          <w:szCs w:val="24"/>
          <w:b/>
          <w:bCs/>
          <w:spacing w:val="-2"/>
        </w:rPr>
        <w:t>法律、法规</w:t>
      </w:r>
    </w:p>
    <w:p>
      <w:pPr>
        <w:pStyle w:val="BodyText"/>
        <w:spacing w:line="344" w:lineRule="auto"/>
        <w:rPr/>
      </w:pPr>
      <w:r/>
    </w:p>
    <w:p>
      <w:pPr>
        <w:ind w:left="524"/>
        <w:spacing w:before="78"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）《中华人民共和国环境保护法》，</w:t>
      </w:r>
      <w:r>
        <w:rPr>
          <w:rFonts w:ascii="Times New Roman" w:hAnsi="Times New Roman" w:eastAsia="Times New Roman" w:cs="Times New Roman"/>
          <w:sz w:val="24"/>
          <w:szCs w:val="24"/>
          <w:spacing w:val="-5"/>
        </w:rPr>
        <w:t>2015 </w:t>
      </w:r>
      <w:r>
        <w:rPr>
          <w:rFonts w:ascii="SimSun" w:hAnsi="SimSun" w:eastAsia="SimSun" w:cs="SimSun"/>
          <w:sz w:val="24"/>
          <w:szCs w:val="24"/>
          <w:spacing w:val="-5"/>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w:t>
      </w:r>
    </w:p>
    <w:p>
      <w:pPr>
        <w:ind w:left="524"/>
        <w:spacing w:before="162"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）《中华人民共和国环境影响评价法》，</w:t>
      </w:r>
      <w:r>
        <w:rPr>
          <w:rFonts w:ascii="Times New Roman" w:hAnsi="Times New Roman" w:eastAsia="Times New Roman" w:cs="Times New Roman"/>
          <w:sz w:val="24"/>
          <w:szCs w:val="24"/>
          <w:spacing w:val="-4"/>
        </w:rPr>
        <w:t>2018 </w:t>
      </w:r>
      <w:r>
        <w:rPr>
          <w:rFonts w:ascii="SimSun" w:hAnsi="SimSun" w:eastAsia="SimSun" w:cs="SimSun"/>
          <w:sz w:val="24"/>
          <w:szCs w:val="24"/>
          <w:spacing w:val="-4"/>
        </w:rPr>
        <w:t>年</w:t>
      </w:r>
      <w:r>
        <w:rPr>
          <w:rFonts w:ascii="SimSun" w:hAnsi="SimSun" w:eastAsia="SimSun" w:cs="SimSun"/>
          <w:sz w:val="24"/>
          <w:szCs w:val="24"/>
          <w:spacing w:val="-19"/>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29  </w:t>
      </w:r>
      <w:r>
        <w:rPr>
          <w:rFonts w:ascii="SimSun" w:hAnsi="SimSun" w:eastAsia="SimSun" w:cs="SimSun"/>
          <w:sz w:val="24"/>
          <w:szCs w:val="24"/>
          <w:spacing w:val="-4"/>
        </w:rPr>
        <w:t>日；</w:t>
      </w:r>
    </w:p>
    <w:p>
      <w:pPr>
        <w:ind w:left="524"/>
        <w:spacing w:before="167"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）《中华人民共和国土地管理法》，</w:t>
      </w:r>
      <w:r>
        <w:rPr>
          <w:rFonts w:ascii="Times New Roman" w:hAnsi="Times New Roman" w:eastAsia="Times New Roman" w:cs="Times New Roman"/>
          <w:sz w:val="24"/>
          <w:szCs w:val="24"/>
          <w:spacing w:val="-5"/>
        </w:rPr>
        <w:t>2020 </w:t>
      </w:r>
      <w:r>
        <w:rPr>
          <w:rFonts w:ascii="SimSun" w:hAnsi="SimSun" w:eastAsia="SimSun" w:cs="SimSun"/>
          <w:sz w:val="24"/>
          <w:szCs w:val="24"/>
          <w:spacing w:val="-5"/>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w:t>
      </w:r>
    </w:p>
    <w:p>
      <w:pPr>
        <w:ind w:left="524"/>
        <w:spacing w:before="162"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）《中华人民共和国环境噪声污染防治法》，</w:t>
      </w:r>
      <w:r>
        <w:rPr>
          <w:rFonts w:ascii="Times New Roman" w:hAnsi="Times New Roman" w:eastAsia="Times New Roman" w:cs="Times New Roman"/>
          <w:sz w:val="24"/>
          <w:szCs w:val="24"/>
          <w:spacing w:val="-3"/>
        </w:rPr>
        <w:t>202</w:t>
      </w:r>
      <w:r>
        <w:rPr>
          <w:rFonts w:ascii="Times New Roman" w:hAnsi="Times New Roman" w:eastAsia="Times New Roman" w:cs="Times New Roman"/>
          <w:sz w:val="24"/>
          <w:szCs w:val="24"/>
          <w:spacing w:val="-4"/>
        </w:rPr>
        <w:t>2 </w:t>
      </w:r>
      <w:r>
        <w:rPr>
          <w:rFonts w:ascii="SimSun" w:hAnsi="SimSun" w:eastAsia="SimSun" w:cs="SimSun"/>
          <w:sz w:val="24"/>
          <w:szCs w:val="24"/>
          <w:spacing w:val="-4"/>
        </w:rPr>
        <w:t>年</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6</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5  </w:t>
      </w:r>
      <w:r>
        <w:rPr>
          <w:rFonts w:ascii="SimSun" w:hAnsi="SimSun" w:eastAsia="SimSun" w:cs="SimSun"/>
          <w:sz w:val="24"/>
          <w:szCs w:val="24"/>
          <w:spacing w:val="-4"/>
        </w:rPr>
        <w:t>日；</w:t>
      </w:r>
    </w:p>
    <w:p>
      <w:pPr>
        <w:ind w:left="524"/>
        <w:spacing w:before="166"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）《中华人民共和国大气污染防治法》，</w:t>
      </w:r>
      <w:r>
        <w:rPr>
          <w:rFonts w:ascii="Times New Roman" w:hAnsi="Times New Roman" w:eastAsia="Times New Roman" w:cs="Times New Roman"/>
          <w:sz w:val="24"/>
          <w:szCs w:val="24"/>
          <w:spacing w:val="-2"/>
        </w:rPr>
        <w:t>2018 </w:t>
      </w:r>
      <w:r>
        <w:rPr>
          <w:rFonts w:ascii="SimSun" w:hAnsi="SimSun" w:eastAsia="SimSun" w:cs="SimSun"/>
          <w:sz w:val="24"/>
          <w:szCs w:val="24"/>
          <w:spacing w:val="-2"/>
        </w:rPr>
        <w:t>年</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月</w:t>
      </w:r>
      <w:r>
        <w:rPr>
          <w:rFonts w:ascii="Times New Roman" w:hAnsi="Times New Roman" w:eastAsia="Times New Roman" w:cs="Times New Roman"/>
          <w:sz w:val="24"/>
          <w:szCs w:val="24"/>
          <w:spacing w:val="-2"/>
        </w:rPr>
        <w:t>26  </w:t>
      </w:r>
      <w:r>
        <w:rPr>
          <w:rFonts w:ascii="SimSun" w:hAnsi="SimSun" w:eastAsia="SimSun" w:cs="SimSun"/>
          <w:sz w:val="24"/>
          <w:szCs w:val="24"/>
          <w:spacing w:val="-2"/>
        </w:rPr>
        <w:t>日；</w:t>
      </w:r>
    </w:p>
    <w:p>
      <w:pPr>
        <w:ind w:left="524"/>
        <w:spacing w:before="162"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）《中华人民共和国固体废物污染环境防治法》，</w:t>
      </w:r>
      <w:r>
        <w:rPr>
          <w:rFonts w:ascii="Times New Roman" w:hAnsi="Times New Roman" w:eastAsia="Times New Roman" w:cs="Times New Roman"/>
          <w:sz w:val="24"/>
          <w:szCs w:val="24"/>
          <w:spacing w:val="-4"/>
        </w:rPr>
        <w:t>2020 </w:t>
      </w:r>
      <w:r>
        <w:rPr>
          <w:rFonts w:ascii="SimSun" w:hAnsi="SimSun" w:eastAsia="SimSun" w:cs="SimSun"/>
          <w:sz w:val="24"/>
          <w:szCs w:val="24"/>
          <w:spacing w:val="-4"/>
        </w:rPr>
        <w:t>年</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日；</w:t>
      </w:r>
    </w:p>
    <w:p>
      <w:pPr>
        <w:ind w:left="524"/>
        <w:spacing w:before="165"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7</w:t>
      </w:r>
      <w:r>
        <w:rPr>
          <w:rFonts w:ascii="SimSun" w:hAnsi="SimSun" w:eastAsia="SimSun" w:cs="SimSun"/>
          <w:sz w:val="24"/>
          <w:szCs w:val="24"/>
          <w:spacing w:val="-5"/>
        </w:rPr>
        <w:t>）《中华人民共和国水污染防治法》，</w:t>
      </w:r>
      <w:r>
        <w:rPr>
          <w:rFonts w:ascii="Times New Roman" w:hAnsi="Times New Roman" w:eastAsia="Times New Roman" w:cs="Times New Roman"/>
          <w:sz w:val="24"/>
          <w:szCs w:val="24"/>
          <w:spacing w:val="-5"/>
        </w:rPr>
        <w:t>2018 </w:t>
      </w:r>
      <w:r>
        <w:rPr>
          <w:rFonts w:ascii="SimSun" w:hAnsi="SimSun" w:eastAsia="SimSun" w:cs="SimSun"/>
          <w:sz w:val="24"/>
          <w:szCs w:val="24"/>
          <w:spacing w:val="-5"/>
        </w:rPr>
        <w:t>年</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w:t>
      </w:r>
    </w:p>
    <w:p>
      <w:pPr>
        <w:ind w:left="524"/>
        <w:spacing w:before="165"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8</w:t>
      </w:r>
      <w:r>
        <w:rPr>
          <w:rFonts w:ascii="SimSun" w:hAnsi="SimSun" w:eastAsia="SimSun" w:cs="SimSun"/>
          <w:sz w:val="24"/>
          <w:szCs w:val="24"/>
          <w:spacing w:val="-5"/>
        </w:rPr>
        <w:t>）《中华人民共和国水土保持法》，</w:t>
      </w:r>
      <w:r>
        <w:rPr>
          <w:rFonts w:ascii="Times New Roman" w:hAnsi="Times New Roman" w:eastAsia="Times New Roman" w:cs="Times New Roman"/>
          <w:sz w:val="24"/>
          <w:szCs w:val="24"/>
          <w:spacing w:val="-5"/>
        </w:rPr>
        <w:t>2011 </w:t>
      </w:r>
      <w:r>
        <w:rPr>
          <w:rFonts w:ascii="SimSun" w:hAnsi="SimSun" w:eastAsia="SimSun" w:cs="SimSun"/>
          <w:sz w:val="24"/>
          <w:szCs w:val="24"/>
          <w:spacing w:val="-5"/>
        </w:rPr>
        <w:t>年</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w:t>
      </w:r>
    </w:p>
    <w:p>
      <w:pPr>
        <w:ind w:left="524"/>
        <w:spacing w:before="162"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9</w:t>
      </w:r>
      <w:r>
        <w:rPr>
          <w:rFonts w:ascii="SimSun" w:hAnsi="SimSun" w:eastAsia="SimSun" w:cs="SimSun"/>
          <w:sz w:val="24"/>
          <w:szCs w:val="24"/>
          <w:spacing w:val="-4"/>
        </w:rPr>
        <w:t>）《中华人民共和国清洁生产促进法》，</w:t>
      </w:r>
      <w:r>
        <w:rPr>
          <w:rFonts w:ascii="Times New Roman" w:hAnsi="Times New Roman" w:eastAsia="Times New Roman" w:cs="Times New Roman"/>
          <w:sz w:val="24"/>
          <w:szCs w:val="24"/>
          <w:spacing w:val="-4"/>
        </w:rPr>
        <w:t>2012 </w:t>
      </w:r>
      <w:r>
        <w:rPr>
          <w:rFonts w:ascii="SimSun" w:hAnsi="SimSun" w:eastAsia="SimSun" w:cs="SimSun"/>
          <w:sz w:val="24"/>
          <w:szCs w:val="24"/>
          <w:spacing w:val="-4"/>
        </w:rPr>
        <w:t>年</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日；</w:t>
      </w:r>
    </w:p>
    <w:p>
      <w:pPr>
        <w:ind w:left="524"/>
        <w:spacing w:before="167"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10</w:t>
      </w:r>
      <w:r>
        <w:rPr>
          <w:rFonts w:ascii="SimSun" w:hAnsi="SimSun" w:eastAsia="SimSun" w:cs="SimSun"/>
          <w:sz w:val="24"/>
          <w:szCs w:val="24"/>
          <w:spacing w:val="-4"/>
        </w:rPr>
        <w:t>）《中华人民共和国土壤污染防治法》</w:t>
      </w:r>
      <w:r>
        <w:rPr>
          <w:rFonts w:ascii="SimSun" w:hAnsi="SimSun" w:eastAsia="SimSun" w:cs="SimSun"/>
          <w:sz w:val="24"/>
          <w:szCs w:val="24"/>
          <w:spacing w:val="-5"/>
        </w:rPr>
        <w:t>，</w:t>
      </w:r>
      <w:r>
        <w:rPr>
          <w:rFonts w:ascii="Times New Roman" w:hAnsi="Times New Roman" w:eastAsia="Times New Roman" w:cs="Times New Roman"/>
          <w:sz w:val="24"/>
          <w:szCs w:val="24"/>
          <w:spacing w:val="-5"/>
        </w:rPr>
        <w:t>2019 </w:t>
      </w:r>
      <w:r>
        <w:rPr>
          <w:rFonts w:ascii="SimSun" w:hAnsi="SimSun" w:eastAsia="SimSun" w:cs="SimSun"/>
          <w:sz w:val="24"/>
          <w:szCs w:val="24"/>
          <w:spacing w:val="-5"/>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w:t>
      </w:r>
    </w:p>
    <w:p>
      <w:pPr>
        <w:ind w:left="33" w:right="82" w:firstLine="490"/>
        <w:spacing w:before="161"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11</w:t>
      </w:r>
      <w:r>
        <w:rPr>
          <w:rFonts w:ascii="SimSun" w:hAnsi="SimSun" w:eastAsia="SimSun" w:cs="SimSun"/>
          <w:sz w:val="24"/>
          <w:szCs w:val="24"/>
          <w:spacing w:val="-2"/>
        </w:rPr>
        <w:t>）中华人民共和国国务院令第 </w:t>
      </w:r>
      <w:r>
        <w:rPr>
          <w:rFonts w:ascii="Times New Roman" w:hAnsi="Times New Roman" w:eastAsia="Times New Roman" w:cs="Times New Roman"/>
          <w:sz w:val="24"/>
          <w:szCs w:val="24"/>
          <w:spacing w:val="-2"/>
        </w:rPr>
        <w:t>682  </w:t>
      </w:r>
      <w:r>
        <w:rPr>
          <w:rFonts w:ascii="SimSun" w:hAnsi="SimSun" w:eastAsia="SimSun" w:cs="SimSun"/>
          <w:sz w:val="24"/>
          <w:szCs w:val="24"/>
          <w:spacing w:val="-2"/>
        </w:rPr>
        <w:t>号《建设项目</w:t>
      </w:r>
      <w:r>
        <w:rPr>
          <w:rFonts w:ascii="SimSun" w:hAnsi="SimSun" w:eastAsia="SimSun" w:cs="SimSun"/>
          <w:sz w:val="24"/>
          <w:szCs w:val="24"/>
          <w:spacing w:val="-3"/>
        </w:rPr>
        <w:t>环境保护管理条例》，</w:t>
      </w:r>
      <w:r>
        <w:rPr>
          <w:rFonts w:ascii="SimSun" w:hAnsi="SimSun" w:eastAsia="SimSun" w:cs="SimSun"/>
          <w:sz w:val="24"/>
          <w:szCs w:val="24"/>
        </w:rPr>
        <w:t xml:space="preserve"> </w:t>
      </w:r>
      <w:r>
        <w:rPr>
          <w:rFonts w:ascii="Times New Roman" w:hAnsi="Times New Roman" w:eastAsia="Times New Roman" w:cs="Times New Roman"/>
          <w:sz w:val="24"/>
          <w:szCs w:val="24"/>
          <w:spacing w:val="-12"/>
        </w:rPr>
        <w:t>2017</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2"/>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rPr>
        <w:t>10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2"/>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12"/>
        </w:rPr>
        <w:t>日。</w:t>
      </w:r>
    </w:p>
    <w:p>
      <w:pPr>
        <w:ind w:left="33" w:right="83" w:firstLine="490"/>
        <w:spacing w:before="161"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12</w:t>
      </w:r>
      <w:r>
        <w:rPr>
          <w:rFonts w:ascii="SimSun" w:hAnsi="SimSun" w:eastAsia="SimSun" w:cs="SimSun"/>
          <w:sz w:val="24"/>
          <w:szCs w:val="24"/>
          <w:spacing w:val="-2"/>
        </w:rPr>
        <w:t>）中华人民共和国国务院令第 </w:t>
      </w:r>
      <w:r>
        <w:rPr>
          <w:rFonts w:ascii="Times New Roman" w:hAnsi="Times New Roman" w:eastAsia="Times New Roman" w:cs="Times New Roman"/>
          <w:sz w:val="24"/>
          <w:szCs w:val="24"/>
          <w:spacing w:val="-2"/>
        </w:rPr>
        <w:t>643  </w:t>
      </w:r>
      <w:r>
        <w:rPr>
          <w:rFonts w:ascii="SimSun" w:hAnsi="SimSun" w:eastAsia="SimSun" w:cs="SimSun"/>
          <w:sz w:val="24"/>
          <w:szCs w:val="24"/>
          <w:spacing w:val="-2"/>
        </w:rPr>
        <w:t>号《畜禽规</w:t>
      </w:r>
      <w:r>
        <w:rPr>
          <w:rFonts w:ascii="SimSun" w:hAnsi="SimSun" w:eastAsia="SimSun" w:cs="SimSun"/>
          <w:sz w:val="24"/>
          <w:szCs w:val="24"/>
          <w:spacing w:val="-3"/>
        </w:rPr>
        <w:t>模养殖污染防治条例》，</w:t>
      </w:r>
      <w:r>
        <w:rPr>
          <w:rFonts w:ascii="SimSun" w:hAnsi="SimSun" w:eastAsia="SimSun" w:cs="SimSun"/>
          <w:sz w:val="24"/>
          <w:szCs w:val="24"/>
        </w:rPr>
        <w:t xml:space="preserve"> </w:t>
      </w:r>
      <w:r>
        <w:rPr>
          <w:rFonts w:ascii="Times New Roman" w:hAnsi="Times New Roman" w:eastAsia="Times New Roman" w:cs="Times New Roman"/>
          <w:sz w:val="24"/>
          <w:szCs w:val="24"/>
          <w:spacing w:val="-13"/>
        </w:rPr>
        <w:t>2014</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3"/>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3"/>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3"/>
        </w:rPr>
        <w:t>1  </w:t>
      </w:r>
      <w:r>
        <w:rPr>
          <w:rFonts w:ascii="SimSun" w:hAnsi="SimSun" w:eastAsia="SimSun" w:cs="SimSun"/>
          <w:sz w:val="24"/>
          <w:szCs w:val="24"/>
          <w:spacing w:val="-13"/>
        </w:rPr>
        <w:t>日；</w:t>
      </w:r>
    </w:p>
    <w:p>
      <w:pPr>
        <w:ind w:left="524"/>
        <w:spacing w:before="163"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13</w:t>
      </w:r>
      <w:r>
        <w:rPr>
          <w:rFonts w:ascii="SimSun" w:hAnsi="SimSun" w:eastAsia="SimSun" w:cs="SimSun"/>
          <w:sz w:val="24"/>
          <w:szCs w:val="24"/>
          <w:spacing w:val="-4"/>
        </w:rPr>
        <w:t>）《中华人民共和国动物防疫法》，</w:t>
      </w:r>
      <w:r>
        <w:rPr>
          <w:rFonts w:ascii="Times New Roman" w:hAnsi="Times New Roman" w:eastAsia="Times New Roman" w:cs="Times New Roman"/>
          <w:sz w:val="24"/>
          <w:szCs w:val="24"/>
          <w:spacing w:val="-4"/>
        </w:rPr>
        <w:t>2023 </w:t>
      </w:r>
      <w:r>
        <w:rPr>
          <w:rFonts w:ascii="SimSun" w:hAnsi="SimSun" w:eastAsia="SimSun" w:cs="SimSun"/>
          <w:sz w:val="24"/>
          <w:szCs w:val="24"/>
          <w:spacing w:val="-4"/>
        </w:rPr>
        <w:t>年</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月</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4"/>
        </w:rPr>
        <w:t>8  </w:t>
      </w:r>
      <w:r>
        <w:rPr>
          <w:rFonts w:ascii="SimSun" w:hAnsi="SimSun" w:eastAsia="SimSun" w:cs="SimSun"/>
          <w:sz w:val="24"/>
          <w:szCs w:val="24"/>
          <w:spacing w:val="-4"/>
        </w:rPr>
        <w:t>日。</w:t>
      </w:r>
    </w:p>
    <w:p>
      <w:pPr>
        <w:pStyle w:val="BodyText"/>
        <w:spacing w:line="346" w:lineRule="auto"/>
        <w:rPr/>
      </w:pPr>
      <w:r/>
    </w:p>
    <w:p>
      <w:pPr>
        <w:ind w:left="34"/>
        <w:spacing w:before="79"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2.1.2 </w:t>
      </w:r>
      <w:r>
        <w:rPr>
          <w:rFonts w:ascii="SimSun" w:hAnsi="SimSun" w:eastAsia="SimSun" w:cs="SimSun"/>
          <w:sz w:val="24"/>
          <w:szCs w:val="24"/>
          <w:b/>
          <w:bCs/>
          <w:spacing w:val="-2"/>
        </w:rPr>
        <w:t>法律、法规</w:t>
      </w:r>
    </w:p>
    <w:p>
      <w:pPr>
        <w:pStyle w:val="BodyText"/>
        <w:spacing w:line="341" w:lineRule="auto"/>
        <w:rPr/>
      </w:pPr>
      <w:r/>
    </w:p>
    <w:p>
      <w:pPr>
        <w:ind w:left="39" w:right="28" w:firstLine="485"/>
        <w:spacing w:before="78"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）生态环境部令第 </w:t>
      </w:r>
      <w:r>
        <w:rPr>
          <w:rFonts w:ascii="Times New Roman" w:hAnsi="Times New Roman" w:eastAsia="Times New Roman" w:cs="Times New Roman"/>
          <w:sz w:val="24"/>
          <w:szCs w:val="24"/>
          <w:spacing w:val="-2"/>
        </w:rPr>
        <w:t>16</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2"/>
        </w:rPr>
        <w:t>号《建设项目环境影响评</w:t>
      </w:r>
      <w:r>
        <w:rPr>
          <w:rFonts w:ascii="SimSun" w:hAnsi="SimSun" w:eastAsia="SimSun" w:cs="SimSun"/>
          <w:sz w:val="24"/>
          <w:szCs w:val="24"/>
          <w:spacing w:val="-3"/>
        </w:rPr>
        <w:t>价分类管理名录（</w:t>
      </w:r>
      <w:r>
        <w:rPr>
          <w:rFonts w:ascii="Times New Roman" w:hAnsi="Times New Roman" w:eastAsia="Times New Roman" w:cs="Times New Roman"/>
          <w:sz w:val="24"/>
          <w:szCs w:val="24"/>
          <w:spacing w:val="-3"/>
        </w:rPr>
        <w:t>2021</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3"/>
        </w:rPr>
        <w:t>年</w:t>
      </w:r>
      <w:r>
        <w:rPr>
          <w:rFonts w:ascii="SimSun" w:hAnsi="SimSun" w:eastAsia="SimSun" w:cs="SimSun"/>
          <w:sz w:val="24"/>
          <w:szCs w:val="24"/>
          <w:spacing w:val="-9"/>
        </w:rPr>
        <w:t>版）》，</w:t>
      </w:r>
      <w:r>
        <w:rPr>
          <w:rFonts w:ascii="Times New Roman" w:hAnsi="Times New Roman" w:eastAsia="Times New Roman" w:cs="Times New Roman"/>
          <w:sz w:val="24"/>
          <w:szCs w:val="24"/>
          <w:spacing w:val="-9"/>
        </w:rPr>
        <w:t>2021 </w:t>
      </w:r>
      <w:r>
        <w:rPr>
          <w:rFonts w:ascii="SimSun" w:hAnsi="SimSun" w:eastAsia="SimSun" w:cs="SimSun"/>
          <w:sz w:val="24"/>
          <w:szCs w:val="24"/>
          <w:spacing w:val="-9"/>
        </w:rPr>
        <w:t>年</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9"/>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9"/>
        </w:rPr>
        <w:t>1  </w:t>
      </w:r>
      <w:r>
        <w:rPr>
          <w:rFonts w:ascii="SimSun" w:hAnsi="SimSun" w:eastAsia="SimSun" w:cs="SimSun"/>
          <w:sz w:val="24"/>
          <w:szCs w:val="24"/>
          <w:spacing w:val="-9"/>
        </w:rPr>
        <w:t>日；</w:t>
      </w:r>
    </w:p>
    <w:p>
      <w:pPr>
        <w:ind w:left="39" w:right="26" w:firstLine="485"/>
        <w:spacing w:before="162" w:line="296"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）生态环境部公告</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2019 </w:t>
      </w:r>
      <w:r>
        <w:rPr>
          <w:rFonts w:ascii="SimSun" w:hAnsi="SimSun" w:eastAsia="SimSun" w:cs="SimSun"/>
          <w:sz w:val="24"/>
          <w:szCs w:val="24"/>
          <w:spacing w:val="-2"/>
        </w:rPr>
        <w:t>年第</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号《关于发布</w:t>
      </w:r>
      <w:r>
        <w:rPr>
          <w:rFonts w:ascii="Times New Roman" w:hAnsi="Times New Roman" w:eastAsia="Times New Roman" w:cs="Times New Roman"/>
          <w:sz w:val="24"/>
          <w:szCs w:val="24"/>
          <w:spacing w:val="-2"/>
        </w:rPr>
        <w:t>&lt;</w:t>
      </w:r>
      <w:r>
        <w:rPr>
          <w:rFonts w:ascii="SimSun" w:hAnsi="SimSun" w:eastAsia="SimSun" w:cs="SimSun"/>
          <w:sz w:val="24"/>
          <w:szCs w:val="24"/>
          <w:spacing w:val="-2"/>
        </w:rPr>
        <w:t>生态环境部</w:t>
      </w:r>
      <w:r>
        <w:rPr>
          <w:rFonts w:ascii="SimSun" w:hAnsi="SimSun" w:eastAsia="SimSun" w:cs="SimSun"/>
          <w:sz w:val="24"/>
          <w:szCs w:val="24"/>
          <w:spacing w:val="-3"/>
        </w:rPr>
        <w:t>审批环境影响评</w:t>
      </w:r>
      <w:r>
        <w:rPr>
          <w:rFonts w:ascii="SimSun" w:hAnsi="SimSun" w:eastAsia="SimSun" w:cs="SimSun"/>
          <w:sz w:val="24"/>
          <w:szCs w:val="24"/>
          <w:spacing w:val="-2"/>
        </w:rPr>
        <w:t>价文件的建设项目目录（</w:t>
      </w:r>
      <w:r>
        <w:rPr>
          <w:rFonts w:ascii="Times New Roman" w:hAnsi="Times New Roman" w:eastAsia="Times New Roman" w:cs="Times New Roman"/>
          <w:sz w:val="24"/>
          <w:szCs w:val="24"/>
          <w:spacing w:val="-2"/>
        </w:rPr>
        <w:t>2019 </w:t>
      </w:r>
      <w:r>
        <w:rPr>
          <w:rFonts w:ascii="SimSun" w:hAnsi="SimSun" w:eastAsia="SimSun" w:cs="SimSun"/>
          <w:sz w:val="24"/>
          <w:szCs w:val="24"/>
          <w:spacing w:val="-2"/>
        </w:rPr>
        <w:t>年本）</w:t>
      </w:r>
      <w:r>
        <w:rPr>
          <w:rFonts w:ascii="Times New Roman" w:hAnsi="Times New Roman" w:eastAsia="Times New Roman" w:cs="Times New Roman"/>
          <w:sz w:val="24"/>
          <w:szCs w:val="24"/>
          <w:spacing w:val="-2"/>
        </w:rPr>
        <w:t>&gt;</w:t>
      </w:r>
      <w:r>
        <w:rPr>
          <w:rFonts w:ascii="SimSun" w:hAnsi="SimSun" w:eastAsia="SimSun" w:cs="SimSun"/>
          <w:sz w:val="24"/>
          <w:szCs w:val="24"/>
          <w:spacing w:val="-3"/>
        </w:rPr>
        <w:t>的公告》，</w:t>
      </w:r>
      <w:r>
        <w:rPr>
          <w:rFonts w:ascii="Times New Roman" w:hAnsi="Times New Roman" w:eastAsia="Times New Roman" w:cs="Times New Roman"/>
          <w:sz w:val="24"/>
          <w:szCs w:val="24"/>
          <w:spacing w:val="-3"/>
        </w:rPr>
        <w:t>2019 </w:t>
      </w:r>
      <w:r>
        <w:rPr>
          <w:rFonts w:ascii="SimSun" w:hAnsi="SimSun" w:eastAsia="SimSun" w:cs="SimSun"/>
          <w:sz w:val="24"/>
          <w:szCs w:val="24"/>
          <w:spacing w:val="-3"/>
        </w:rPr>
        <w:t>年</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27  </w:t>
      </w:r>
      <w:r>
        <w:rPr>
          <w:rFonts w:ascii="SimSun" w:hAnsi="SimSun" w:eastAsia="SimSun" w:cs="SimSun"/>
          <w:sz w:val="24"/>
          <w:szCs w:val="24"/>
          <w:spacing w:val="-3"/>
        </w:rPr>
        <w:t>日；</w:t>
      </w:r>
    </w:p>
    <w:p>
      <w:pPr>
        <w:ind w:left="39" w:right="73" w:firstLine="485"/>
        <w:spacing w:before="165" w:line="296" w:lineRule="auto"/>
        <w:rPr>
          <w:rFonts w:ascii="SimSun" w:hAnsi="SimSun" w:eastAsia="SimSun" w:cs="SimSun"/>
          <w:sz w:val="24"/>
          <w:szCs w:val="24"/>
        </w:rPr>
      </w:pPr>
      <w:r>
        <w:pict>
          <v:shape id="_x0000_s58" style="position:absolute;margin-left:1.68601pt;margin-top:53.4209pt;mso-position-vertical-relative:text;mso-position-horizontal-relative:text;width:425.7pt;height:0.6pt;z-index:251676672;" filled="false" strokecolor="#808080" strokeweight="0.50pt" coordsize="8514,12" coordorigin="0,0" path="m5,5l8508,6e">
            <v:stroke endcap="round" miterlimit="10"/>
          </v:shape>
        </w:pict>
      </w: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）中华人民共和国国家发展和改革委员会令第</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7</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号《产业结构调整指导目</w:t>
      </w:r>
      <w:r>
        <w:rPr>
          <w:rFonts w:ascii="SimSun" w:hAnsi="SimSun" w:eastAsia="SimSun" w:cs="SimSun"/>
          <w:sz w:val="24"/>
          <w:szCs w:val="24"/>
          <w:spacing w:val="-1"/>
        </w:rPr>
        <w:t>录（</w:t>
      </w:r>
      <w:r>
        <w:rPr>
          <w:rFonts w:ascii="Times New Roman" w:hAnsi="Times New Roman" w:eastAsia="Times New Roman" w:cs="Times New Roman"/>
          <w:sz w:val="24"/>
          <w:szCs w:val="24"/>
          <w:spacing w:val="-1"/>
        </w:rPr>
        <w:t>2024 </w:t>
      </w:r>
      <w:r>
        <w:rPr>
          <w:rFonts w:ascii="SimSun" w:hAnsi="SimSun" w:eastAsia="SimSun" w:cs="SimSun"/>
          <w:sz w:val="24"/>
          <w:szCs w:val="24"/>
          <w:spacing w:val="-1"/>
        </w:rPr>
        <w:t>年本）》；</w:t>
      </w:r>
    </w:p>
    <w:p>
      <w:pPr>
        <w:spacing w:line="296" w:lineRule="auto"/>
        <w:sectPr>
          <w:headerReference w:type="default" r:id="rId15"/>
          <w:footerReference w:type="default" r:id="rId32"/>
          <w:pgSz w:w="11907" w:h="16839"/>
          <w:pgMar w:top="1422" w:right="1670" w:bottom="1618" w:left="1673" w:header="1033" w:footer="1417" w:gutter="0"/>
        </w:sectPr>
        <w:rPr>
          <w:rFonts w:ascii="SimSun" w:hAnsi="SimSun" w:eastAsia="SimSun" w:cs="SimSun"/>
          <w:sz w:val="24"/>
          <w:szCs w:val="24"/>
        </w:rPr>
      </w:pPr>
    </w:p>
    <w:p>
      <w:pPr>
        <w:spacing w:before="313" w:line="232" w:lineRule="auto"/>
        <w:jc w:val="right"/>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4</w:t>
      </w:r>
      <w:r>
        <w:rPr>
          <w:rFonts w:ascii="SimSun" w:hAnsi="SimSun" w:eastAsia="SimSun" w:cs="SimSun"/>
          <w:sz w:val="24"/>
          <w:szCs w:val="24"/>
          <w:spacing w:val="-10"/>
        </w:rPr>
        <w:t>）生态环境部令第</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0"/>
        </w:rPr>
        <w:t>4</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0"/>
        </w:rPr>
        <w:t>号《环境影响评价公众参与办法》</w:t>
      </w:r>
      <w:r>
        <w:rPr>
          <w:rFonts w:ascii="SimSun" w:hAnsi="SimSun" w:eastAsia="SimSun" w:cs="SimSun"/>
          <w:sz w:val="24"/>
          <w:szCs w:val="24"/>
          <w:spacing w:val="-11"/>
        </w:rPr>
        <w:t>，</w:t>
      </w:r>
      <w:r>
        <w:rPr>
          <w:rFonts w:ascii="Times New Roman" w:hAnsi="Times New Roman" w:eastAsia="Times New Roman" w:cs="Times New Roman"/>
          <w:sz w:val="24"/>
          <w:szCs w:val="24"/>
          <w:spacing w:val="-11"/>
        </w:rPr>
        <w:t>2019 </w:t>
      </w:r>
      <w:r>
        <w:rPr>
          <w:rFonts w:ascii="SimSun" w:hAnsi="SimSun" w:eastAsia="SimSun" w:cs="SimSun"/>
          <w:sz w:val="24"/>
          <w:szCs w:val="24"/>
          <w:spacing w:val="-11"/>
        </w:rPr>
        <w:t>年</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1"/>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1"/>
        </w:rPr>
        <w:t>1  </w:t>
      </w:r>
      <w:r>
        <w:rPr>
          <w:rFonts w:ascii="SimSun" w:hAnsi="SimSun" w:eastAsia="SimSun" w:cs="SimSun"/>
          <w:sz w:val="24"/>
          <w:szCs w:val="24"/>
          <w:spacing w:val="-11"/>
        </w:rPr>
        <w:t>日；</w:t>
      </w:r>
    </w:p>
    <w:p>
      <w:pPr>
        <w:ind w:left="524"/>
        <w:spacing w:before="164"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）《国家危险废物名录（</w:t>
      </w:r>
      <w:r>
        <w:rPr>
          <w:rFonts w:ascii="Times New Roman" w:hAnsi="Times New Roman" w:eastAsia="Times New Roman" w:cs="Times New Roman"/>
          <w:sz w:val="24"/>
          <w:szCs w:val="24"/>
          <w:spacing w:val="-4"/>
        </w:rPr>
        <w:t>2021 </w:t>
      </w:r>
      <w:r>
        <w:rPr>
          <w:rFonts w:ascii="SimSun" w:hAnsi="SimSun" w:eastAsia="SimSun" w:cs="SimSun"/>
          <w:sz w:val="24"/>
          <w:szCs w:val="24"/>
          <w:spacing w:val="-4"/>
        </w:rPr>
        <w:t>年版）》，</w:t>
      </w:r>
      <w:r>
        <w:rPr>
          <w:rFonts w:ascii="Times New Roman" w:hAnsi="Times New Roman" w:eastAsia="Times New Roman" w:cs="Times New Roman"/>
          <w:sz w:val="24"/>
          <w:szCs w:val="24"/>
          <w:spacing w:val="-4"/>
        </w:rPr>
        <w:t>2021 </w:t>
      </w:r>
      <w:r>
        <w:rPr>
          <w:rFonts w:ascii="SimSun" w:hAnsi="SimSun" w:eastAsia="SimSun" w:cs="SimSun"/>
          <w:sz w:val="24"/>
          <w:szCs w:val="24"/>
          <w:spacing w:val="-4"/>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日；</w:t>
      </w:r>
    </w:p>
    <w:p>
      <w:pPr>
        <w:ind w:left="39" w:right="66" w:firstLine="485"/>
        <w:spacing w:before="164" w:line="296"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6</w:t>
      </w:r>
      <w:r>
        <w:rPr>
          <w:rFonts w:ascii="SimSun" w:hAnsi="SimSun" w:eastAsia="SimSun" w:cs="SimSun"/>
          <w:sz w:val="24"/>
          <w:szCs w:val="24"/>
          <w:spacing w:val="-5"/>
        </w:rPr>
        <w:t>）原环境保护部环发</w:t>
      </w:r>
      <w:r>
        <w:rPr>
          <w:rFonts w:ascii="Times New Roman" w:hAnsi="Times New Roman" w:eastAsia="Times New Roman" w:cs="Times New Roman"/>
          <w:sz w:val="24"/>
          <w:szCs w:val="24"/>
          <w:spacing w:val="-5"/>
        </w:rPr>
        <w:t>[2010]151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5"/>
        </w:rPr>
        <w:t>号《畜</w:t>
      </w:r>
      <w:r>
        <w:rPr>
          <w:rFonts w:ascii="SimSun" w:hAnsi="SimSun" w:eastAsia="SimSun" w:cs="SimSun"/>
          <w:sz w:val="24"/>
          <w:szCs w:val="24"/>
          <w:spacing w:val="-6"/>
        </w:rPr>
        <w:t>禽养殖业污染防治技术政策》，</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6"/>
        </w:rPr>
        <w:t>2010</w:t>
      </w:r>
      <w:r>
        <w:rPr>
          <w:rFonts w:ascii="SimSun" w:hAnsi="SimSun" w:eastAsia="SimSun" w:cs="SimSun"/>
          <w:sz w:val="24"/>
          <w:szCs w:val="24"/>
          <w:spacing w:val="-15"/>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5"/>
        </w:rPr>
        <w:t>12</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5"/>
        </w:rPr>
        <w:t>月；</w:t>
      </w:r>
    </w:p>
    <w:p>
      <w:pPr>
        <w:ind w:left="55" w:right="67" w:firstLine="468"/>
        <w:spacing w:before="164"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）原环境保护部、农业部环办水体</w:t>
      </w:r>
      <w:r>
        <w:rPr>
          <w:rFonts w:ascii="Times New Roman" w:hAnsi="Times New Roman" w:eastAsia="Times New Roman" w:cs="Times New Roman"/>
          <w:sz w:val="24"/>
          <w:szCs w:val="24"/>
          <w:spacing w:val="-1"/>
        </w:rPr>
        <w:t>[2016]99</w:t>
      </w:r>
      <w:r>
        <w:rPr>
          <w:rFonts w:ascii="Times New Roman" w:hAnsi="Times New Roman" w:eastAsia="Times New Roman" w:cs="Times New Roman"/>
          <w:sz w:val="24"/>
          <w:szCs w:val="24"/>
          <w:spacing w:val="27"/>
          <w:w w:val="101"/>
        </w:rPr>
        <w:t xml:space="preserve"> </w:t>
      </w:r>
      <w:r>
        <w:rPr>
          <w:rFonts w:ascii="SimSun" w:hAnsi="SimSun" w:eastAsia="SimSun" w:cs="SimSun"/>
          <w:sz w:val="24"/>
          <w:szCs w:val="24"/>
          <w:spacing w:val="-1"/>
        </w:rPr>
        <w:t>号“关于印发《畜禽养殖禁养</w:t>
      </w:r>
      <w:r>
        <w:rPr>
          <w:rFonts w:ascii="SimSun" w:hAnsi="SimSun" w:eastAsia="SimSun" w:cs="SimSun"/>
          <w:sz w:val="24"/>
          <w:szCs w:val="24"/>
          <w:spacing w:val="-3"/>
        </w:rPr>
        <w:t>区划定技术指南》的通知</w:t>
      </w:r>
      <w:r>
        <w:rPr>
          <w:rFonts w:ascii="SimSun" w:hAnsi="SimSun" w:eastAsia="SimSun" w:cs="SimSun"/>
          <w:sz w:val="24"/>
          <w:szCs w:val="24"/>
          <w:spacing w:val="-79"/>
        </w:rPr>
        <w:t xml:space="preserve"> </w:t>
      </w:r>
      <w:r>
        <w:rPr>
          <w:rFonts w:ascii="SimSun" w:hAnsi="SimSun" w:eastAsia="SimSun" w:cs="SimSun"/>
          <w:sz w:val="24"/>
          <w:szCs w:val="24"/>
          <w:spacing w:val="-3"/>
        </w:rPr>
        <w:t>”；</w:t>
      </w:r>
    </w:p>
    <w:p>
      <w:pPr>
        <w:ind w:left="43" w:right="66" w:firstLine="480"/>
        <w:spacing w:before="182"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8</w:t>
      </w:r>
      <w:r>
        <w:rPr>
          <w:rFonts w:ascii="SimSun" w:hAnsi="SimSun" w:eastAsia="SimSun" w:cs="SimSun"/>
          <w:sz w:val="24"/>
          <w:szCs w:val="24"/>
          <w:spacing w:val="-2"/>
        </w:rPr>
        <w:t>）《关于促进规模化畜禽养殖有关用地政策的通知》（国土资发</w:t>
      </w:r>
      <w:r>
        <w:rPr>
          <w:rFonts w:ascii="Times New Roman" w:hAnsi="Times New Roman" w:eastAsia="Times New Roman" w:cs="Times New Roman"/>
          <w:sz w:val="24"/>
          <w:szCs w:val="24"/>
          <w:spacing w:val="-2"/>
        </w:rPr>
        <w:t>[2007]220</w:t>
      </w:r>
      <w:r>
        <w:rPr>
          <w:rFonts w:ascii="SimSun" w:hAnsi="SimSun" w:eastAsia="SimSun" w:cs="SimSun"/>
          <w:sz w:val="24"/>
          <w:szCs w:val="24"/>
          <w:spacing w:val="-24"/>
        </w:rPr>
        <w:t>号</w:t>
      </w:r>
      <w:r>
        <w:rPr>
          <w:rFonts w:ascii="SimSun" w:hAnsi="SimSun" w:eastAsia="SimSun" w:cs="SimSun"/>
          <w:sz w:val="24"/>
          <w:szCs w:val="24"/>
          <w:spacing w:val="-12"/>
        </w:rPr>
        <w:t>）；</w:t>
      </w:r>
    </w:p>
    <w:p>
      <w:pPr>
        <w:ind w:left="41" w:right="82" w:firstLine="483"/>
        <w:spacing w:before="179" w:line="29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9</w:t>
      </w:r>
      <w:r>
        <w:rPr>
          <w:rFonts w:ascii="SimSun" w:hAnsi="SimSun" w:eastAsia="SimSun" w:cs="SimSun"/>
          <w:sz w:val="24"/>
          <w:szCs w:val="24"/>
          <w:spacing w:val="-1"/>
        </w:rPr>
        <w:t>）《关于在畜禽养殖废弃物资源化利用过程</w:t>
      </w:r>
      <w:r>
        <w:rPr>
          <w:rFonts w:ascii="SimSun" w:hAnsi="SimSun" w:eastAsia="SimSun" w:cs="SimSun"/>
          <w:sz w:val="24"/>
          <w:szCs w:val="24"/>
          <w:spacing w:val="-2"/>
        </w:rPr>
        <w:t>中加强环境监管的通知》（环</w:t>
      </w:r>
      <w:r>
        <w:rPr>
          <w:rFonts w:ascii="SimSun" w:hAnsi="SimSun" w:eastAsia="SimSun" w:cs="SimSun"/>
          <w:sz w:val="24"/>
          <w:szCs w:val="24"/>
          <w:spacing w:val="-4"/>
        </w:rPr>
        <w:t>水体〔</w:t>
      </w:r>
      <w:r>
        <w:rPr>
          <w:rFonts w:ascii="Times New Roman" w:hAnsi="Times New Roman" w:eastAsia="Times New Roman" w:cs="Times New Roman"/>
          <w:sz w:val="24"/>
          <w:szCs w:val="24"/>
          <w:spacing w:val="-4"/>
        </w:rPr>
        <w:t>2017</w:t>
      </w:r>
      <w:r>
        <w:rPr>
          <w:rFonts w:ascii="SimSun" w:hAnsi="SimSun" w:eastAsia="SimSun" w:cs="SimSun"/>
          <w:sz w:val="24"/>
          <w:szCs w:val="24"/>
          <w:spacing w:val="-4"/>
        </w:rPr>
        <w:t>〕</w:t>
      </w:r>
      <w:r>
        <w:rPr>
          <w:rFonts w:ascii="Times New Roman" w:hAnsi="Times New Roman" w:eastAsia="Times New Roman" w:cs="Times New Roman"/>
          <w:sz w:val="24"/>
          <w:szCs w:val="24"/>
          <w:spacing w:val="-4"/>
        </w:rPr>
        <w:t>120</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4"/>
        </w:rPr>
        <w:t>号</w:t>
      </w:r>
      <w:r>
        <w:rPr>
          <w:rFonts w:ascii="SimSun" w:hAnsi="SimSun" w:eastAsia="SimSun" w:cs="SimSun"/>
          <w:sz w:val="24"/>
          <w:szCs w:val="24"/>
          <w:spacing w:val="-7"/>
        </w:rPr>
        <w:t>）；</w:t>
      </w:r>
    </w:p>
    <w:p>
      <w:pPr>
        <w:ind w:left="44" w:right="86" w:firstLine="479"/>
        <w:spacing w:before="161"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10</w:t>
      </w:r>
      <w:r>
        <w:rPr>
          <w:rFonts w:ascii="SimSun" w:hAnsi="SimSun" w:eastAsia="SimSun" w:cs="SimSun"/>
          <w:sz w:val="24"/>
          <w:szCs w:val="24"/>
          <w:spacing w:val="2"/>
        </w:rPr>
        <w:t>）《关于进一步明确畜禽粪污还田利用要求强化养殖污染监管的通知》 </w:t>
      </w:r>
      <w:r>
        <w:rPr>
          <w:rFonts w:ascii="SimSun" w:hAnsi="SimSun" w:eastAsia="SimSun" w:cs="SimSun"/>
          <w:sz w:val="24"/>
          <w:szCs w:val="24"/>
          <w:spacing w:val="-4"/>
        </w:rPr>
        <w:t>（农办牧〔</w:t>
      </w:r>
      <w:r>
        <w:rPr>
          <w:rFonts w:ascii="Times New Roman" w:hAnsi="Times New Roman" w:eastAsia="Times New Roman" w:cs="Times New Roman"/>
          <w:sz w:val="24"/>
          <w:szCs w:val="24"/>
          <w:spacing w:val="-4"/>
        </w:rPr>
        <w:t>2020</w:t>
      </w:r>
      <w:r>
        <w:rPr>
          <w:rFonts w:ascii="SimSun" w:hAnsi="SimSun" w:eastAsia="SimSun" w:cs="SimSun"/>
          <w:sz w:val="24"/>
          <w:szCs w:val="24"/>
          <w:spacing w:val="-4"/>
        </w:rPr>
        <w:t>〕</w:t>
      </w:r>
      <w:r>
        <w:rPr>
          <w:rFonts w:ascii="Times New Roman" w:hAnsi="Times New Roman" w:eastAsia="Times New Roman" w:cs="Times New Roman"/>
          <w:sz w:val="24"/>
          <w:szCs w:val="24"/>
          <w:spacing w:val="-4"/>
        </w:rPr>
        <w:t>23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号</w:t>
      </w:r>
      <w:r>
        <w:rPr>
          <w:rFonts w:ascii="SimSun" w:hAnsi="SimSun" w:eastAsia="SimSun" w:cs="SimSun"/>
          <w:sz w:val="24"/>
          <w:szCs w:val="24"/>
          <w:spacing w:val="-6"/>
        </w:rPr>
        <w:t>）；</w:t>
      </w:r>
    </w:p>
    <w:p>
      <w:pPr>
        <w:ind w:left="39" w:right="91" w:firstLine="485"/>
        <w:spacing w:before="161"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11</w:t>
      </w:r>
      <w:r>
        <w:rPr>
          <w:rFonts w:ascii="SimSun" w:hAnsi="SimSun" w:eastAsia="SimSun" w:cs="SimSun"/>
          <w:sz w:val="24"/>
          <w:szCs w:val="24"/>
          <w:spacing w:val="2"/>
        </w:rPr>
        <w:t>）《关于促进畜禽粪污还田利用加强养殖污染治理的指导意见</w:t>
      </w:r>
      <w:r>
        <w:rPr>
          <w:rFonts w:ascii="SimSun" w:hAnsi="SimSun" w:eastAsia="SimSun" w:cs="SimSun"/>
          <w:sz w:val="24"/>
          <w:szCs w:val="24"/>
          <w:spacing w:val="1"/>
        </w:rPr>
        <w:t>》（农办</w:t>
      </w:r>
      <w:r>
        <w:rPr>
          <w:rFonts w:ascii="SimSun" w:hAnsi="SimSun" w:eastAsia="SimSun" w:cs="SimSun"/>
          <w:sz w:val="24"/>
          <w:szCs w:val="24"/>
          <w:spacing w:val="-4"/>
        </w:rPr>
        <w:t>牧〔</w:t>
      </w:r>
      <w:r>
        <w:rPr>
          <w:rFonts w:ascii="Times New Roman" w:hAnsi="Times New Roman" w:eastAsia="Times New Roman" w:cs="Times New Roman"/>
          <w:sz w:val="24"/>
          <w:szCs w:val="24"/>
          <w:spacing w:val="-4"/>
        </w:rPr>
        <w:t>2019</w:t>
      </w:r>
      <w:r>
        <w:rPr>
          <w:rFonts w:ascii="SimSun" w:hAnsi="SimSun" w:eastAsia="SimSun" w:cs="SimSun"/>
          <w:sz w:val="24"/>
          <w:szCs w:val="24"/>
          <w:spacing w:val="-4"/>
        </w:rPr>
        <w:t>〕</w:t>
      </w:r>
      <w:r>
        <w:rPr>
          <w:rFonts w:ascii="Times New Roman" w:hAnsi="Times New Roman" w:eastAsia="Times New Roman" w:cs="Times New Roman"/>
          <w:sz w:val="24"/>
          <w:szCs w:val="24"/>
          <w:spacing w:val="-4"/>
        </w:rPr>
        <w:t>84</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号</w:t>
      </w:r>
      <w:r>
        <w:rPr>
          <w:rFonts w:ascii="SimSun" w:hAnsi="SimSun" w:eastAsia="SimSun" w:cs="SimSun"/>
          <w:sz w:val="24"/>
          <w:szCs w:val="24"/>
          <w:spacing w:val="-10"/>
        </w:rPr>
        <w:t>）；</w:t>
      </w:r>
    </w:p>
    <w:p>
      <w:pPr>
        <w:ind w:left="39" w:right="67" w:firstLine="485"/>
        <w:spacing w:before="162" w:line="297"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12</w:t>
      </w:r>
      <w:r>
        <w:rPr>
          <w:rFonts w:ascii="SimSun" w:hAnsi="SimSun" w:eastAsia="SimSun" w:cs="SimSun"/>
          <w:sz w:val="24"/>
          <w:szCs w:val="24"/>
          <w:spacing w:val="-4"/>
        </w:rPr>
        <w:t>）国务院办公厅国办发</w:t>
      </w:r>
      <w:r>
        <w:rPr>
          <w:rFonts w:ascii="Times New Roman" w:hAnsi="Times New Roman" w:eastAsia="Times New Roman" w:cs="Times New Roman"/>
          <w:sz w:val="24"/>
          <w:szCs w:val="24"/>
          <w:spacing w:val="-4"/>
        </w:rPr>
        <w:t>[2017]48</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4"/>
        </w:rPr>
        <w:t>号《关于加快推进畜禽养殖废弃物资源化</w:t>
      </w:r>
      <w:r>
        <w:rPr>
          <w:rFonts w:ascii="SimSun" w:hAnsi="SimSun" w:eastAsia="SimSun" w:cs="SimSun"/>
          <w:sz w:val="24"/>
          <w:szCs w:val="24"/>
          <w:spacing w:val="-6"/>
        </w:rPr>
        <w:t>利用的意见》，</w:t>
      </w:r>
      <w:r>
        <w:rPr>
          <w:rFonts w:ascii="Times New Roman" w:hAnsi="Times New Roman" w:eastAsia="Times New Roman" w:cs="Times New Roman"/>
          <w:sz w:val="24"/>
          <w:szCs w:val="24"/>
          <w:spacing w:val="-6"/>
        </w:rPr>
        <w:t>2017 </w:t>
      </w:r>
      <w:r>
        <w:rPr>
          <w:rFonts w:ascii="SimSun" w:hAnsi="SimSun" w:eastAsia="SimSun" w:cs="SimSun"/>
          <w:sz w:val="24"/>
          <w:szCs w:val="24"/>
          <w:spacing w:val="-6"/>
        </w:rPr>
        <w:t>年</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13  </w:t>
      </w:r>
      <w:r>
        <w:rPr>
          <w:rFonts w:ascii="SimSun" w:hAnsi="SimSun" w:eastAsia="SimSun" w:cs="SimSun"/>
          <w:sz w:val="24"/>
          <w:szCs w:val="24"/>
          <w:spacing w:val="-7"/>
        </w:rPr>
        <w:t>日；</w:t>
      </w:r>
    </w:p>
    <w:p>
      <w:pPr>
        <w:ind w:left="39" w:right="69" w:firstLine="485"/>
        <w:spacing w:before="162" w:line="29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13</w:t>
      </w:r>
      <w:r>
        <w:rPr>
          <w:rFonts w:ascii="SimSun" w:hAnsi="SimSun" w:eastAsia="SimSun" w:cs="SimSun"/>
          <w:sz w:val="24"/>
          <w:szCs w:val="24"/>
          <w:spacing w:val="-1"/>
        </w:rPr>
        <w:t>）农业部办公厅农办牧</w:t>
      </w:r>
      <w:r>
        <w:rPr>
          <w:rFonts w:ascii="Times New Roman" w:hAnsi="Times New Roman" w:eastAsia="Times New Roman" w:cs="Times New Roman"/>
          <w:sz w:val="24"/>
          <w:szCs w:val="24"/>
          <w:spacing w:val="-1"/>
        </w:rPr>
        <w:t>[2018]2</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1"/>
        </w:rPr>
        <w:t>号关于印发《畜禽规模养殖场粪污资源化</w:t>
      </w:r>
      <w:r>
        <w:rPr>
          <w:rFonts w:ascii="SimSun" w:hAnsi="SimSun" w:eastAsia="SimSun" w:cs="SimSun"/>
          <w:sz w:val="24"/>
          <w:szCs w:val="24"/>
          <w:spacing w:val="-5"/>
        </w:rPr>
        <w:t>利用设施建设规范（试行）》的通知，</w:t>
      </w:r>
      <w:r>
        <w:rPr>
          <w:rFonts w:ascii="Times New Roman" w:hAnsi="Times New Roman" w:eastAsia="Times New Roman" w:cs="Times New Roman"/>
          <w:sz w:val="24"/>
          <w:szCs w:val="24"/>
          <w:spacing w:val="-5"/>
        </w:rPr>
        <w:t>2018 </w:t>
      </w:r>
      <w:r>
        <w:rPr>
          <w:rFonts w:ascii="SimSun" w:hAnsi="SimSun" w:eastAsia="SimSun" w:cs="SimSun"/>
          <w:sz w:val="24"/>
          <w:szCs w:val="24"/>
          <w:spacing w:val="-5"/>
        </w:rPr>
        <w:t>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11  </w:t>
      </w:r>
      <w:r>
        <w:rPr>
          <w:rFonts w:ascii="SimSun" w:hAnsi="SimSun" w:eastAsia="SimSun" w:cs="SimSun"/>
          <w:sz w:val="24"/>
          <w:szCs w:val="24"/>
          <w:spacing w:val="-5"/>
        </w:rPr>
        <w:t>日；</w:t>
      </w:r>
    </w:p>
    <w:p>
      <w:pPr>
        <w:ind w:left="33" w:right="1" w:firstLine="490"/>
        <w:spacing w:before="161"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14</w:t>
      </w:r>
      <w:r>
        <w:rPr>
          <w:rFonts w:ascii="SimSun" w:hAnsi="SimSun" w:eastAsia="SimSun" w:cs="SimSun"/>
          <w:sz w:val="24"/>
          <w:szCs w:val="24"/>
          <w:spacing w:val="-2"/>
        </w:rPr>
        <w:t>）农业部办公厅关于印发《畜禽粪污土</w:t>
      </w:r>
      <w:r>
        <w:rPr>
          <w:rFonts w:ascii="SimSun" w:hAnsi="SimSun" w:eastAsia="SimSun" w:cs="SimSun"/>
          <w:sz w:val="24"/>
          <w:szCs w:val="24"/>
          <w:spacing w:val="-3"/>
        </w:rPr>
        <w:t>地承载力测算技术指南》的通知，</w:t>
      </w:r>
      <w:r>
        <w:rPr>
          <w:rFonts w:ascii="SimSun" w:hAnsi="SimSun" w:eastAsia="SimSun" w:cs="SimSun"/>
          <w:sz w:val="24"/>
          <w:szCs w:val="24"/>
        </w:rPr>
        <w:t xml:space="preserve"> </w:t>
      </w:r>
      <w:r>
        <w:rPr>
          <w:rFonts w:ascii="Times New Roman" w:hAnsi="Times New Roman" w:eastAsia="Times New Roman" w:cs="Times New Roman"/>
          <w:sz w:val="24"/>
          <w:szCs w:val="24"/>
          <w:spacing w:val="-12"/>
        </w:rPr>
        <w:t>2018</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2"/>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2"/>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2"/>
        </w:rPr>
        <w:t>15  </w:t>
      </w:r>
      <w:r>
        <w:rPr>
          <w:rFonts w:ascii="SimSun" w:hAnsi="SimSun" w:eastAsia="SimSun" w:cs="SimSun"/>
          <w:sz w:val="24"/>
          <w:szCs w:val="24"/>
          <w:spacing w:val="-12"/>
        </w:rPr>
        <w:t>日；</w:t>
      </w:r>
    </w:p>
    <w:p>
      <w:pPr>
        <w:ind w:left="524"/>
        <w:spacing w:before="163"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15</w:t>
      </w:r>
      <w:r>
        <w:rPr>
          <w:rFonts w:ascii="SimSun" w:hAnsi="SimSun" w:eastAsia="SimSun" w:cs="SimSun"/>
          <w:sz w:val="24"/>
          <w:szCs w:val="24"/>
          <w:spacing w:val="-3"/>
        </w:rPr>
        <w:t>）</w:t>
      </w:r>
      <w:r>
        <w:rPr>
          <w:rFonts w:ascii="Times New Roman" w:hAnsi="Times New Roman" w:eastAsia="Times New Roman" w:cs="Times New Roman"/>
          <w:sz w:val="24"/>
          <w:szCs w:val="24"/>
          <w:spacing w:val="-3"/>
        </w:rPr>
        <w:t>GB/T25246-2010</w:t>
      </w:r>
      <w:r>
        <w:rPr>
          <w:rFonts w:ascii="SimSun" w:hAnsi="SimSun" w:eastAsia="SimSun" w:cs="SimSun"/>
          <w:sz w:val="24"/>
          <w:szCs w:val="24"/>
          <w:spacing w:val="-3"/>
        </w:rPr>
        <w:t>《畜禽粪便还田技术规范》，</w:t>
      </w:r>
      <w:r>
        <w:rPr>
          <w:rFonts w:ascii="Times New Roman" w:hAnsi="Times New Roman" w:eastAsia="Times New Roman" w:cs="Times New Roman"/>
          <w:sz w:val="24"/>
          <w:szCs w:val="24"/>
          <w:spacing w:val="-3"/>
        </w:rPr>
        <w:t>2011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4"/>
        </w:rPr>
        <w:t>年</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日；</w:t>
      </w:r>
    </w:p>
    <w:p>
      <w:pPr>
        <w:ind w:left="33" w:firstLine="490"/>
        <w:spacing w:before="164" w:line="296" w:lineRule="auto"/>
        <w:rPr>
          <w:rFonts w:ascii="SimSun" w:hAnsi="SimSun" w:eastAsia="SimSun" w:cs="SimSun"/>
          <w:sz w:val="24"/>
          <w:szCs w:val="24"/>
        </w:rPr>
      </w:pPr>
      <w:r>
        <w:rPr>
          <w:rFonts w:ascii="SimSun" w:hAnsi="SimSun" w:eastAsia="SimSun" w:cs="SimSun"/>
          <w:sz w:val="24"/>
          <w:szCs w:val="24"/>
          <w:spacing w:val="-13"/>
        </w:rPr>
        <w:t>（</w:t>
      </w:r>
      <w:r>
        <w:rPr>
          <w:rFonts w:ascii="Times New Roman" w:hAnsi="Times New Roman" w:eastAsia="Times New Roman" w:cs="Times New Roman"/>
          <w:sz w:val="24"/>
          <w:szCs w:val="24"/>
          <w:spacing w:val="-13"/>
        </w:rPr>
        <w:t>16</w:t>
      </w:r>
      <w:r>
        <w:rPr>
          <w:rFonts w:ascii="SimSun" w:hAnsi="SimSun" w:eastAsia="SimSun" w:cs="SimSun"/>
          <w:sz w:val="24"/>
          <w:szCs w:val="24"/>
          <w:spacing w:val="-13"/>
        </w:rPr>
        <w:t>）原环境保护部、农业部令第</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13"/>
        </w:rPr>
        <w:t>46</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3"/>
        </w:rPr>
        <w:t>号《农用地土壤环境管理办法（试行）》，</w:t>
      </w:r>
      <w:r>
        <w:rPr>
          <w:rFonts w:ascii="SimSun" w:hAnsi="SimSun" w:eastAsia="SimSun" w:cs="SimSun"/>
          <w:sz w:val="24"/>
          <w:szCs w:val="24"/>
        </w:rPr>
        <w:t xml:space="preserve"> </w:t>
      </w:r>
      <w:r>
        <w:rPr>
          <w:rFonts w:ascii="Times New Roman" w:hAnsi="Times New Roman" w:eastAsia="Times New Roman" w:cs="Times New Roman"/>
          <w:sz w:val="24"/>
          <w:szCs w:val="24"/>
          <w:spacing w:val="-7"/>
        </w:rPr>
        <w:t>2017 </w:t>
      </w:r>
      <w:r>
        <w:rPr>
          <w:rFonts w:ascii="SimSun" w:hAnsi="SimSun" w:eastAsia="SimSun" w:cs="SimSun"/>
          <w:sz w:val="24"/>
          <w:szCs w:val="24"/>
          <w:spacing w:val="-7"/>
        </w:rPr>
        <w:t>年</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9</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7"/>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7"/>
        </w:rPr>
        <w:t>25  </w:t>
      </w:r>
      <w:r>
        <w:rPr>
          <w:rFonts w:ascii="SimSun" w:hAnsi="SimSun" w:eastAsia="SimSun" w:cs="SimSun"/>
          <w:sz w:val="24"/>
          <w:szCs w:val="24"/>
          <w:spacing w:val="-7"/>
        </w:rPr>
        <w:t>日；</w:t>
      </w:r>
    </w:p>
    <w:p>
      <w:pPr>
        <w:ind w:left="39" w:right="79" w:firstLine="485"/>
        <w:spacing w:before="165" w:line="296"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17</w:t>
      </w:r>
      <w:r>
        <w:rPr>
          <w:rFonts w:ascii="SimSun" w:hAnsi="SimSun" w:eastAsia="SimSun" w:cs="SimSun"/>
          <w:sz w:val="24"/>
          <w:szCs w:val="24"/>
          <w:spacing w:val="-4"/>
        </w:rPr>
        <w:t>）生态环境部办公厅环办环评</w:t>
      </w:r>
      <w:r>
        <w:rPr>
          <w:rFonts w:ascii="Times New Roman" w:hAnsi="Times New Roman" w:eastAsia="Times New Roman" w:cs="Times New Roman"/>
          <w:sz w:val="24"/>
          <w:szCs w:val="24"/>
          <w:spacing w:val="-4"/>
        </w:rPr>
        <w:t>[2018]31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号《关于做好畜禽规模养殖项</w:t>
      </w:r>
      <w:r>
        <w:rPr>
          <w:rFonts w:ascii="SimSun" w:hAnsi="SimSun" w:eastAsia="SimSun" w:cs="SimSun"/>
          <w:sz w:val="24"/>
          <w:szCs w:val="24"/>
          <w:spacing w:val="-5"/>
        </w:rPr>
        <w:t>目环</w:t>
      </w:r>
      <w:r>
        <w:rPr>
          <w:rFonts w:ascii="SimSun" w:hAnsi="SimSun" w:eastAsia="SimSun" w:cs="SimSun"/>
          <w:sz w:val="24"/>
          <w:szCs w:val="24"/>
          <w:spacing w:val="-5"/>
        </w:rPr>
        <w:t>境影响评价管理工作的通知》，</w:t>
      </w:r>
      <w:r>
        <w:rPr>
          <w:rFonts w:ascii="Times New Roman" w:hAnsi="Times New Roman" w:eastAsia="Times New Roman" w:cs="Times New Roman"/>
          <w:sz w:val="24"/>
          <w:szCs w:val="24"/>
          <w:spacing w:val="-5"/>
        </w:rPr>
        <w:t>2018 </w:t>
      </w:r>
      <w:r>
        <w:rPr>
          <w:rFonts w:ascii="SimSun" w:hAnsi="SimSun" w:eastAsia="SimSun" w:cs="SimSun"/>
          <w:sz w:val="24"/>
          <w:szCs w:val="24"/>
          <w:spacing w:val="-5"/>
        </w:rPr>
        <w:t>年</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12  </w:t>
      </w:r>
      <w:r>
        <w:rPr>
          <w:rFonts w:ascii="SimSun" w:hAnsi="SimSun" w:eastAsia="SimSun" w:cs="SimSun"/>
          <w:sz w:val="24"/>
          <w:szCs w:val="24"/>
          <w:spacing w:val="-5"/>
        </w:rPr>
        <w:t>日。</w:t>
      </w:r>
    </w:p>
    <w:p>
      <w:pPr>
        <w:pStyle w:val="BodyText"/>
        <w:spacing w:line="345" w:lineRule="auto"/>
        <w:rPr/>
      </w:pPr>
      <w:r/>
    </w:p>
    <w:p>
      <w:pPr>
        <w:ind w:left="3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2.1.3 </w:t>
      </w:r>
      <w:r>
        <w:rPr>
          <w:rFonts w:ascii="SimSun" w:hAnsi="SimSun" w:eastAsia="SimSun" w:cs="SimSun"/>
          <w:sz w:val="24"/>
          <w:szCs w:val="24"/>
          <w:b/>
          <w:bCs/>
          <w:spacing w:val="-2"/>
        </w:rPr>
        <w:t>地方性法律法规及规章</w:t>
      </w:r>
    </w:p>
    <w:p>
      <w:pPr>
        <w:pStyle w:val="BodyText"/>
        <w:spacing w:line="342" w:lineRule="auto"/>
        <w:rPr/>
      </w:pPr>
      <w:r/>
    </w:p>
    <w:p>
      <w:pPr>
        <w:ind w:left="524"/>
        <w:spacing w:before="79" w:line="233" w:lineRule="auto"/>
        <w:rPr>
          <w:rFonts w:ascii="SimSun" w:hAnsi="SimSun" w:eastAsia="SimSun" w:cs="SimSun"/>
          <w:sz w:val="24"/>
          <w:szCs w:val="24"/>
        </w:rPr>
      </w:pPr>
      <w:r>
        <w:pict>
          <v:shape id="_x0000_s62" style="position:absolute;margin-left:1.68601pt;margin-top:44.4345pt;mso-position-vertical-relative:text;mso-position-horizontal-relative:text;width:425.7pt;height:0.6pt;z-index:251677696;" filled="false" strokecolor="#808080" strokeweight="0.50pt" coordsize="8514,12" coordorigin="0,0" path="m5,5l8508,6e">
            <v:stroke endcap="round" miterlimit="10"/>
          </v:shape>
        </w:pict>
      </w: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）《内蒙古自治区环境保护条例（</w:t>
      </w:r>
      <w:r>
        <w:rPr>
          <w:rFonts w:ascii="Times New Roman" w:hAnsi="Times New Roman" w:eastAsia="Times New Roman" w:cs="Times New Roman"/>
          <w:sz w:val="24"/>
          <w:szCs w:val="24"/>
          <w:spacing w:val="-2"/>
        </w:rPr>
        <w:t>201</w:t>
      </w:r>
      <w:r>
        <w:rPr>
          <w:rFonts w:ascii="Times New Roman" w:hAnsi="Times New Roman" w:eastAsia="Times New Roman" w:cs="Times New Roman"/>
          <w:sz w:val="24"/>
          <w:szCs w:val="24"/>
          <w:spacing w:val="-3"/>
        </w:rPr>
        <w:t>8 </w:t>
      </w:r>
      <w:r>
        <w:rPr>
          <w:rFonts w:ascii="SimSun" w:hAnsi="SimSun" w:eastAsia="SimSun" w:cs="SimSun"/>
          <w:sz w:val="24"/>
          <w:szCs w:val="24"/>
          <w:spacing w:val="-3"/>
        </w:rPr>
        <w:t>年修正）》（内蒙古人大常务委员</w:t>
      </w:r>
    </w:p>
    <w:p>
      <w:pPr>
        <w:spacing w:line="233" w:lineRule="auto"/>
        <w:sectPr>
          <w:headerReference w:type="default" r:id="rId33"/>
          <w:footerReference w:type="default" r:id="rId34"/>
          <w:pgSz w:w="11907" w:h="16839"/>
          <w:pgMar w:top="1422" w:right="1630" w:bottom="1618" w:left="1673" w:header="1033" w:footer="1417" w:gutter="0"/>
        </w:sectPr>
        <w:rPr>
          <w:rFonts w:ascii="SimSun" w:hAnsi="SimSun" w:eastAsia="SimSun" w:cs="SimSun"/>
          <w:sz w:val="24"/>
          <w:szCs w:val="24"/>
        </w:rPr>
      </w:pPr>
    </w:p>
    <w:p>
      <w:pPr>
        <w:ind w:left="37"/>
        <w:spacing w:before="312" w:line="233" w:lineRule="auto"/>
        <w:rPr>
          <w:rFonts w:ascii="SimSun" w:hAnsi="SimSun" w:eastAsia="SimSun" w:cs="SimSun"/>
          <w:sz w:val="24"/>
          <w:szCs w:val="24"/>
        </w:rPr>
      </w:pPr>
      <w:r>
        <w:rPr>
          <w:rFonts w:ascii="SimSun" w:hAnsi="SimSun" w:eastAsia="SimSun" w:cs="SimSun"/>
          <w:sz w:val="24"/>
          <w:szCs w:val="24"/>
          <w:spacing w:val="-9"/>
        </w:rPr>
        <w:t>会</w:t>
      </w:r>
      <w:r>
        <w:rPr>
          <w:rFonts w:ascii="SimSun" w:hAnsi="SimSun" w:eastAsia="SimSun" w:cs="SimSun"/>
          <w:sz w:val="24"/>
          <w:szCs w:val="24"/>
          <w:spacing w:val="4"/>
        </w:rPr>
        <w:t>），</w:t>
      </w:r>
      <w:r>
        <w:rPr>
          <w:rFonts w:ascii="Times New Roman" w:hAnsi="Times New Roman" w:eastAsia="Times New Roman" w:cs="Times New Roman"/>
          <w:sz w:val="24"/>
          <w:szCs w:val="24"/>
          <w:spacing w:val="-9"/>
        </w:rPr>
        <w:t>2018 </w:t>
      </w:r>
      <w:r>
        <w:rPr>
          <w:rFonts w:ascii="SimSun" w:hAnsi="SimSun" w:eastAsia="SimSun" w:cs="SimSun"/>
          <w:sz w:val="24"/>
          <w:szCs w:val="24"/>
          <w:spacing w:val="-9"/>
        </w:rPr>
        <w:t>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9"/>
        </w:rPr>
        <w:t>12</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9"/>
        </w:rPr>
        <w:t>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9"/>
        </w:rPr>
        <w:t>6  </w:t>
      </w:r>
      <w:r>
        <w:rPr>
          <w:rFonts w:ascii="SimSun" w:hAnsi="SimSun" w:eastAsia="SimSun" w:cs="SimSun"/>
          <w:sz w:val="24"/>
          <w:szCs w:val="24"/>
          <w:spacing w:val="-9"/>
        </w:rPr>
        <w:t>日；</w:t>
      </w:r>
    </w:p>
    <w:p>
      <w:pPr>
        <w:ind w:left="43" w:right="26" w:firstLine="480"/>
        <w:spacing w:before="162" w:line="297"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）《内蒙古自治区草原管理条例》（内蒙古人大常务委员会</w:t>
      </w:r>
      <w:r>
        <w:rPr>
          <w:rFonts w:ascii="SimSun" w:hAnsi="SimSun" w:eastAsia="SimSun" w:cs="SimSun"/>
          <w:sz w:val="24"/>
          <w:szCs w:val="24"/>
          <w:spacing w:val="-5"/>
        </w:rPr>
        <w:t>）</w:t>
      </w:r>
      <w:r>
        <w:rPr>
          <w:rFonts w:ascii="SimSun" w:hAnsi="SimSun" w:eastAsia="SimSun" w:cs="SimSun"/>
          <w:sz w:val="24"/>
          <w:szCs w:val="24"/>
          <w:spacing w:val="42"/>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spacing w:val="-6"/>
        </w:rPr>
        <w:t>2005 </w:t>
      </w:r>
      <w:r>
        <w:rPr>
          <w:rFonts w:ascii="SimSun" w:hAnsi="SimSun" w:eastAsia="SimSun" w:cs="SimSun"/>
          <w:sz w:val="24"/>
          <w:szCs w:val="24"/>
          <w:spacing w:val="-6"/>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w:t>
      </w:r>
      <w:r>
        <w:rPr>
          <w:rFonts w:ascii="SimSun" w:hAnsi="SimSun" w:eastAsia="SimSun" w:cs="SimSun"/>
          <w:sz w:val="24"/>
          <w:szCs w:val="24"/>
          <w:spacing w:val="-18"/>
        </w:rPr>
        <w:t>月</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8"/>
        </w:rPr>
        <w:t>1  </w:t>
      </w:r>
      <w:r>
        <w:rPr>
          <w:rFonts w:ascii="SimSun" w:hAnsi="SimSun" w:eastAsia="SimSun" w:cs="SimSun"/>
          <w:sz w:val="24"/>
          <w:szCs w:val="24"/>
          <w:spacing w:val="-18"/>
        </w:rPr>
        <w:t>日；</w:t>
      </w:r>
    </w:p>
    <w:p>
      <w:pPr>
        <w:ind w:left="44" w:right="36" w:firstLine="479"/>
        <w:spacing w:before="161" w:line="28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）《关于印发</w:t>
      </w:r>
      <w:r>
        <w:rPr>
          <w:rFonts w:ascii="Times New Roman" w:hAnsi="Times New Roman" w:eastAsia="Times New Roman" w:cs="Times New Roman"/>
          <w:sz w:val="24"/>
          <w:szCs w:val="24"/>
          <w:spacing w:val="2"/>
        </w:rPr>
        <w:t>&lt;</w:t>
      </w:r>
      <w:r>
        <w:rPr>
          <w:rFonts w:ascii="SimSun" w:hAnsi="SimSun" w:eastAsia="SimSun" w:cs="SimSun"/>
          <w:sz w:val="24"/>
          <w:szCs w:val="24"/>
          <w:spacing w:val="2"/>
        </w:rPr>
        <w:t>内蒙古自治区畜禽养殖主要污染物减排项目建设技</w:t>
      </w:r>
      <w:r>
        <w:rPr>
          <w:rFonts w:ascii="SimSun" w:hAnsi="SimSun" w:eastAsia="SimSun" w:cs="SimSun"/>
          <w:sz w:val="24"/>
          <w:szCs w:val="24"/>
          <w:spacing w:val="1"/>
        </w:rPr>
        <w:t>术指南</w:t>
      </w:r>
      <w:r>
        <w:rPr>
          <w:rFonts w:ascii="SimSun" w:hAnsi="SimSun" w:eastAsia="SimSun" w:cs="SimSun"/>
          <w:sz w:val="24"/>
          <w:szCs w:val="24"/>
          <w:spacing w:val="-2"/>
        </w:rPr>
        <w:t>（试行）</w:t>
      </w:r>
      <w:r>
        <w:rPr>
          <w:rFonts w:ascii="Times New Roman" w:hAnsi="Times New Roman" w:eastAsia="Times New Roman" w:cs="Times New Roman"/>
          <w:sz w:val="24"/>
          <w:szCs w:val="24"/>
          <w:spacing w:val="-2"/>
        </w:rPr>
        <w:t>&gt;</w:t>
      </w:r>
      <w:r>
        <w:rPr>
          <w:rFonts w:ascii="SimSun" w:hAnsi="SimSun" w:eastAsia="SimSun" w:cs="SimSun"/>
          <w:sz w:val="24"/>
          <w:szCs w:val="24"/>
          <w:spacing w:val="-2"/>
        </w:rPr>
        <w:t>的通知》（内环发</w:t>
      </w:r>
      <w:r>
        <w:rPr>
          <w:rFonts w:ascii="Times New Roman" w:hAnsi="Times New Roman" w:eastAsia="Times New Roman" w:cs="Times New Roman"/>
          <w:sz w:val="24"/>
          <w:szCs w:val="24"/>
          <w:spacing w:val="-2"/>
        </w:rPr>
        <w:t>[2014]83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号</w:t>
      </w:r>
      <w:r>
        <w:rPr>
          <w:rFonts w:ascii="SimSun" w:hAnsi="SimSun" w:eastAsia="SimSun" w:cs="SimSun"/>
          <w:sz w:val="24"/>
          <w:szCs w:val="24"/>
          <w:spacing w:val="-9"/>
        </w:rPr>
        <w:t>）；</w:t>
      </w:r>
    </w:p>
    <w:p>
      <w:pPr>
        <w:ind w:left="44" w:right="21" w:firstLine="479"/>
        <w:spacing w:before="184" w:line="28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）《内蒙古自治区人民政府关于贯彻落实大气污染防治行动计划的意见》</w:t>
      </w:r>
      <w:r>
        <w:rPr>
          <w:rFonts w:ascii="SimSun" w:hAnsi="SimSun" w:eastAsia="SimSun" w:cs="SimSun"/>
          <w:sz w:val="24"/>
          <w:szCs w:val="24"/>
          <w:spacing w:val="9"/>
        </w:rPr>
        <w:t xml:space="preserve"> </w:t>
      </w:r>
      <w:r>
        <w:rPr>
          <w:rFonts w:ascii="SimSun" w:hAnsi="SimSun" w:eastAsia="SimSun" w:cs="SimSun"/>
          <w:sz w:val="24"/>
          <w:szCs w:val="24"/>
          <w:spacing w:val="-3"/>
        </w:rPr>
        <w:t>（内政发</w:t>
      </w:r>
      <w:r>
        <w:rPr>
          <w:rFonts w:ascii="Times New Roman" w:hAnsi="Times New Roman" w:eastAsia="Times New Roman" w:cs="Times New Roman"/>
          <w:sz w:val="24"/>
          <w:szCs w:val="24"/>
          <w:spacing w:val="-3"/>
        </w:rPr>
        <w:t>[2013]126</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3"/>
        </w:rPr>
        <w:t>号</w:t>
      </w:r>
      <w:r>
        <w:rPr>
          <w:rFonts w:ascii="SimSun" w:hAnsi="SimSun" w:eastAsia="SimSun" w:cs="SimSun"/>
          <w:sz w:val="24"/>
          <w:szCs w:val="24"/>
          <w:spacing w:val="-9"/>
        </w:rPr>
        <w:t>）；</w:t>
      </w:r>
    </w:p>
    <w:p>
      <w:pPr>
        <w:ind w:left="44" w:right="43" w:firstLine="479"/>
        <w:spacing w:before="185" w:line="29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）内蒙古自治区人民政府办公厅关于印发《</w:t>
      </w:r>
      <w:r>
        <w:rPr>
          <w:rFonts w:ascii="SimSun" w:hAnsi="SimSun" w:eastAsia="SimSun" w:cs="SimSun"/>
          <w:sz w:val="24"/>
          <w:szCs w:val="24"/>
          <w:spacing w:val="-2"/>
        </w:rPr>
        <w:t>内蒙古自治区畜禽规模养殖场</w:t>
      </w:r>
      <w:r>
        <w:rPr>
          <w:rFonts w:ascii="SimSun" w:hAnsi="SimSun" w:eastAsia="SimSun" w:cs="SimSun"/>
          <w:sz w:val="24"/>
          <w:szCs w:val="24"/>
          <w:spacing w:val="-1"/>
        </w:rPr>
        <w:t>（小区）规模标准（试行）》的通知（内政办</w:t>
      </w:r>
      <w:r>
        <w:rPr>
          <w:rFonts w:ascii="SimSun" w:hAnsi="SimSun" w:eastAsia="SimSun" w:cs="SimSun"/>
          <w:sz w:val="24"/>
          <w:szCs w:val="24"/>
          <w:spacing w:val="-2"/>
        </w:rPr>
        <w:t>发〔</w:t>
      </w:r>
      <w:r>
        <w:rPr>
          <w:rFonts w:ascii="Times New Roman" w:hAnsi="Times New Roman" w:eastAsia="Times New Roman" w:cs="Times New Roman"/>
          <w:sz w:val="24"/>
          <w:szCs w:val="24"/>
          <w:spacing w:val="-2"/>
        </w:rPr>
        <w:t>2018</w:t>
      </w:r>
      <w:r>
        <w:rPr>
          <w:rFonts w:ascii="SimSun" w:hAnsi="SimSun" w:eastAsia="SimSun" w:cs="SimSun"/>
          <w:sz w:val="24"/>
          <w:szCs w:val="24"/>
          <w:spacing w:val="-2"/>
        </w:rPr>
        <w:t>〕</w:t>
      </w:r>
      <w:r>
        <w:rPr>
          <w:rFonts w:ascii="Times New Roman" w:hAnsi="Times New Roman" w:eastAsia="Times New Roman" w:cs="Times New Roman"/>
          <w:sz w:val="24"/>
          <w:szCs w:val="24"/>
          <w:spacing w:val="-2"/>
        </w:rPr>
        <w:t>12</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号</w:t>
      </w:r>
      <w:r>
        <w:rPr>
          <w:rFonts w:ascii="SimSun" w:hAnsi="SimSun" w:eastAsia="SimSun" w:cs="SimSun"/>
          <w:sz w:val="24"/>
          <w:szCs w:val="24"/>
          <w:spacing w:val="-12"/>
        </w:rPr>
        <w:t>）；</w:t>
      </w:r>
    </w:p>
    <w:p>
      <w:pPr>
        <w:ind w:left="37" w:right="64" w:firstLine="487"/>
        <w:spacing w:before="164" w:line="296"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）《内蒙古自治区人民政府关于自治区主体功能区规划的实施意见》（内</w:t>
      </w:r>
      <w:r>
        <w:rPr>
          <w:rFonts w:ascii="SimSun" w:hAnsi="SimSun" w:eastAsia="SimSun" w:cs="SimSun"/>
          <w:sz w:val="24"/>
          <w:szCs w:val="24"/>
          <w:spacing w:val="-6"/>
        </w:rPr>
        <w:t>政发〔</w:t>
      </w:r>
      <w:r>
        <w:rPr>
          <w:rFonts w:ascii="Times New Roman" w:hAnsi="Times New Roman" w:eastAsia="Times New Roman" w:cs="Times New Roman"/>
          <w:sz w:val="24"/>
          <w:szCs w:val="24"/>
          <w:spacing w:val="-6"/>
        </w:rPr>
        <w:t>2015</w:t>
      </w:r>
      <w:r>
        <w:rPr>
          <w:rFonts w:ascii="SimSun" w:hAnsi="SimSun" w:eastAsia="SimSun" w:cs="SimSun"/>
          <w:sz w:val="24"/>
          <w:szCs w:val="24"/>
          <w:spacing w:val="-6"/>
        </w:rPr>
        <w:t>〕</w:t>
      </w:r>
      <w:r>
        <w:rPr>
          <w:rFonts w:ascii="Times New Roman" w:hAnsi="Times New Roman" w:eastAsia="Times New Roman" w:cs="Times New Roman"/>
          <w:sz w:val="24"/>
          <w:szCs w:val="24"/>
          <w:spacing w:val="-6"/>
        </w:rPr>
        <w:t>18</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6"/>
        </w:rPr>
        <w:t>号</w:t>
      </w:r>
      <w:r>
        <w:rPr>
          <w:rFonts w:ascii="SimSun" w:hAnsi="SimSun" w:eastAsia="SimSun" w:cs="SimSun"/>
          <w:sz w:val="24"/>
          <w:szCs w:val="24"/>
          <w:spacing w:val="-1"/>
        </w:rPr>
        <w:t>），</w:t>
      </w:r>
      <w:r>
        <w:rPr>
          <w:rFonts w:ascii="Times New Roman" w:hAnsi="Times New Roman" w:eastAsia="Times New Roman" w:cs="Times New Roman"/>
          <w:sz w:val="24"/>
          <w:szCs w:val="24"/>
          <w:spacing w:val="-6"/>
        </w:rPr>
        <w:t>2015 </w:t>
      </w:r>
      <w:r>
        <w:rPr>
          <w:rFonts w:ascii="SimSun" w:hAnsi="SimSun" w:eastAsia="SimSun" w:cs="SimSun"/>
          <w:sz w:val="24"/>
          <w:szCs w:val="24"/>
          <w:spacing w:val="-6"/>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6"/>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6"/>
        </w:rPr>
        <w:t>26  </w:t>
      </w:r>
      <w:r>
        <w:rPr>
          <w:rFonts w:ascii="SimSun" w:hAnsi="SimSun" w:eastAsia="SimSun" w:cs="SimSun"/>
          <w:sz w:val="24"/>
          <w:szCs w:val="24"/>
          <w:spacing w:val="-6"/>
        </w:rPr>
        <w:t>日实施；</w:t>
      </w:r>
    </w:p>
    <w:p>
      <w:pPr>
        <w:ind w:left="47" w:right="41" w:firstLine="477"/>
        <w:spacing w:before="164" w:line="28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）《内蒙古自治区人民政府关于印发自治区国家重</w:t>
      </w:r>
      <w:r>
        <w:rPr>
          <w:rFonts w:ascii="SimSun" w:hAnsi="SimSun" w:eastAsia="SimSun" w:cs="SimSun"/>
          <w:sz w:val="24"/>
          <w:szCs w:val="24"/>
          <w:spacing w:val="-2"/>
        </w:rPr>
        <w:t>点生态功能区产业准入</w:t>
      </w:r>
      <w:r>
        <w:rPr>
          <w:rFonts w:ascii="SimSun" w:hAnsi="SimSun" w:eastAsia="SimSun" w:cs="SimSun"/>
          <w:sz w:val="24"/>
          <w:szCs w:val="24"/>
          <w:spacing w:val="-4"/>
        </w:rPr>
        <w:t>负面清单（试行）的通知》，内政发</w:t>
      </w:r>
      <w:r>
        <w:rPr>
          <w:rFonts w:ascii="Times New Roman" w:hAnsi="Times New Roman" w:eastAsia="Times New Roman" w:cs="Times New Roman"/>
          <w:sz w:val="24"/>
          <w:szCs w:val="24"/>
          <w:spacing w:val="-4"/>
        </w:rPr>
        <w:t>[2018]11 </w:t>
      </w:r>
      <w:r>
        <w:rPr>
          <w:rFonts w:ascii="SimSun" w:hAnsi="SimSun" w:eastAsia="SimSun" w:cs="SimSun"/>
          <w:sz w:val="24"/>
          <w:szCs w:val="24"/>
          <w:spacing w:val="-4"/>
        </w:rPr>
        <w:t>号，</w:t>
      </w:r>
      <w:r>
        <w:rPr>
          <w:rFonts w:ascii="Times New Roman" w:hAnsi="Times New Roman" w:eastAsia="Times New Roman" w:cs="Times New Roman"/>
          <w:sz w:val="24"/>
          <w:szCs w:val="24"/>
          <w:spacing w:val="-4"/>
        </w:rPr>
        <w:t>2018 </w:t>
      </w:r>
      <w:r>
        <w:rPr>
          <w:rFonts w:ascii="SimSun" w:hAnsi="SimSun" w:eastAsia="SimSun" w:cs="SimSun"/>
          <w:sz w:val="24"/>
          <w:szCs w:val="24"/>
          <w:spacing w:val="-4"/>
        </w:rPr>
        <w:t>年</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4"/>
        </w:rPr>
        <w:t>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12  </w:t>
      </w:r>
      <w:r>
        <w:rPr>
          <w:rFonts w:ascii="SimSun" w:hAnsi="SimSun" w:eastAsia="SimSun" w:cs="SimSun"/>
          <w:sz w:val="24"/>
          <w:szCs w:val="24"/>
          <w:spacing w:val="-4"/>
        </w:rPr>
        <w:t>日实施；</w:t>
      </w:r>
    </w:p>
    <w:p>
      <w:pPr>
        <w:ind w:left="42" w:right="29" w:firstLine="482"/>
        <w:spacing w:before="188" w:line="287"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8</w:t>
      </w:r>
      <w:r>
        <w:rPr>
          <w:rFonts w:ascii="SimSun" w:hAnsi="SimSun" w:eastAsia="SimSun" w:cs="SimSun"/>
          <w:sz w:val="24"/>
          <w:szCs w:val="24"/>
          <w:spacing w:val="-1"/>
        </w:rPr>
        <w:t>）《内蒙古自治区人民政府关于贯彻落实土壤污染防治行动计划的实施意</w:t>
      </w:r>
      <w:r>
        <w:rPr>
          <w:rFonts w:ascii="SimSun" w:hAnsi="SimSun" w:eastAsia="SimSun" w:cs="SimSun"/>
          <w:sz w:val="24"/>
          <w:szCs w:val="24"/>
          <w:spacing w:val="-6"/>
        </w:rPr>
        <w:t>见》（内政发</w:t>
      </w:r>
      <w:r>
        <w:rPr>
          <w:rFonts w:ascii="Times New Roman" w:hAnsi="Times New Roman" w:eastAsia="Times New Roman" w:cs="Times New Roman"/>
          <w:sz w:val="24"/>
          <w:szCs w:val="24"/>
          <w:spacing w:val="-6"/>
        </w:rPr>
        <w:t>[2016]127</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6"/>
        </w:rPr>
        <w:t>号</w:t>
      </w:r>
      <w:r>
        <w:rPr>
          <w:rFonts w:ascii="SimSun" w:hAnsi="SimSun" w:eastAsia="SimSun" w:cs="SimSun"/>
          <w:sz w:val="24"/>
          <w:szCs w:val="24"/>
          <w:spacing w:val="4"/>
        </w:rPr>
        <w:t>），</w:t>
      </w:r>
      <w:r>
        <w:rPr>
          <w:rFonts w:ascii="Times New Roman" w:hAnsi="Times New Roman" w:eastAsia="Times New Roman" w:cs="Times New Roman"/>
          <w:sz w:val="24"/>
          <w:szCs w:val="24"/>
          <w:spacing w:val="-6"/>
        </w:rPr>
        <w:t>2016 </w:t>
      </w:r>
      <w:r>
        <w:rPr>
          <w:rFonts w:ascii="SimSun" w:hAnsi="SimSun" w:eastAsia="SimSun" w:cs="SimSun"/>
          <w:sz w:val="24"/>
          <w:szCs w:val="24"/>
          <w:spacing w:val="-6"/>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14  </w:t>
      </w:r>
      <w:r>
        <w:rPr>
          <w:rFonts w:ascii="SimSun" w:hAnsi="SimSun" w:eastAsia="SimSun" w:cs="SimSun"/>
          <w:sz w:val="24"/>
          <w:szCs w:val="24"/>
          <w:spacing w:val="-6"/>
        </w:rPr>
        <w:t>日实施；</w:t>
      </w:r>
    </w:p>
    <w:p>
      <w:pPr>
        <w:ind w:left="38" w:right="29" w:firstLine="486"/>
        <w:spacing w:before="190" w:line="32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9</w:t>
      </w:r>
      <w:r>
        <w:rPr>
          <w:rFonts w:ascii="SimSun" w:hAnsi="SimSun" w:eastAsia="SimSun" w:cs="SimSun"/>
          <w:sz w:val="24"/>
          <w:szCs w:val="24"/>
          <w:spacing w:val="-1"/>
        </w:rPr>
        <w:t>）内蒙古自治区党委办公厅自治区人民政府</w:t>
      </w:r>
      <w:r>
        <w:rPr>
          <w:rFonts w:ascii="SimSun" w:hAnsi="SimSun" w:eastAsia="SimSun" w:cs="SimSun"/>
          <w:sz w:val="24"/>
          <w:szCs w:val="24"/>
          <w:spacing w:val="-2"/>
        </w:rPr>
        <w:t>办公厅印发《贯彻落实〈内蒙</w:t>
      </w:r>
      <w:r>
        <w:rPr>
          <w:rFonts w:ascii="SimSun" w:hAnsi="SimSun" w:eastAsia="SimSun" w:cs="SimSun"/>
          <w:sz w:val="24"/>
          <w:szCs w:val="24"/>
          <w:spacing w:val="2"/>
        </w:rPr>
        <w:t>古自治区党委、自治区人民政府关于加快推进农牧业科技创新持续增强农畜产品</w:t>
      </w:r>
      <w:r>
        <w:rPr>
          <w:rFonts w:ascii="SimSun" w:hAnsi="SimSun" w:eastAsia="SimSun" w:cs="SimSun"/>
          <w:sz w:val="24"/>
          <w:szCs w:val="24"/>
          <w:spacing w:val="4"/>
        </w:rPr>
        <w:t>供给保障能力的实施意见〉重要政策措施分工方案》的通知（内党办发</w:t>
      </w:r>
      <w:r>
        <w:rPr>
          <w:rFonts w:ascii="Times New Roman" w:hAnsi="Times New Roman" w:eastAsia="Times New Roman" w:cs="Times New Roman"/>
          <w:sz w:val="24"/>
          <w:szCs w:val="24"/>
          <w:spacing w:val="4"/>
        </w:rPr>
        <w:t>[2012]10</w:t>
      </w:r>
      <w:r>
        <w:rPr>
          <w:rFonts w:ascii="SimSun" w:hAnsi="SimSun" w:eastAsia="SimSun" w:cs="SimSun"/>
          <w:sz w:val="24"/>
          <w:szCs w:val="24"/>
          <w:spacing w:val="-10"/>
        </w:rPr>
        <w:t>号）。</w:t>
      </w:r>
    </w:p>
    <w:p>
      <w:pPr>
        <w:ind w:left="39" w:right="28" w:firstLine="485"/>
        <w:spacing w:before="180"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10</w:t>
      </w:r>
      <w:r>
        <w:rPr>
          <w:rFonts w:ascii="SimSun" w:hAnsi="SimSun" w:eastAsia="SimSun" w:cs="SimSun"/>
          <w:sz w:val="24"/>
          <w:szCs w:val="24"/>
          <w:spacing w:val="-1"/>
        </w:rPr>
        <w:t>）《关于印发锡林郭勒盟国民经济和社会发展第十四个五年规划和 </w:t>
      </w:r>
      <w:r>
        <w:rPr>
          <w:rFonts w:ascii="Times New Roman" w:hAnsi="Times New Roman" w:eastAsia="Times New Roman" w:cs="Times New Roman"/>
          <w:sz w:val="24"/>
          <w:szCs w:val="24"/>
          <w:spacing w:val="-1"/>
        </w:rPr>
        <w:t>2035</w:t>
      </w:r>
      <w:r>
        <w:rPr>
          <w:rFonts w:ascii="SimSun" w:hAnsi="SimSun" w:eastAsia="SimSun" w:cs="SimSun"/>
          <w:sz w:val="24"/>
          <w:szCs w:val="24"/>
          <w:spacing w:val="-6"/>
        </w:rPr>
        <w:t>年远景目标纲要的通知》；</w:t>
      </w:r>
    </w:p>
    <w:p>
      <w:pPr>
        <w:ind w:left="44" w:right="49" w:firstLine="479"/>
        <w:spacing w:before="183" w:line="28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11</w:t>
      </w:r>
      <w:r>
        <w:rPr>
          <w:rFonts w:ascii="SimSun" w:hAnsi="SimSun" w:eastAsia="SimSun" w:cs="SimSun"/>
          <w:sz w:val="24"/>
          <w:szCs w:val="24"/>
          <w:spacing w:val="2"/>
        </w:rPr>
        <w:t>）《内蒙古自治区人民政府关于贯彻落实土壤污染防治行动计划的实施</w:t>
      </w:r>
      <w:r>
        <w:rPr>
          <w:rFonts w:ascii="SimSun" w:hAnsi="SimSun" w:eastAsia="SimSun" w:cs="SimSun"/>
          <w:sz w:val="24"/>
          <w:szCs w:val="24"/>
          <w:spacing w:val="-3"/>
        </w:rPr>
        <w:t>意见》，内蒙古自治区人民政府，内政发</w:t>
      </w:r>
      <w:r>
        <w:rPr>
          <w:rFonts w:ascii="Times New Roman" w:hAnsi="Times New Roman" w:eastAsia="Times New Roman" w:cs="Times New Roman"/>
          <w:sz w:val="24"/>
          <w:szCs w:val="24"/>
          <w:spacing w:val="-3"/>
        </w:rPr>
        <w:t>[2016]127</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号</w:t>
      </w:r>
      <w:r>
        <w:rPr>
          <w:rFonts w:ascii="SimSun" w:hAnsi="SimSun" w:eastAsia="SimSun" w:cs="SimSun"/>
          <w:sz w:val="24"/>
          <w:szCs w:val="24"/>
          <w:spacing w:val="-4"/>
        </w:rPr>
        <w:t>，</w:t>
      </w:r>
      <w:r>
        <w:rPr>
          <w:rFonts w:ascii="Times New Roman" w:hAnsi="Times New Roman" w:eastAsia="Times New Roman" w:cs="Times New Roman"/>
          <w:sz w:val="24"/>
          <w:szCs w:val="24"/>
          <w:spacing w:val="-4"/>
        </w:rPr>
        <w:t>2016 </w:t>
      </w:r>
      <w:r>
        <w:rPr>
          <w:rFonts w:ascii="SimSun" w:hAnsi="SimSun" w:eastAsia="SimSun" w:cs="SimSun"/>
          <w:sz w:val="24"/>
          <w:szCs w:val="24"/>
          <w:spacing w:val="-4"/>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11 </w:t>
      </w:r>
      <w:r>
        <w:rPr>
          <w:rFonts w:ascii="SimSun" w:hAnsi="SimSun" w:eastAsia="SimSun" w:cs="SimSun"/>
          <w:sz w:val="24"/>
          <w:szCs w:val="24"/>
          <w:spacing w:val="-4"/>
        </w:rPr>
        <w:t>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14  </w:t>
      </w:r>
      <w:r>
        <w:rPr>
          <w:rFonts w:ascii="SimSun" w:hAnsi="SimSun" w:eastAsia="SimSun" w:cs="SimSun"/>
          <w:sz w:val="24"/>
          <w:szCs w:val="24"/>
          <w:spacing w:val="-4"/>
        </w:rPr>
        <w:t>日；</w:t>
      </w:r>
    </w:p>
    <w:p>
      <w:pPr>
        <w:ind w:left="38" w:right="63" w:firstLine="486"/>
        <w:spacing w:before="187" w:line="29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12</w:t>
      </w:r>
      <w:r>
        <w:rPr>
          <w:rFonts w:ascii="SimSun" w:hAnsi="SimSun" w:eastAsia="SimSun" w:cs="SimSun"/>
          <w:sz w:val="24"/>
          <w:szCs w:val="24"/>
          <w:spacing w:val="2"/>
        </w:rPr>
        <w:t>）《内蒙古自治区人民政府关于印发自</w:t>
      </w:r>
      <w:r>
        <w:rPr>
          <w:rFonts w:ascii="SimSun" w:hAnsi="SimSun" w:eastAsia="SimSun" w:cs="SimSun"/>
          <w:sz w:val="24"/>
          <w:szCs w:val="24"/>
          <w:spacing w:val="1"/>
        </w:rPr>
        <w:t>治区国民经济和社会发展第十四</w:t>
      </w:r>
      <w:r>
        <w:rPr>
          <w:rFonts w:ascii="SimSun" w:hAnsi="SimSun" w:eastAsia="SimSun" w:cs="SimSun"/>
          <w:sz w:val="24"/>
          <w:szCs w:val="24"/>
          <w:spacing w:val="-3"/>
        </w:rPr>
        <w:t>个五年规划和</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2035 </w:t>
      </w:r>
      <w:r>
        <w:rPr>
          <w:rFonts w:ascii="SimSun" w:hAnsi="SimSun" w:eastAsia="SimSun" w:cs="SimSun"/>
          <w:sz w:val="24"/>
          <w:szCs w:val="24"/>
          <w:spacing w:val="-3"/>
        </w:rPr>
        <w:t>年远景目标纲要的通知》；</w:t>
      </w:r>
    </w:p>
    <w:p>
      <w:pPr>
        <w:ind w:left="42" w:right="37" w:firstLine="482"/>
        <w:spacing w:before="161" w:line="28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13</w:t>
      </w:r>
      <w:r>
        <w:rPr>
          <w:rFonts w:ascii="SimSun" w:hAnsi="SimSun" w:eastAsia="SimSun" w:cs="SimSun"/>
          <w:sz w:val="24"/>
          <w:szCs w:val="24"/>
          <w:spacing w:val="2"/>
        </w:rPr>
        <w:t>）《锡林郭勒盟行政公署关于实施“三线一单”生态环境分区管控的意</w:t>
      </w:r>
      <w:r>
        <w:rPr>
          <w:rFonts w:ascii="SimSun" w:hAnsi="SimSun" w:eastAsia="SimSun" w:cs="SimSun"/>
          <w:sz w:val="24"/>
          <w:szCs w:val="24"/>
          <w:spacing w:val="-3"/>
        </w:rPr>
        <w:t>见》（锡署发</w:t>
      </w:r>
      <w:r>
        <w:rPr>
          <w:rFonts w:ascii="Times New Roman" w:hAnsi="Times New Roman" w:eastAsia="Times New Roman" w:cs="Times New Roman"/>
          <w:sz w:val="24"/>
          <w:szCs w:val="24"/>
          <w:spacing w:val="-3"/>
        </w:rPr>
        <w:t>[2021]117</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3"/>
        </w:rPr>
        <w:t>号</w:t>
      </w:r>
      <w:r>
        <w:rPr>
          <w:rFonts w:ascii="SimSun" w:hAnsi="SimSun" w:eastAsia="SimSun" w:cs="SimSun"/>
          <w:sz w:val="24"/>
          <w:szCs w:val="24"/>
          <w:spacing w:val="-7"/>
        </w:rPr>
        <w:t>）；</w:t>
      </w:r>
    </w:p>
    <w:p>
      <w:pPr>
        <w:ind w:left="42" w:right="37" w:firstLine="482"/>
        <w:spacing w:before="187" w:line="289" w:lineRule="auto"/>
        <w:rPr>
          <w:rFonts w:ascii="SimSun" w:hAnsi="SimSun" w:eastAsia="SimSun" w:cs="SimSun"/>
          <w:sz w:val="24"/>
          <w:szCs w:val="24"/>
        </w:rPr>
      </w:pPr>
      <w:r>
        <w:pict>
          <v:shape id="_x0000_s64" style="position:absolute;margin-left:1.68601pt;margin-top:52.4632pt;mso-position-vertical-relative:text;mso-position-horizontal-relative:text;width:425.7pt;height:0.6pt;z-index:251678720;" filled="false" strokecolor="#808080" strokeweight="0.50pt" coordsize="8514,12" coordorigin="0,0" path="m5,5l8508,6e">
            <v:stroke endcap="round" miterlimit="10"/>
          </v:shape>
        </w:pict>
      </w:r>
      <w:r>
        <w:rPr>
          <w:rFonts w:ascii="SimSun" w:hAnsi="SimSun" w:eastAsia="SimSun" w:cs="SimSun"/>
          <w:sz w:val="24"/>
          <w:szCs w:val="24"/>
          <w:spacing w:val="2"/>
        </w:rPr>
        <w:t>（</w:t>
      </w:r>
      <w:r>
        <w:rPr>
          <w:rFonts w:ascii="Times New Roman" w:hAnsi="Times New Roman" w:eastAsia="Times New Roman" w:cs="Times New Roman"/>
          <w:sz w:val="24"/>
          <w:szCs w:val="24"/>
          <w:spacing w:val="2"/>
        </w:rPr>
        <w:t>14</w:t>
      </w:r>
      <w:r>
        <w:rPr>
          <w:rFonts w:ascii="SimSun" w:hAnsi="SimSun" w:eastAsia="SimSun" w:cs="SimSun"/>
          <w:sz w:val="24"/>
          <w:szCs w:val="24"/>
          <w:spacing w:val="2"/>
        </w:rPr>
        <w:t>）《锡林郭勒盟生态环境保护委员会办公室关于印发锡林郭勒盟“三线</w:t>
      </w:r>
      <w:r>
        <w:rPr>
          <w:rFonts w:ascii="SimSun" w:hAnsi="SimSun" w:eastAsia="SimSun" w:cs="SimSun"/>
          <w:sz w:val="24"/>
          <w:szCs w:val="24"/>
          <w:spacing w:val="2"/>
        </w:rPr>
        <w:t>一单”生态环境分区管控意见修改单和锡林郭勒盟生态环境准入清单的通知》，</w:t>
      </w:r>
    </w:p>
    <w:p>
      <w:pPr>
        <w:spacing w:line="289" w:lineRule="auto"/>
        <w:sectPr>
          <w:headerReference w:type="default" r:id="rId15"/>
          <w:footerReference w:type="default" r:id="rId35"/>
          <w:pgSz w:w="11907" w:h="16839"/>
          <w:pgMar w:top="1422" w:right="1670" w:bottom="1618" w:left="1673" w:header="1033" w:footer="1415" w:gutter="0"/>
        </w:sectPr>
        <w:rPr>
          <w:rFonts w:ascii="SimSun" w:hAnsi="SimSun" w:eastAsia="SimSun" w:cs="SimSun"/>
          <w:sz w:val="24"/>
          <w:szCs w:val="24"/>
        </w:rPr>
      </w:pPr>
    </w:p>
    <w:p>
      <w:pPr>
        <w:ind w:left="37"/>
        <w:spacing w:before="313" w:line="215" w:lineRule="auto"/>
        <w:rPr>
          <w:rFonts w:ascii="SimSun" w:hAnsi="SimSun" w:eastAsia="SimSun" w:cs="SimSun"/>
          <w:sz w:val="24"/>
          <w:szCs w:val="24"/>
        </w:rPr>
      </w:pPr>
      <w:r>
        <w:rPr>
          <w:rFonts w:ascii="SimSun" w:hAnsi="SimSun" w:eastAsia="SimSun" w:cs="SimSun"/>
          <w:sz w:val="24"/>
          <w:szCs w:val="24"/>
          <w:spacing w:val="-2"/>
        </w:rPr>
        <w:t>锡环委办发</w:t>
      </w:r>
      <w:r>
        <w:rPr>
          <w:rFonts w:ascii="Times New Roman" w:hAnsi="Times New Roman" w:eastAsia="Times New Roman" w:cs="Times New Roman"/>
          <w:sz w:val="24"/>
          <w:szCs w:val="24"/>
          <w:spacing w:val="-2"/>
        </w:rPr>
        <w:t>[2024]1</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2"/>
        </w:rPr>
        <w:t>号；</w:t>
      </w:r>
    </w:p>
    <w:p>
      <w:pPr>
        <w:ind w:left="524"/>
        <w:spacing w:before="186"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15</w:t>
      </w:r>
      <w:r>
        <w:rPr>
          <w:rFonts w:ascii="SimSun" w:hAnsi="SimSun" w:eastAsia="SimSun" w:cs="SimSun"/>
          <w:sz w:val="24"/>
          <w:szCs w:val="24"/>
          <w:spacing w:val="-2"/>
        </w:rPr>
        <w:t>）《内蒙古自治区</w:t>
      </w:r>
      <w:r>
        <w:rPr>
          <w:rFonts w:ascii="Times New Roman" w:hAnsi="Times New Roman" w:eastAsia="Times New Roman" w:cs="Times New Roman"/>
          <w:sz w:val="24"/>
          <w:szCs w:val="24"/>
          <w:spacing w:val="-2"/>
        </w:rPr>
        <w:t>“</w:t>
      </w:r>
      <w:r>
        <w:rPr>
          <w:rFonts w:ascii="SimSun" w:hAnsi="SimSun" w:eastAsia="SimSun" w:cs="SimSun"/>
          <w:sz w:val="24"/>
          <w:szCs w:val="24"/>
          <w:spacing w:val="-2"/>
        </w:rPr>
        <w:t>十四五</w:t>
      </w:r>
      <w:r>
        <w:rPr>
          <w:rFonts w:ascii="Times New Roman" w:hAnsi="Times New Roman" w:eastAsia="Times New Roman" w:cs="Times New Roman"/>
          <w:sz w:val="24"/>
          <w:szCs w:val="24"/>
          <w:spacing w:val="-2"/>
        </w:rPr>
        <w:t>”</w:t>
      </w:r>
      <w:r>
        <w:rPr>
          <w:rFonts w:ascii="SimSun" w:hAnsi="SimSun" w:eastAsia="SimSun" w:cs="SimSun"/>
          <w:sz w:val="24"/>
          <w:szCs w:val="24"/>
          <w:spacing w:val="-2"/>
        </w:rPr>
        <w:t>生态环</w:t>
      </w:r>
      <w:r>
        <w:rPr>
          <w:rFonts w:ascii="SimSun" w:hAnsi="SimSun" w:eastAsia="SimSun" w:cs="SimSun"/>
          <w:sz w:val="24"/>
          <w:szCs w:val="24"/>
          <w:spacing w:val="-3"/>
        </w:rPr>
        <w:t>境保护规划》；</w:t>
      </w:r>
    </w:p>
    <w:p>
      <w:pPr>
        <w:ind w:left="524"/>
        <w:spacing w:before="164"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16</w:t>
      </w:r>
      <w:r>
        <w:rPr>
          <w:rFonts w:ascii="SimSun" w:hAnsi="SimSun" w:eastAsia="SimSun" w:cs="SimSun"/>
          <w:sz w:val="24"/>
          <w:szCs w:val="24"/>
          <w:spacing w:val="-2"/>
        </w:rPr>
        <w:t>）《内蒙古自治区国民经济和社会发展第十四个五</w:t>
      </w:r>
      <w:r>
        <w:rPr>
          <w:rFonts w:ascii="SimSun" w:hAnsi="SimSun" w:eastAsia="SimSun" w:cs="SimSun"/>
          <w:sz w:val="24"/>
          <w:szCs w:val="24"/>
          <w:spacing w:val="-3"/>
        </w:rPr>
        <w:t>年规划纲要》；</w:t>
      </w:r>
    </w:p>
    <w:p>
      <w:pPr>
        <w:ind w:left="524"/>
        <w:spacing w:before="162"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17</w:t>
      </w:r>
      <w:r>
        <w:rPr>
          <w:rFonts w:ascii="SimSun" w:hAnsi="SimSun" w:eastAsia="SimSun" w:cs="SimSun"/>
          <w:sz w:val="24"/>
          <w:szCs w:val="24"/>
          <w:spacing w:val="-2"/>
        </w:rPr>
        <w:t>）《锡林郭勒盟</w:t>
      </w:r>
      <w:r>
        <w:rPr>
          <w:rFonts w:ascii="Times New Roman" w:hAnsi="Times New Roman" w:eastAsia="Times New Roman" w:cs="Times New Roman"/>
          <w:sz w:val="24"/>
          <w:szCs w:val="24"/>
          <w:spacing w:val="-2"/>
        </w:rPr>
        <w:t>“</w:t>
      </w:r>
      <w:r>
        <w:rPr>
          <w:rFonts w:ascii="SimSun" w:hAnsi="SimSun" w:eastAsia="SimSun" w:cs="SimSun"/>
          <w:sz w:val="24"/>
          <w:szCs w:val="24"/>
          <w:spacing w:val="-2"/>
        </w:rPr>
        <w:t>十四五</w:t>
      </w:r>
      <w:r>
        <w:rPr>
          <w:rFonts w:ascii="Times New Roman" w:hAnsi="Times New Roman" w:eastAsia="Times New Roman" w:cs="Times New Roman"/>
          <w:sz w:val="24"/>
          <w:szCs w:val="24"/>
          <w:spacing w:val="-2"/>
        </w:rPr>
        <w:t>”</w:t>
      </w:r>
      <w:r>
        <w:rPr>
          <w:rFonts w:ascii="SimSun" w:hAnsi="SimSun" w:eastAsia="SimSun" w:cs="SimSun"/>
          <w:sz w:val="24"/>
          <w:szCs w:val="24"/>
          <w:spacing w:val="-2"/>
        </w:rPr>
        <w:t>生态环境保护规划》。</w:t>
      </w:r>
    </w:p>
    <w:p>
      <w:pPr>
        <w:pStyle w:val="BodyText"/>
        <w:spacing w:line="347" w:lineRule="auto"/>
        <w:rPr/>
      </w:pPr>
      <w:r/>
    </w:p>
    <w:p>
      <w:pPr>
        <w:ind w:left="3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2.1.4 </w:t>
      </w:r>
      <w:r>
        <w:rPr>
          <w:rFonts w:ascii="SimSun" w:hAnsi="SimSun" w:eastAsia="SimSun" w:cs="SimSun"/>
          <w:sz w:val="24"/>
          <w:szCs w:val="24"/>
          <w:b/>
          <w:bCs/>
          <w:spacing w:val="-2"/>
        </w:rPr>
        <w:t>相关技术规范</w:t>
      </w:r>
    </w:p>
    <w:p>
      <w:pPr>
        <w:pStyle w:val="BodyText"/>
        <w:spacing w:line="341" w:lineRule="auto"/>
        <w:rPr/>
      </w:pPr>
      <w:r/>
    </w:p>
    <w:p>
      <w:pPr>
        <w:ind w:left="524"/>
        <w:spacing w:before="78"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）《建设项目环境影响评价技术导则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总纲》（</w:t>
      </w:r>
      <w:r>
        <w:rPr>
          <w:rFonts w:ascii="Times New Roman" w:hAnsi="Times New Roman" w:eastAsia="Times New Roman" w:cs="Times New Roman"/>
          <w:sz w:val="24"/>
          <w:szCs w:val="24"/>
          <w:spacing w:val="-1"/>
        </w:rPr>
        <w:t>HJ2.1-2016</w:t>
      </w:r>
      <w:r>
        <w:rPr>
          <w:rFonts w:ascii="SimSun" w:hAnsi="SimSun" w:eastAsia="SimSun" w:cs="SimSun"/>
          <w:sz w:val="24"/>
          <w:szCs w:val="24"/>
          <w:spacing w:val="-5"/>
        </w:rPr>
        <w:t>）；</w:t>
      </w:r>
    </w:p>
    <w:p>
      <w:pPr>
        <w:ind w:left="524"/>
        <w:spacing w:before="167"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）《环境影响评价技术导则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大气环境》（</w:t>
      </w:r>
      <w:r>
        <w:rPr>
          <w:rFonts w:ascii="Times New Roman" w:hAnsi="Times New Roman" w:eastAsia="Times New Roman" w:cs="Times New Roman"/>
          <w:sz w:val="24"/>
          <w:szCs w:val="24"/>
          <w:spacing w:val="-1"/>
        </w:rPr>
        <w:t>HJ2.2-2018</w:t>
      </w:r>
      <w:r>
        <w:rPr>
          <w:rFonts w:ascii="SimSun" w:hAnsi="SimSun" w:eastAsia="SimSun" w:cs="SimSun"/>
          <w:sz w:val="24"/>
          <w:szCs w:val="24"/>
          <w:spacing w:val="-6"/>
        </w:rPr>
        <w:t>）；</w:t>
      </w:r>
    </w:p>
    <w:p>
      <w:pPr>
        <w:ind w:left="524"/>
        <w:spacing w:before="164"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）《环境影响评价技术导则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地表水环境》（</w:t>
      </w:r>
      <w:r>
        <w:rPr>
          <w:rFonts w:ascii="Times New Roman" w:hAnsi="Times New Roman" w:eastAsia="Times New Roman" w:cs="Times New Roman"/>
          <w:sz w:val="24"/>
          <w:szCs w:val="24"/>
          <w:spacing w:val="-1"/>
        </w:rPr>
        <w:t>HJ2.3-2018</w:t>
      </w:r>
      <w:r>
        <w:rPr>
          <w:rFonts w:ascii="SimSun" w:hAnsi="SimSun" w:eastAsia="SimSun" w:cs="SimSun"/>
          <w:sz w:val="24"/>
          <w:szCs w:val="24"/>
          <w:spacing w:val="-6"/>
        </w:rPr>
        <w:t>）；</w:t>
      </w:r>
    </w:p>
    <w:p>
      <w:pPr>
        <w:ind w:left="524"/>
        <w:spacing w:before="166"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）《环境影响评价技术导则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地下水环境》（</w:t>
      </w:r>
      <w:r>
        <w:rPr>
          <w:rFonts w:ascii="Times New Roman" w:hAnsi="Times New Roman" w:eastAsia="Times New Roman" w:cs="Times New Roman"/>
          <w:sz w:val="24"/>
          <w:szCs w:val="24"/>
          <w:spacing w:val="-1"/>
        </w:rPr>
        <w:t>HJ610-2016</w:t>
      </w:r>
      <w:r>
        <w:rPr>
          <w:rFonts w:ascii="SimSun" w:hAnsi="SimSun" w:eastAsia="SimSun" w:cs="SimSun"/>
          <w:sz w:val="24"/>
          <w:szCs w:val="24"/>
          <w:spacing w:val="-6"/>
        </w:rPr>
        <w:t>）；</w:t>
      </w:r>
    </w:p>
    <w:p>
      <w:pPr>
        <w:ind w:left="524"/>
        <w:spacing w:before="164"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）《环境影响评价技术导则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声环境》（</w:t>
      </w:r>
      <w:r>
        <w:rPr>
          <w:rFonts w:ascii="Times New Roman" w:hAnsi="Times New Roman" w:eastAsia="Times New Roman" w:cs="Times New Roman"/>
          <w:sz w:val="24"/>
          <w:szCs w:val="24"/>
          <w:spacing w:val="-1"/>
        </w:rPr>
        <w:t>HJ2.4-2021</w:t>
      </w:r>
      <w:r>
        <w:rPr>
          <w:rFonts w:ascii="SimSun" w:hAnsi="SimSun" w:eastAsia="SimSun" w:cs="SimSun"/>
          <w:sz w:val="24"/>
          <w:szCs w:val="24"/>
          <w:spacing w:val="-6"/>
        </w:rPr>
        <w:t>）；</w:t>
      </w:r>
    </w:p>
    <w:p>
      <w:pPr>
        <w:ind w:left="524"/>
        <w:spacing w:before="167"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6</w:t>
      </w:r>
      <w:r>
        <w:rPr>
          <w:rFonts w:ascii="SimSun" w:hAnsi="SimSun" w:eastAsia="SimSun" w:cs="SimSun"/>
          <w:sz w:val="24"/>
          <w:szCs w:val="24"/>
          <w:spacing w:val="-1"/>
        </w:rPr>
        <w:t>）《环境污染影响评价技术导则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生态影响》（</w:t>
      </w:r>
      <w:r>
        <w:rPr>
          <w:rFonts w:ascii="Times New Roman" w:hAnsi="Times New Roman" w:eastAsia="Times New Roman" w:cs="Times New Roman"/>
          <w:sz w:val="24"/>
          <w:szCs w:val="24"/>
          <w:spacing w:val="-1"/>
        </w:rPr>
        <w:t>HJ19—2022</w:t>
      </w:r>
      <w:r>
        <w:rPr>
          <w:rFonts w:ascii="SimSun" w:hAnsi="SimSun" w:eastAsia="SimSun" w:cs="SimSun"/>
          <w:sz w:val="24"/>
          <w:szCs w:val="24"/>
          <w:spacing w:val="-5"/>
        </w:rPr>
        <w:t>）；</w:t>
      </w:r>
    </w:p>
    <w:p>
      <w:pPr>
        <w:ind w:left="524"/>
        <w:spacing w:before="164"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）《建设项目环境风险评价技术导则》（</w:t>
      </w:r>
      <w:r>
        <w:rPr>
          <w:rFonts w:ascii="Times New Roman" w:hAnsi="Times New Roman" w:eastAsia="Times New Roman" w:cs="Times New Roman"/>
          <w:sz w:val="24"/>
          <w:szCs w:val="24"/>
          <w:spacing w:val="-1"/>
        </w:rPr>
        <w:t>HJ169—2018</w:t>
      </w:r>
      <w:r>
        <w:rPr>
          <w:rFonts w:ascii="SimSun" w:hAnsi="SimSun" w:eastAsia="SimSun" w:cs="SimSun"/>
          <w:sz w:val="24"/>
          <w:szCs w:val="24"/>
          <w:spacing w:val="-6"/>
        </w:rPr>
        <w:t>）；</w:t>
      </w:r>
    </w:p>
    <w:p>
      <w:pPr>
        <w:ind w:left="524"/>
        <w:spacing w:before="166" w:line="232"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8</w:t>
      </w:r>
      <w:r>
        <w:rPr>
          <w:rFonts w:ascii="SimSun" w:hAnsi="SimSun" w:eastAsia="SimSun" w:cs="SimSun"/>
          <w:sz w:val="24"/>
          <w:szCs w:val="24"/>
        </w:rPr>
        <w:t>）《环境影响评价技术导则</w:t>
      </w:r>
      <w:r>
        <w:rPr>
          <w:rFonts w:ascii="Times New Roman" w:hAnsi="Times New Roman" w:eastAsia="Times New Roman" w:cs="Times New Roman"/>
          <w:sz w:val="24"/>
          <w:szCs w:val="24"/>
        </w:rPr>
        <w:t>-</w:t>
      </w:r>
      <w:r>
        <w:rPr>
          <w:rFonts w:ascii="SimSun" w:hAnsi="SimSun" w:eastAsia="SimSun" w:cs="SimSun"/>
          <w:sz w:val="24"/>
          <w:szCs w:val="24"/>
        </w:rPr>
        <w:t>土壤环境（</w:t>
      </w:r>
      <w:r>
        <w:rPr>
          <w:rFonts w:ascii="SimSun" w:hAnsi="SimSun" w:eastAsia="SimSun" w:cs="SimSun"/>
          <w:sz w:val="24"/>
          <w:szCs w:val="24"/>
          <w:spacing w:val="-1"/>
        </w:rPr>
        <w:t>试行）》（</w:t>
      </w:r>
      <w:r>
        <w:rPr>
          <w:rFonts w:ascii="Times New Roman" w:hAnsi="Times New Roman" w:eastAsia="Times New Roman" w:cs="Times New Roman"/>
          <w:sz w:val="24"/>
          <w:szCs w:val="24"/>
          <w:spacing w:val="-1"/>
        </w:rPr>
        <w:t>HJ964-2018</w:t>
      </w:r>
      <w:r>
        <w:rPr>
          <w:rFonts w:ascii="SimSun" w:hAnsi="SimSun" w:eastAsia="SimSun" w:cs="SimSun"/>
          <w:sz w:val="24"/>
          <w:szCs w:val="24"/>
          <w:spacing w:val="-14"/>
        </w:rPr>
        <w:t>）；</w:t>
      </w:r>
    </w:p>
    <w:p>
      <w:pPr>
        <w:ind w:left="524"/>
        <w:spacing w:before="165"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9</w:t>
      </w:r>
      <w:r>
        <w:rPr>
          <w:rFonts w:ascii="SimSun" w:hAnsi="SimSun" w:eastAsia="SimSun" w:cs="SimSun"/>
          <w:sz w:val="24"/>
          <w:szCs w:val="24"/>
          <w:spacing w:val="-1"/>
        </w:rPr>
        <w:t>）《畜禽养殖业污染防治技术规范》（</w:t>
      </w:r>
      <w:r>
        <w:rPr>
          <w:rFonts w:ascii="Times New Roman" w:hAnsi="Times New Roman" w:eastAsia="Times New Roman" w:cs="Times New Roman"/>
          <w:sz w:val="24"/>
          <w:szCs w:val="24"/>
          <w:spacing w:val="-1"/>
        </w:rPr>
        <w:t>HJ/T81-2001</w:t>
      </w:r>
      <w:r>
        <w:rPr>
          <w:rFonts w:ascii="SimSun" w:hAnsi="SimSun" w:eastAsia="SimSun" w:cs="SimSun"/>
          <w:sz w:val="24"/>
          <w:szCs w:val="24"/>
          <w:spacing w:val="-8"/>
        </w:rPr>
        <w:t>）；</w:t>
      </w:r>
    </w:p>
    <w:p>
      <w:pPr>
        <w:ind w:left="524"/>
        <w:spacing w:before="165"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10</w:t>
      </w:r>
      <w:r>
        <w:rPr>
          <w:rFonts w:ascii="SimSun" w:hAnsi="SimSun" w:eastAsia="SimSun" w:cs="SimSun"/>
          <w:sz w:val="24"/>
          <w:szCs w:val="24"/>
          <w:spacing w:val="-1"/>
        </w:rPr>
        <w:t>）《畜禽养殖产地环境评价规范》（</w:t>
      </w:r>
      <w:r>
        <w:rPr>
          <w:rFonts w:ascii="Times New Roman" w:hAnsi="Times New Roman" w:eastAsia="Times New Roman" w:cs="Times New Roman"/>
          <w:sz w:val="24"/>
          <w:szCs w:val="24"/>
          <w:spacing w:val="-1"/>
        </w:rPr>
        <w:t>HJ568-2010</w:t>
      </w:r>
      <w:r>
        <w:rPr>
          <w:rFonts w:ascii="SimSun" w:hAnsi="SimSun" w:eastAsia="SimSun" w:cs="SimSun"/>
          <w:sz w:val="24"/>
          <w:szCs w:val="24"/>
          <w:spacing w:val="-8"/>
        </w:rPr>
        <w:t>）；</w:t>
      </w:r>
    </w:p>
    <w:p>
      <w:pPr>
        <w:ind w:left="524"/>
        <w:spacing w:before="164"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11</w:t>
      </w:r>
      <w:r>
        <w:rPr>
          <w:rFonts w:ascii="SimSun" w:hAnsi="SimSun" w:eastAsia="SimSun" w:cs="SimSun"/>
          <w:sz w:val="24"/>
          <w:szCs w:val="24"/>
          <w:spacing w:val="-1"/>
        </w:rPr>
        <w:t>）《畜禽养殖业污染治理工程技术规范》（</w:t>
      </w:r>
      <w:r>
        <w:rPr>
          <w:rFonts w:ascii="Times New Roman" w:hAnsi="Times New Roman" w:eastAsia="Times New Roman" w:cs="Times New Roman"/>
          <w:sz w:val="24"/>
          <w:szCs w:val="24"/>
          <w:spacing w:val="-1"/>
        </w:rPr>
        <w:t>HJ497-2009</w:t>
      </w:r>
      <w:r>
        <w:rPr>
          <w:rFonts w:ascii="SimSun" w:hAnsi="SimSun" w:eastAsia="SimSun" w:cs="SimSun"/>
          <w:sz w:val="24"/>
          <w:szCs w:val="24"/>
          <w:spacing w:val="-1"/>
        </w:rPr>
        <w:t>）</w:t>
      </w:r>
    </w:p>
    <w:p>
      <w:pPr>
        <w:ind w:left="524"/>
        <w:spacing w:before="165"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12</w:t>
      </w:r>
      <w:r>
        <w:rPr>
          <w:rFonts w:ascii="SimSun" w:hAnsi="SimSun" w:eastAsia="SimSun" w:cs="SimSun"/>
          <w:sz w:val="24"/>
          <w:szCs w:val="24"/>
          <w:spacing w:val="-1"/>
        </w:rPr>
        <w:t>）《畜禽粪便无害化处理技术规范》（</w:t>
      </w:r>
      <w:r>
        <w:rPr>
          <w:rFonts w:ascii="Times New Roman" w:hAnsi="Times New Roman" w:eastAsia="Times New Roman" w:cs="Times New Roman"/>
          <w:sz w:val="24"/>
          <w:szCs w:val="24"/>
          <w:spacing w:val="-1"/>
        </w:rPr>
        <w:t>NY/T1168.2006</w:t>
      </w:r>
      <w:r>
        <w:rPr>
          <w:rFonts w:ascii="SimSun" w:hAnsi="SimSun" w:eastAsia="SimSun" w:cs="SimSun"/>
          <w:sz w:val="24"/>
          <w:szCs w:val="24"/>
          <w:spacing w:val="-11"/>
        </w:rPr>
        <w:t>）；</w:t>
      </w:r>
    </w:p>
    <w:p>
      <w:pPr>
        <w:ind w:left="524"/>
        <w:spacing w:before="163" w:line="233"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13</w:t>
      </w:r>
      <w:r>
        <w:rPr>
          <w:rFonts w:ascii="SimSun" w:hAnsi="SimSun" w:eastAsia="SimSun" w:cs="SimSun"/>
          <w:sz w:val="24"/>
          <w:szCs w:val="24"/>
        </w:rPr>
        <w:t>）《排污单位自行监测技术指南  </w:t>
      </w:r>
      <w:r>
        <w:rPr>
          <w:rFonts w:ascii="SimSun" w:hAnsi="SimSun" w:eastAsia="SimSun" w:cs="SimSun"/>
          <w:sz w:val="24"/>
          <w:szCs w:val="24"/>
          <w:spacing w:val="-1"/>
        </w:rPr>
        <w:t>总则》（</w:t>
      </w:r>
      <w:r>
        <w:rPr>
          <w:rFonts w:ascii="Times New Roman" w:hAnsi="Times New Roman" w:eastAsia="Times New Roman" w:cs="Times New Roman"/>
          <w:sz w:val="24"/>
          <w:szCs w:val="24"/>
          <w:spacing w:val="-1"/>
        </w:rPr>
        <w:t>HJ819-2017</w:t>
      </w:r>
      <w:r>
        <w:rPr>
          <w:rFonts w:ascii="SimSun" w:hAnsi="SimSun" w:eastAsia="SimSun" w:cs="SimSun"/>
          <w:sz w:val="24"/>
          <w:szCs w:val="24"/>
          <w:spacing w:val="-14"/>
        </w:rPr>
        <w:t>）；</w:t>
      </w:r>
    </w:p>
    <w:p>
      <w:pPr>
        <w:spacing w:before="165" w:line="233" w:lineRule="auto"/>
        <w:jc w:val="right"/>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14</w:t>
      </w:r>
      <w:r>
        <w:rPr>
          <w:rFonts w:ascii="SimSun" w:hAnsi="SimSun" w:eastAsia="SimSun" w:cs="SimSun"/>
          <w:sz w:val="24"/>
          <w:szCs w:val="24"/>
          <w:spacing w:val="-1"/>
        </w:rPr>
        <w:t>）《排污许可证申请与核发技术规范</w:t>
      </w:r>
      <w:r>
        <w:rPr>
          <w:rFonts w:ascii="SimSun" w:hAnsi="SimSun" w:eastAsia="SimSun" w:cs="SimSun"/>
          <w:sz w:val="24"/>
          <w:szCs w:val="24"/>
          <w:spacing w:val="39"/>
        </w:rPr>
        <w:t xml:space="preserve"> </w:t>
      </w:r>
      <w:r>
        <w:rPr>
          <w:rFonts w:ascii="SimSun" w:hAnsi="SimSun" w:eastAsia="SimSun" w:cs="SimSun"/>
          <w:sz w:val="24"/>
          <w:szCs w:val="24"/>
          <w:spacing w:val="-1"/>
        </w:rPr>
        <w:t>畜</w:t>
      </w:r>
      <w:r>
        <w:rPr>
          <w:rFonts w:ascii="SimSun" w:hAnsi="SimSun" w:eastAsia="SimSun" w:cs="SimSun"/>
          <w:sz w:val="24"/>
          <w:szCs w:val="24"/>
          <w:spacing w:val="-2"/>
        </w:rPr>
        <w:t>禽养殖行业》（</w:t>
      </w:r>
      <w:r>
        <w:rPr>
          <w:rFonts w:ascii="Times New Roman" w:hAnsi="Times New Roman" w:eastAsia="Times New Roman" w:cs="Times New Roman"/>
          <w:sz w:val="24"/>
          <w:szCs w:val="24"/>
          <w:spacing w:val="-2"/>
        </w:rPr>
        <w:t>HJ1029-2019</w:t>
      </w:r>
      <w:r>
        <w:rPr>
          <w:rFonts w:ascii="SimSun" w:hAnsi="SimSun" w:eastAsia="SimSun" w:cs="SimSun"/>
          <w:sz w:val="24"/>
          <w:szCs w:val="24"/>
          <w:spacing w:val="-28"/>
        </w:rPr>
        <w:t>）；</w:t>
      </w:r>
    </w:p>
    <w:p>
      <w:pPr>
        <w:ind w:left="524"/>
        <w:spacing w:before="165"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15</w:t>
      </w:r>
      <w:r>
        <w:rPr>
          <w:rFonts w:ascii="SimSun" w:hAnsi="SimSun" w:eastAsia="SimSun" w:cs="SimSun"/>
          <w:sz w:val="24"/>
          <w:szCs w:val="24"/>
          <w:spacing w:val="-1"/>
        </w:rPr>
        <w:t>）《畜禽养殖场地环境评价规范》（</w:t>
      </w:r>
      <w:r>
        <w:rPr>
          <w:rFonts w:ascii="Times New Roman" w:hAnsi="Times New Roman" w:eastAsia="Times New Roman" w:cs="Times New Roman"/>
          <w:sz w:val="24"/>
          <w:szCs w:val="24"/>
          <w:spacing w:val="-1"/>
        </w:rPr>
        <w:t>HJ568-2010</w:t>
      </w:r>
      <w:r>
        <w:rPr>
          <w:rFonts w:ascii="SimSun" w:hAnsi="SimSun" w:eastAsia="SimSun" w:cs="SimSun"/>
          <w:sz w:val="24"/>
          <w:szCs w:val="24"/>
          <w:spacing w:val="-8"/>
        </w:rPr>
        <w:t>）；</w:t>
      </w:r>
    </w:p>
    <w:p>
      <w:pPr>
        <w:spacing w:before="163" w:line="233" w:lineRule="auto"/>
        <w:jc w:val="right"/>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16</w:t>
      </w:r>
      <w:r>
        <w:rPr>
          <w:rFonts w:ascii="SimSun" w:hAnsi="SimSun" w:eastAsia="SimSun" w:cs="SimSun"/>
          <w:sz w:val="24"/>
          <w:szCs w:val="24"/>
          <w:spacing w:val="-10"/>
        </w:rPr>
        <w:t>）《规模畜禽养殖场污染防治最佳可行技术指南（</w:t>
      </w:r>
      <w:r>
        <w:rPr>
          <w:rFonts w:ascii="SimSun" w:hAnsi="SimSun" w:eastAsia="SimSun" w:cs="SimSun"/>
          <w:sz w:val="24"/>
          <w:szCs w:val="24"/>
          <w:spacing w:val="-11"/>
        </w:rPr>
        <w:t>试行）》（</w:t>
      </w:r>
      <w:r>
        <w:rPr>
          <w:rFonts w:ascii="Times New Roman" w:hAnsi="Times New Roman" w:eastAsia="Times New Roman" w:cs="Times New Roman"/>
          <w:sz w:val="24"/>
          <w:szCs w:val="24"/>
          <w:spacing w:val="-11"/>
        </w:rPr>
        <w:t>HJ-BAT-10</w:t>
      </w:r>
      <w:r>
        <w:rPr>
          <w:rFonts w:ascii="SimSun" w:hAnsi="SimSun" w:eastAsia="SimSun" w:cs="SimSun"/>
          <w:sz w:val="24"/>
          <w:szCs w:val="24"/>
          <w:spacing w:val="-56"/>
        </w:rPr>
        <w:t>）；</w:t>
      </w:r>
    </w:p>
    <w:p>
      <w:pPr>
        <w:ind w:left="524"/>
        <w:spacing w:before="167"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17</w:t>
      </w:r>
      <w:r>
        <w:rPr>
          <w:rFonts w:ascii="SimSun" w:hAnsi="SimSun" w:eastAsia="SimSun" w:cs="SimSun"/>
          <w:sz w:val="24"/>
          <w:szCs w:val="24"/>
          <w:spacing w:val="-1"/>
        </w:rPr>
        <w:t>）《畜禽场环境质量及卫生控制规范》（</w:t>
      </w:r>
      <w:r>
        <w:rPr>
          <w:rFonts w:ascii="Times New Roman" w:hAnsi="Times New Roman" w:eastAsia="Times New Roman" w:cs="Times New Roman"/>
          <w:sz w:val="24"/>
          <w:szCs w:val="24"/>
          <w:spacing w:val="-1"/>
        </w:rPr>
        <w:t>NY/TT1167-2006</w:t>
      </w:r>
      <w:r>
        <w:rPr>
          <w:rFonts w:ascii="SimSun" w:hAnsi="SimSun" w:eastAsia="SimSun" w:cs="SimSun"/>
          <w:sz w:val="24"/>
          <w:szCs w:val="24"/>
          <w:spacing w:val="-10"/>
        </w:rPr>
        <w:t>）；</w:t>
      </w:r>
    </w:p>
    <w:p>
      <w:pPr>
        <w:ind w:left="524"/>
        <w:spacing w:before="163"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18</w:t>
      </w:r>
      <w:r>
        <w:rPr>
          <w:rFonts w:ascii="SimSun" w:hAnsi="SimSun" w:eastAsia="SimSun" w:cs="SimSun"/>
          <w:sz w:val="24"/>
          <w:szCs w:val="24"/>
          <w:spacing w:val="-1"/>
        </w:rPr>
        <w:t>）《畜禽场环境污染控制技术规范》（</w:t>
      </w:r>
      <w:r>
        <w:rPr>
          <w:rFonts w:ascii="Times New Roman" w:hAnsi="Times New Roman" w:eastAsia="Times New Roman" w:cs="Times New Roman"/>
          <w:sz w:val="24"/>
          <w:szCs w:val="24"/>
          <w:spacing w:val="-1"/>
        </w:rPr>
        <w:t>NY/T1169-2006</w:t>
      </w:r>
      <w:r>
        <w:rPr>
          <w:rFonts w:ascii="SimSun" w:hAnsi="SimSun" w:eastAsia="SimSun" w:cs="SimSun"/>
          <w:sz w:val="24"/>
          <w:szCs w:val="24"/>
          <w:spacing w:val="-11"/>
        </w:rPr>
        <w:t>）；</w:t>
      </w:r>
    </w:p>
    <w:p>
      <w:pPr>
        <w:ind w:left="39" w:right="66" w:firstLine="485"/>
        <w:spacing w:before="164" w:line="296" w:lineRule="auto"/>
        <w:rPr>
          <w:rFonts w:ascii="SimSun" w:hAnsi="SimSun" w:eastAsia="SimSun" w:cs="SimSun"/>
          <w:sz w:val="24"/>
          <w:szCs w:val="24"/>
        </w:rPr>
      </w:pPr>
      <w:r>
        <w:pict>
          <v:shape id="_x0000_s68" style="position:absolute;margin-left:1.68601pt;margin-top:118.658pt;mso-position-vertical-relative:text;mso-position-horizontal-relative:text;width:425.7pt;height:0.6pt;z-index:251679744;" filled="false" strokecolor="#808080" strokeweight="0.50pt" coordsize="8514,12" coordorigin="0,0" path="m5,5l8508,6e">
            <v:stroke endcap="round" miterlimit="10"/>
          </v:shape>
        </w:pict>
      </w:r>
      <w:r>
        <w:rPr>
          <w:rFonts w:ascii="SimSun" w:hAnsi="SimSun" w:eastAsia="SimSun" w:cs="SimSun"/>
          <w:sz w:val="24"/>
          <w:szCs w:val="24"/>
          <w:spacing w:val="-9"/>
        </w:rPr>
        <w:t>（</w:t>
      </w:r>
      <w:r>
        <w:rPr>
          <w:rFonts w:ascii="Times New Roman" w:hAnsi="Times New Roman" w:eastAsia="Times New Roman" w:cs="Times New Roman"/>
          <w:sz w:val="24"/>
          <w:szCs w:val="24"/>
          <w:spacing w:val="-9"/>
        </w:rPr>
        <w:t>19</w:t>
      </w:r>
      <w:r>
        <w:rPr>
          <w:rFonts w:ascii="SimSun" w:hAnsi="SimSun" w:eastAsia="SimSun" w:cs="SimSun"/>
          <w:sz w:val="24"/>
          <w:szCs w:val="24"/>
          <w:spacing w:val="-9"/>
        </w:rPr>
        <w:t>）农业部农医发</w:t>
      </w:r>
      <w:r>
        <w:rPr>
          <w:rFonts w:ascii="Times New Roman" w:hAnsi="Times New Roman" w:eastAsia="Times New Roman" w:cs="Times New Roman"/>
          <w:sz w:val="24"/>
          <w:szCs w:val="24"/>
          <w:spacing w:val="-9"/>
        </w:rPr>
        <w:t>[2017]25</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9"/>
        </w:rPr>
        <w:t>号《病死及病害动物无害化处理</w:t>
      </w:r>
      <w:r>
        <w:rPr>
          <w:rFonts w:ascii="SimSun" w:hAnsi="SimSun" w:eastAsia="SimSun" w:cs="SimSun"/>
          <w:sz w:val="24"/>
          <w:szCs w:val="24"/>
          <w:spacing w:val="-10"/>
        </w:rPr>
        <w:t>技术规范》，</w:t>
      </w:r>
      <w:r>
        <w:rPr>
          <w:rFonts w:ascii="Times New Roman" w:hAnsi="Times New Roman" w:eastAsia="Times New Roman" w:cs="Times New Roman"/>
          <w:sz w:val="24"/>
          <w:szCs w:val="24"/>
          <w:spacing w:val="-10"/>
        </w:rPr>
        <w:t>2017</w:t>
      </w:r>
      <w:r>
        <w:rPr>
          <w:rFonts w:ascii="SimSun" w:hAnsi="SimSun" w:eastAsia="SimSun" w:cs="SimSun"/>
          <w:sz w:val="24"/>
          <w:szCs w:val="24"/>
          <w:spacing w:val="-14"/>
        </w:rPr>
        <w:t>年</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14"/>
        </w:rPr>
        <w:t>7</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4"/>
        </w:rPr>
        <w:t>月</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4"/>
        </w:rPr>
        <w:t>5  </w:t>
      </w:r>
      <w:r>
        <w:rPr>
          <w:rFonts w:ascii="SimSun" w:hAnsi="SimSun" w:eastAsia="SimSun" w:cs="SimSun"/>
          <w:sz w:val="24"/>
          <w:szCs w:val="24"/>
          <w:spacing w:val="-14"/>
        </w:rPr>
        <w:t>日。</w:t>
      </w:r>
    </w:p>
    <w:p>
      <w:pPr>
        <w:spacing w:line="296" w:lineRule="auto"/>
        <w:sectPr>
          <w:headerReference w:type="default" r:id="rId36"/>
          <w:footerReference w:type="default" r:id="rId37"/>
          <w:pgSz w:w="11907" w:h="16839"/>
          <w:pgMar w:top="1422" w:right="1632" w:bottom="1618" w:left="1673" w:header="1033" w:footer="1415" w:gutter="0"/>
        </w:sectPr>
        <w:rPr>
          <w:rFonts w:ascii="SimSun" w:hAnsi="SimSun" w:eastAsia="SimSun" w:cs="SimSun"/>
          <w:sz w:val="24"/>
          <w:szCs w:val="24"/>
        </w:rPr>
      </w:pPr>
    </w:p>
    <w:p>
      <w:pPr>
        <w:ind w:left="34"/>
        <w:spacing w:before="313"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2.1.5 </w:t>
      </w:r>
      <w:r>
        <w:rPr>
          <w:rFonts w:ascii="SimSun" w:hAnsi="SimSun" w:eastAsia="SimSun" w:cs="SimSun"/>
          <w:sz w:val="24"/>
          <w:szCs w:val="24"/>
          <w:b/>
          <w:bCs/>
          <w:spacing w:val="-2"/>
        </w:rPr>
        <w:t>其他文件</w:t>
      </w:r>
    </w:p>
    <w:p>
      <w:pPr>
        <w:pStyle w:val="BodyText"/>
        <w:spacing w:line="343" w:lineRule="auto"/>
        <w:rPr/>
      </w:pPr>
      <w:r/>
    </w:p>
    <w:p>
      <w:pPr>
        <w:ind w:left="524"/>
        <w:spacing w:before="78"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）与锡林郭勒盟牧林农机服务有限责任公司签订的技术</w:t>
      </w:r>
      <w:r>
        <w:rPr>
          <w:rFonts w:ascii="SimSun" w:hAnsi="SimSun" w:eastAsia="SimSun" w:cs="SimSun"/>
          <w:sz w:val="24"/>
          <w:szCs w:val="24"/>
          <w:spacing w:val="-3"/>
        </w:rPr>
        <w:t>咨询合同；</w:t>
      </w:r>
    </w:p>
    <w:p>
      <w:pPr>
        <w:ind w:left="524"/>
        <w:spacing w:before="162"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）企业提供的其他技术资料。</w:t>
      </w:r>
    </w:p>
    <w:p>
      <w:pPr>
        <w:pStyle w:val="BodyText"/>
        <w:spacing w:line="346" w:lineRule="auto"/>
        <w:rPr/>
      </w:pPr>
      <w:r/>
    </w:p>
    <w:p>
      <w:pPr>
        <w:ind w:left="34"/>
        <w:spacing w:before="78" w:line="232" w:lineRule="auto"/>
        <w:outlineLvl w:val="1"/>
        <w:rPr>
          <w:rFonts w:ascii="SimSun" w:hAnsi="SimSun" w:eastAsia="SimSun" w:cs="SimSun"/>
          <w:sz w:val="24"/>
          <w:szCs w:val="24"/>
        </w:rPr>
      </w:pPr>
      <w:bookmarkStart w:name="bookmark10" w:id="13"/>
      <w:bookmarkEnd w:id="13"/>
      <w:r>
        <w:rPr>
          <w:rFonts w:ascii="Times New Roman" w:hAnsi="Times New Roman" w:eastAsia="Times New Roman" w:cs="Times New Roman"/>
          <w:sz w:val="24"/>
          <w:szCs w:val="24"/>
          <w:b/>
          <w:bCs/>
          <w:spacing w:val="-2"/>
        </w:rPr>
        <w:t>2.2 </w:t>
      </w:r>
      <w:r>
        <w:rPr>
          <w:rFonts w:ascii="SimSun" w:hAnsi="SimSun" w:eastAsia="SimSun" w:cs="SimSun"/>
          <w:sz w:val="24"/>
          <w:szCs w:val="24"/>
          <w:b/>
          <w:bCs/>
          <w:spacing w:val="-2"/>
        </w:rPr>
        <w:t>评价目的与评价原则</w:t>
      </w:r>
    </w:p>
    <w:p>
      <w:pPr>
        <w:pStyle w:val="BodyText"/>
        <w:spacing w:line="343" w:lineRule="auto"/>
        <w:rPr/>
      </w:pPr>
      <w:r/>
    </w:p>
    <w:p>
      <w:pPr>
        <w:ind w:left="34"/>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2.2.1 </w:t>
      </w:r>
      <w:r>
        <w:rPr>
          <w:rFonts w:ascii="SimSun" w:hAnsi="SimSun" w:eastAsia="SimSun" w:cs="SimSun"/>
          <w:sz w:val="24"/>
          <w:szCs w:val="24"/>
          <w:b/>
          <w:bCs/>
          <w:spacing w:val="-2"/>
        </w:rPr>
        <w:t>评价目的</w:t>
      </w:r>
    </w:p>
    <w:p>
      <w:pPr>
        <w:pStyle w:val="BodyText"/>
        <w:spacing w:line="346" w:lineRule="auto"/>
        <w:rPr/>
      </w:pPr>
      <w:r/>
    </w:p>
    <w:p>
      <w:pPr>
        <w:ind w:left="38" w:right="79" w:firstLine="486"/>
        <w:spacing w:before="79" w:line="288"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SimSun" w:hAnsi="SimSun" w:eastAsia="SimSun" w:cs="SimSun"/>
          <w:sz w:val="24"/>
          <w:szCs w:val="24"/>
          <w:spacing w:val="-7"/>
        </w:rPr>
        <w:t>）通过收集资料、现状监测与调查，</w:t>
      </w:r>
      <w:r>
        <w:rPr>
          <w:rFonts w:ascii="SimSun" w:hAnsi="SimSun" w:eastAsia="SimSun" w:cs="SimSun"/>
          <w:sz w:val="24"/>
          <w:szCs w:val="24"/>
          <w:spacing w:val="73"/>
        </w:rPr>
        <w:t xml:space="preserve"> </w:t>
      </w:r>
      <w:r>
        <w:rPr>
          <w:rFonts w:ascii="SimSun" w:hAnsi="SimSun" w:eastAsia="SimSun" w:cs="SimSun"/>
          <w:sz w:val="24"/>
          <w:szCs w:val="24"/>
          <w:spacing w:val="-7"/>
        </w:rPr>
        <w:t>掌握评价区域内的环境质量现状以及</w:t>
      </w:r>
      <w:r>
        <w:rPr>
          <w:rFonts w:ascii="SimSun" w:hAnsi="SimSun" w:eastAsia="SimSun" w:cs="SimSun"/>
          <w:sz w:val="24"/>
          <w:szCs w:val="24"/>
          <w:spacing w:val="-2"/>
        </w:rPr>
        <w:t>环境特征，为该项目的环境影响评价提供背景资料。</w:t>
      </w:r>
    </w:p>
    <w:p>
      <w:pPr>
        <w:ind w:left="38" w:right="76" w:firstLine="486"/>
        <w:spacing w:before="183" w:line="31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）通过工程分析和类比调查，明确项目主要污染源、污</w:t>
      </w:r>
      <w:r>
        <w:rPr>
          <w:rFonts w:ascii="SimSun" w:hAnsi="SimSun" w:eastAsia="SimSun" w:cs="SimSun"/>
          <w:sz w:val="24"/>
          <w:szCs w:val="24"/>
          <w:spacing w:val="-2"/>
        </w:rPr>
        <w:t>染物排放浓度、排</w:t>
      </w:r>
      <w:r>
        <w:rPr>
          <w:rFonts w:ascii="SimSun" w:hAnsi="SimSun" w:eastAsia="SimSun" w:cs="SimSun"/>
          <w:sz w:val="24"/>
          <w:szCs w:val="24"/>
          <w:spacing w:val="2"/>
        </w:rPr>
        <w:t>放量、排放规律及污染防治措施；分析项目采取的污染防治措施是否可行，并提</w:t>
      </w:r>
      <w:r>
        <w:rPr>
          <w:rFonts w:ascii="SimSun" w:hAnsi="SimSun" w:eastAsia="SimSun" w:cs="SimSun"/>
          <w:sz w:val="24"/>
          <w:szCs w:val="24"/>
          <w:spacing w:val="-2"/>
        </w:rPr>
        <w:t>出防止和减轻工程建设对环境产生不利影响的环保对策和建议。</w:t>
      </w:r>
    </w:p>
    <w:p>
      <w:pPr>
        <w:ind w:left="39" w:right="76" w:firstLine="485"/>
        <w:spacing w:before="181" w:line="31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）通过分析和计算，预测本项目建设对各环境要素产生</w:t>
      </w:r>
      <w:r>
        <w:rPr>
          <w:rFonts w:ascii="SimSun" w:hAnsi="SimSun" w:eastAsia="SimSun" w:cs="SimSun"/>
          <w:sz w:val="24"/>
          <w:szCs w:val="24"/>
          <w:spacing w:val="-2"/>
        </w:rPr>
        <w:t>影响的程度、范围</w:t>
      </w:r>
      <w:r>
        <w:rPr>
          <w:rFonts w:ascii="SimSun" w:hAnsi="SimSun" w:eastAsia="SimSun" w:cs="SimSun"/>
          <w:sz w:val="24"/>
          <w:szCs w:val="24"/>
          <w:spacing w:val="2"/>
        </w:rPr>
        <w:t>和环境质量可能发生的变化情况，提出消除或减缓不利影响的措施或对策，并给</w:t>
      </w:r>
      <w:r>
        <w:rPr>
          <w:rFonts w:ascii="SimSun" w:hAnsi="SimSun" w:eastAsia="SimSun" w:cs="SimSun"/>
          <w:sz w:val="24"/>
          <w:szCs w:val="24"/>
          <w:spacing w:val="-2"/>
        </w:rPr>
        <w:t>出项目运营期的环境监管措施，为该项目的环境管理提供依据。</w:t>
      </w:r>
    </w:p>
    <w:p>
      <w:pPr>
        <w:ind w:left="39" w:right="76" w:firstLine="485"/>
        <w:spacing w:before="185"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）对项目建设的可行性给出明确结论，为生态环境主管</w:t>
      </w:r>
      <w:r>
        <w:rPr>
          <w:rFonts w:ascii="SimSun" w:hAnsi="SimSun" w:eastAsia="SimSun" w:cs="SimSun"/>
          <w:sz w:val="24"/>
          <w:szCs w:val="24"/>
          <w:spacing w:val="-2"/>
        </w:rPr>
        <w:t>部门的管理和决策</w:t>
      </w:r>
      <w:r>
        <w:rPr>
          <w:rFonts w:ascii="SimSun" w:hAnsi="SimSun" w:eastAsia="SimSun" w:cs="SimSun"/>
          <w:sz w:val="24"/>
          <w:szCs w:val="24"/>
          <w:spacing w:val="-6"/>
        </w:rPr>
        <w:t>提供科学依据。</w:t>
      </w:r>
    </w:p>
    <w:p>
      <w:pPr>
        <w:pStyle w:val="BodyText"/>
        <w:spacing w:line="362" w:lineRule="auto"/>
        <w:rPr/>
      </w:pPr>
      <w:r/>
    </w:p>
    <w:p>
      <w:pPr>
        <w:ind w:left="34"/>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2.2.2 </w:t>
      </w:r>
      <w:r>
        <w:rPr>
          <w:rFonts w:ascii="SimSun" w:hAnsi="SimSun" w:eastAsia="SimSun" w:cs="SimSun"/>
          <w:sz w:val="24"/>
          <w:szCs w:val="24"/>
          <w:b/>
          <w:bCs/>
          <w:spacing w:val="-2"/>
        </w:rPr>
        <w:t>评价原则</w:t>
      </w:r>
    </w:p>
    <w:p>
      <w:pPr>
        <w:pStyle w:val="BodyText"/>
        <w:spacing w:line="343" w:lineRule="auto"/>
        <w:rPr/>
      </w:pPr>
      <w:r/>
    </w:p>
    <w:p>
      <w:pPr>
        <w:ind w:left="526"/>
        <w:spacing w:before="79" w:line="218" w:lineRule="auto"/>
        <w:rPr>
          <w:rFonts w:ascii="SimSun" w:hAnsi="SimSun" w:eastAsia="SimSun" w:cs="SimSun"/>
          <w:sz w:val="24"/>
          <w:szCs w:val="24"/>
        </w:rPr>
      </w:pPr>
      <w:r>
        <w:rPr>
          <w:rFonts w:ascii="SimSun" w:hAnsi="SimSun" w:eastAsia="SimSun" w:cs="SimSun"/>
          <w:sz w:val="24"/>
          <w:szCs w:val="24"/>
          <w:spacing w:val="-2"/>
        </w:rPr>
        <w:t>突出环境影响评价的源头预防作用，坚持保护和改善环境质量。</w:t>
      </w:r>
    </w:p>
    <w:p>
      <w:pPr>
        <w:ind w:left="524"/>
        <w:spacing w:before="184"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）依法评价</w:t>
      </w:r>
    </w:p>
    <w:p>
      <w:pPr>
        <w:ind w:left="38" w:firstLine="485"/>
        <w:spacing w:before="165" w:line="359" w:lineRule="auto"/>
        <w:rPr>
          <w:rFonts w:ascii="SimSun" w:hAnsi="SimSun" w:eastAsia="SimSun" w:cs="SimSun"/>
          <w:sz w:val="24"/>
          <w:szCs w:val="24"/>
        </w:rPr>
      </w:pPr>
      <w:r>
        <w:rPr>
          <w:rFonts w:ascii="SimSun" w:hAnsi="SimSun" w:eastAsia="SimSun" w:cs="SimSun"/>
          <w:sz w:val="24"/>
          <w:szCs w:val="24"/>
          <w:spacing w:val="-8"/>
        </w:rPr>
        <w:t>贯彻执行我国环境保护相关法律法规、标准、政策和规划等，</w:t>
      </w:r>
      <w:r>
        <w:rPr>
          <w:rFonts w:ascii="SimSun" w:hAnsi="SimSun" w:eastAsia="SimSun" w:cs="SimSun"/>
          <w:sz w:val="24"/>
          <w:szCs w:val="24"/>
          <w:spacing w:val="67"/>
        </w:rPr>
        <w:t xml:space="preserve"> </w:t>
      </w:r>
      <w:r>
        <w:rPr>
          <w:rFonts w:ascii="SimSun" w:hAnsi="SimSun" w:eastAsia="SimSun" w:cs="SimSun"/>
          <w:sz w:val="24"/>
          <w:szCs w:val="24"/>
          <w:spacing w:val="-8"/>
        </w:rPr>
        <w:t>优化项目建设，</w:t>
      </w:r>
      <w:r>
        <w:rPr>
          <w:rFonts w:ascii="SimSun" w:hAnsi="SimSun" w:eastAsia="SimSun" w:cs="SimSun"/>
          <w:sz w:val="24"/>
          <w:szCs w:val="24"/>
          <w:spacing w:val="-9"/>
        </w:rPr>
        <w:t>服务环境管理；</w:t>
      </w:r>
    </w:p>
    <w:p>
      <w:pPr>
        <w:ind w:left="524"/>
        <w:spacing w:before="1" w:line="231"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）科学评价</w:t>
      </w:r>
    </w:p>
    <w:p>
      <w:pPr>
        <w:ind w:left="519"/>
        <w:spacing w:before="167" w:line="218" w:lineRule="auto"/>
        <w:rPr>
          <w:rFonts w:ascii="SimSun" w:hAnsi="SimSun" w:eastAsia="SimSun" w:cs="SimSun"/>
          <w:sz w:val="24"/>
          <w:szCs w:val="24"/>
        </w:rPr>
      </w:pPr>
      <w:r>
        <w:rPr>
          <w:rFonts w:ascii="SimSun" w:hAnsi="SimSun" w:eastAsia="SimSun" w:cs="SimSun"/>
          <w:sz w:val="24"/>
          <w:szCs w:val="24"/>
          <w:spacing w:val="-3"/>
        </w:rPr>
        <w:t>规范环境影响评价方法，科学分析项目建设对环境质量的影响；</w:t>
      </w:r>
    </w:p>
    <w:p>
      <w:pPr>
        <w:ind w:left="524"/>
        <w:spacing w:before="182" w:line="237"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）突出重点</w:t>
      </w:r>
    </w:p>
    <w:p>
      <w:pPr>
        <w:ind w:left="39" w:right="73" w:firstLine="478"/>
        <w:spacing w:before="161" w:line="361" w:lineRule="auto"/>
        <w:rPr>
          <w:rFonts w:ascii="SimSun" w:hAnsi="SimSun" w:eastAsia="SimSun" w:cs="SimSun"/>
          <w:sz w:val="24"/>
          <w:szCs w:val="24"/>
        </w:rPr>
      </w:pPr>
      <w:r>
        <w:pict>
          <v:shape id="_x0000_s72" style="position:absolute;margin-left:1.68601pt;margin-top:66.5399pt;mso-position-vertical-relative:text;mso-position-horizontal-relative:text;width:425.7pt;height:0.6pt;z-index:251680768;" filled="false" strokecolor="#808080" strokeweight="0.50pt" coordsize="8514,12" coordorigin="0,0" path="m5,5l8508,6e">
            <v:stroke endcap="round" miterlimit="10"/>
          </v:shape>
        </w:pict>
      </w:r>
      <w:r>
        <w:rPr>
          <w:rFonts w:ascii="SimSun" w:hAnsi="SimSun" w:eastAsia="SimSun" w:cs="SimSun"/>
          <w:sz w:val="24"/>
          <w:szCs w:val="24"/>
          <w:spacing w:val="3"/>
        </w:rPr>
        <w:t>根据建设项目的工作内容及特点，明确与环境要素</w:t>
      </w:r>
      <w:r>
        <w:rPr>
          <w:rFonts w:ascii="SimSun" w:hAnsi="SimSun" w:eastAsia="SimSun" w:cs="SimSun"/>
          <w:sz w:val="24"/>
          <w:szCs w:val="24"/>
          <w:spacing w:val="2"/>
        </w:rPr>
        <w:t>间的作用效应关系，根据</w:t>
      </w:r>
      <w:r>
        <w:rPr>
          <w:rFonts w:ascii="SimSun" w:hAnsi="SimSun" w:eastAsia="SimSun" w:cs="SimSun"/>
          <w:sz w:val="24"/>
          <w:szCs w:val="24"/>
          <w:spacing w:val="2"/>
        </w:rPr>
        <w:t>规划环境影响评价结论和审查意见，充分利用符合实效的数据资料及成果，对建</w:t>
      </w:r>
    </w:p>
    <w:p>
      <w:pPr>
        <w:spacing w:line="361" w:lineRule="auto"/>
        <w:sectPr>
          <w:headerReference w:type="default" r:id="rId38"/>
          <w:footerReference w:type="default" r:id="rId39"/>
          <w:pgSz w:w="11907" w:h="16839"/>
          <w:pgMar w:top="1422" w:right="1632" w:bottom="1618" w:left="1673" w:header="1033" w:footer="1417" w:gutter="0"/>
        </w:sectPr>
        <w:rPr>
          <w:rFonts w:ascii="SimSun" w:hAnsi="SimSun" w:eastAsia="SimSun" w:cs="SimSun"/>
          <w:sz w:val="24"/>
          <w:szCs w:val="24"/>
        </w:rPr>
      </w:pPr>
    </w:p>
    <w:p>
      <w:pPr>
        <w:ind w:left="121"/>
        <w:spacing w:before="313" w:line="218" w:lineRule="auto"/>
        <w:rPr>
          <w:rFonts w:ascii="SimSun" w:hAnsi="SimSun" w:eastAsia="SimSun" w:cs="SimSun"/>
          <w:sz w:val="24"/>
          <w:szCs w:val="24"/>
        </w:rPr>
      </w:pPr>
      <w:r>
        <w:rPr>
          <w:rFonts w:ascii="SimSun" w:hAnsi="SimSun" w:eastAsia="SimSun" w:cs="SimSun"/>
          <w:sz w:val="24"/>
          <w:szCs w:val="24"/>
          <w:spacing w:val="-3"/>
        </w:rPr>
        <w:t>设项目主要环境影响予以重点分析和评价。</w:t>
      </w:r>
    </w:p>
    <w:p>
      <w:pPr>
        <w:pStyle w:val="BodyText"/>
        <w:spacing w:line="363" w:lineRule="auto"/>
        <w:rPr/>
      </w:pPr>
      <w:r/>
    </w:p>
    <w:p>
      <w:pPr>
        <w:ind w:left="113"/>
        <w:spacing w:before="78" w:line="232" w:lineRule="auto"/>
        <w:outlineLvl w:val="1"/>
        <w:rPr>
          <w:rFonts w:ascii="SimSun" w:hAnsi="SimSun" w:eastAsia="SimSun" w:cs="SimSun"/>
          <w:sz w:val="24"/>
          <w:szCs w:val="24"/>
        </w:rPr>
      </w:pPr>
      <w:bookmarkStart w:name="bookmark11" w:id="14"/>
      <w:bookmarkEnd w:id="14"/>
      <w:r>
        <w:rPr>
          <w:rFonts w:ascii="Times New Roman" w:hAnsi="Times New Roman" w:eastAsia="Times New Roman" w:cs="Times New Roman"/>
          <w:sz w:val="24"/>
          <w:szCs w:val="24"/>
          <w:b/>
          <w:bCs/>
          <w:spacing w:val="-2"/>
        </w:rPr>
        <w:t>2.3 </w:t>
      </w:r>
      <w:r>
        <w:rPr>
          <w:rFonts w:ascii="SimSun" w:hAnsi="SimSun" w:eastAsia="SimSun" w:cs="SimSun"/>
          <w:sz w:val="24"/>
          <w:szCs w:val="24"/>
          <w:b/>
          <w:bCs/>
          <w:spacing w:val="-2"/>
        </w:rPr>
        <w:t>评价时段</w:t>
      </w:r>
    </w:p>
    <w:p>
      <w:pPr>
        <w:pStyle w:val="BodyText"/>
        <w:spacing w:line="342" w:lineRule="auto"/>
        <w:rPr/>
      </w:pPr>
      <w:r/>
    </w:p>
    <w:p>
      <w:pPr>
        <w:ind w:left="600"/>
        <w:spacing w:before="78" w:line="220" w:lineRule="auto"/>
        <w:rPr>
          <w:rFonts w:ascii="SimSun" w:hAnsi="SimSun" w:eastAsia="SimSun" w:cs="SimSun"/>
          <w:sz w:val="24"/>
          <w:szCs w:val="24"/>
        </w:rPr>
      </w:pPr>
      <w:r>
        <w:rPr>
          <w:rFonts w:ascii="SimSun" w:hAnsi="SimSun" w:eastAsia="SimSun" w:cs="SimSun"/>
          <w:sz w:val="24"/>
          <w:szCs w:val="24"/>
          <w:spacing w:val="-5"/>
        </w:rPr>
        <w:t>建设期和生产运营期。</w:t>
      </w:r>
    </w:p>
    <w:p>
      <w:pPr>
        <w:pStyle w:val="BodyText"/>
        <w:spacing w:line="363" w:lineRule="auto"/>
        <w:rPr/>
      </w:pPr>
      <w:r/>
    </w:p>
    <w:p>
      <w:pPr>
        <w:ind w:left="113"/>
        <w:spacing w:before="78" w:line="232" w:lineRule="auto"/>
        <w:outlineLvl w:val="1"/>
        <w:rPr>
          <w:rFonts w:ascii="SimSun" w:hAnsi="SimSun" w:eastAsia="SimSun" w:cs="SimSun"/>
          <w:sz w:val="24"/>
          <w:szCs w:val="24"/>
        </w:rPr>
      </w:pPr>
      <w:bookmarkStart w:name="bookmark12" w:id="15"/>
      <w:bookmarkEnd w:id="15"/>
      <w:r>
        <w:rPr>
          <w:rFonts w:ascii="Times New Roman" w:hAnsi="Times New Roman" w:eastAsia="Times New Roman" w:cs="Times New Roman"/>
          <w:sz w:val="24"/>
          <w:szCs w:val="24"/>
          <w:b/>
          <w:bCs/>
          <w:spacing w:val="-2"/>
        </w:rPr>
        <w:t>2.4 </w:t>
      </w:r>
      <w:r>
        <w:rPr>
          <w:rFonts w:ascii="SimSun" w:hAnsi="SimSun" w:eastAsia="SimSun" w:cs="SimSun"/>
          <w:sz w:val="24"/>
          <w:szCs w:val="24"/>
          <w:b/>
          <w:bCs/>
          <w:spacing w:val="-2"/>
        </w:rPr>
        <w:t>环境影响因素识别及评价因子筛选</w:t>
      </w:r>
    </w:p>
    <w:p>
      <w:pPr>
        <w:pStyle w:val="BodyText"/>
        <w:spacing w:line="343" w:lineRule="auto"/>
        <w:rPr/>
      </w:pPr>
      <w:r/>
    </w:p>
    <w:p>
      <w:pPr>
        <w:ind w:left="113"/>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2.4.1 </w:t>
      </w:r>
      <w:r>
        <w:rPr>
          <w:rFonts w:ascii="SimSun" w:hAnsi="SimSun" w:eastAsia="SimSun" w:cs="SimSun"/>
          <w:sz w:val="24"/>
          <w:szCs w:val="24"/>
          <w:b/>
          <w:bCs/>
          <w:spacing w:val="-2"/>
        </w:rPr>
        <w:t>环境影响因素识别</w:t>
      </w:r>
    </w:p>
    <w:p>
      <w:pPr>
        <w:pStyle w:val="BodyText"/>
        <w:spacing w:line="345" w:lineRule="auto"/>
        <w:rPr/>
      </w:pPr>
      <w:r/>
    </w:p>
    <w:p>
      <w:pPr>
        <w:ind w:left="121" w:right="115" w:firstLine="482"/>
        <w:spacing w:before="79" w:line="359" w:lineRule="auto"/>
        <w:jc w:val="both"/>
        <w:rPr>
          <w:rFonts w:ascii="SimSun" w:hAnsi="SimSun" w:eastAsia="SimSun" w:cs="SimSun"/>
          <w:sz w:val="24"/>
          <w:szCs w:val="24"/>
        </w:rPr>
      </w:pPr>
      <w:r>
        <w:rPr>
          <w:rFonts w:ascii="SimSun" w:hAnsi="SimSun" w:eastAsia="SimSun" w:cs="SimSun"/>
          <w:sz w:val="24"/>
          <w:szCs w:val="24"/>
          <w:spacing w:val="2"/>
        </w:rPr>
        <w:t>项目的环境影响主要分为施工期和运营期两阶段，根据本项目主要污染源污</w:t>
      </w:r>
      <w:r>
        <w:rPr>
          <w:rFonts w:ascii="SimSun" w:hAnsi="SimSun" w:eastAsia="SimSun" w:cs="SimSun"/>
          <w:sz w:val="24"/>
          <w:szCs w:val="24"/>
          <w:spacing w:val="2"/>
        </w:rPr>
        <w:t>染因子及区域环境特征，结合初步工程分析对工程实施后的主要环境影响要素进</w:t>
      </w:r>
      <w:r>
        <w:rPr>
          <w:rFonts w:ascii="SimSun" w:hAnsi="SimSun" w:eastAsia="SimSun" w:cs="SimSun"/>
          <w:sz w:val="24"/>
          <w:szCs w:val="24"/>
          <w:spacing w:val="-2"/>
        </w:rPr>
        <w:t>行识别，见表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2-1</w:t>
      </w:r>
      <w:r>
        <w:rPr>
          <w:rFonts w:ascii="SimSun" w:hAnsi="SimSun" w:eastAsia="SimSun" w:cs="SimSun"/>
          <w:sz w:val="24"/>
          <w:szCs w:val="24"/>
          <w:spacing w:val="-2"/>
        </w:rPr>
        <w:t>。</w:t>
      </w:r>
    </w:p>
    <w:p>
      <w:pPr>
        <w:ind w:left="1405"/>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2-1    </w:t>
      </w:r>
      <w:r>
        <w:rPr>
          <w:rFonts w:ascii="SimSun" w:hAnsi="SimSun" w:eastAsia="SimSun" w:cs="SimSun"/>
          <w:sz w:val="24"/>
          <w:szCs w:val="24"/>
          <w:b/>
          <w:bCs/>
          <w:spacing w:val="-2"/>
        </w:rPr>
        <w:t>本项目建设施工期、运营期对环境影响性质分析</w:t>
      </w:r>
    </w:p>
    <w:p>
      <w:pPr>
        <w:spacing w:line="129" w:lineRule="exact"/>
        <w:rPr/>
      </w:pPr>
      <w:r/>
    </w:p>
    <w:tbl>
      <w:tblPr>
        <w:tblStyle w:val="TableNormal"/>
        <w:tblW w:w="8718"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61"/>
        <w:gridCol w:w="1078"/>
        <w:gridCol w:w="1072"/>
        <w:gridCol w:w="1287"/>
        <w:gridCol w:w="1286"/>
        <w:gridCol w:w="865"/>
        <w:gridCol w:w="647"/>
        <w:gridCol w:w="1073"/>
        <w:gridCol w:w="649"/>
      </w:tblGrid>
      <w:tr>
        <w:trPr>
          <w:trHeight w:val="282" w:hRule="atLeast"/>
        </w:trPr>
        <w:tc>
          <w:tcPr>
            <w:tcW w:w="1839" w:type="dxa"/>
            <w:vAlign w:val="top"/>
            <w:gridSpan w:val="2"/>
            <w:vMerge w:val="restart"/>
            <w:tcBorders>
              <w:left w:val="nil"/>
              <w:top w:val="single" w:color="000000" w:sz="10" w:space="0"/>
              <w:bottom w:val="nil"/>
            </w:tcBorders>
          </w:tcPr>
          <w:p>
            <w:pPr>
              <w:pStyle w:val="TableText"/>
              <w:ind w:left="747"/>
              <w:spacing w:before="179" w:line="221" w:lineRule="auto"/>
              <w:rPr/>
            </w:pPr>
            <w:r>
              <w:rPr>
                <w:b/>
                <w:bCs/>
                <w:spacing w:val="-12"/>
              </w:rPr>
              <w:t>类别</w:t>
            </w:r>
          </w:p>
        </w:tc>
        <w:tc>
          <w:tcPr>
            <w:tcW w:w="4510" w:type="dxa"/>
            <w:vAlign w:val="top"/>
            <w:gridSpan w:val="4"/>
            <w:tcBorders>
              <w:top w:val="single" w:color="000000" w:sz="10" w:space="0"/>
            </w:tcBorders>
          </w:tcPr>
          <w:p>
            <w:pPr>
              <w:pStyle w:val="TableText"/>
              <w:ind w:left="1871"/>
              <w:spacing w:before="36" w:line="207" w:lineRule="auto"/>
              <w:rPr/>
            </w:pPr>
            <w:r>
              <w:rPr>
                <w:b/>
                <w:bCs/>
                <w:spacing w:val="-10"/>
              </w:rPr>
              <w:t>自然环境</w:t>
            </w:r>
          </w:p>
        </w:tc>
        <w:tc>
          <w:tcPr>
            <w:tcW w:w="2369" w:type="dxa"/>
            <w:vAlign w:val="top"/>
            <w:gridSpan w:val="3"/>
            <w:tcBorders>
              <w:right w:val="nil"/>
              <w:top w:val="single" w:color="000000" w:sz="10" w:space="0"/>
            </w:tcBorders>
          </w:tcPr>
          <w:p>
            <w:pPr>
              <w:pStyle w:val="TableText"/>
              <w:ind w:left="768"/>
              <w:spacing w:before="36" w:line="207" w:lineRule="auto"/>
              <w:rPr/>
            </w:pPr>
            <w:r>
              <w:rPr>
                <w:b/>
                <w:bCs/>
                <w:spacing w:val="-4"/>
              </w:rPr>
              <w:t>生态环境</w:t>
            </w:r>
          </w:p>
        </w:tc>
      </w:tr>
      <w:tr>
        <w:trPr>
          <w:trHeight w:val="276" w:hRule="atLeast"/>
        </w:trPr>
        <w:tc>
          <w:tcPr>
            <w:tcW w:w="1839" w:type="dxa"/>
            <w:vAlign w:val="top"/>
            <w:gridSpan w:val="2"/>
            <w:vMerge w:val="continue"/>
            <w:tcBorders>
              <w:left w:val="nil"/>
              <w:top w:val="nil"/>
            </w:tcBorders>
          </w:tcPr>
          <w:p>
            <w:pPr>
              <w:rPr>
                <w:rFonts w:ascii="Arial"/>
                <w:sz w:val="21"/>
              </w:rPr>
            </w:pPr>
            <w:r/>
          </w:p>
        </w:tc>
        <w:tc>
          <w:tcPr>
            <w:tcW w:w="1072" w:type="dxa"/>
            <w:vAlign w:val="top"/>
          </w:tcPr>
          <w:p>
            <w:pPr>
              <w:pStyle w:val="TableText"/>
              <w:ind w:left="118"/>
              <w:spacing w:before="29" w:line="208" w:lineRule="auto"/>
              <w:rPr/>
            </w:pPr>
            <w:r>
              <w:rPr>
                <w:b/>
                <w:bCs/>
                <w:spacing w:val="-4"/>
              </w:rPr>
              <w:t>环境空气</w:t>
            </w:r>
          </w:p>
        </w:tc>
        <w:tc>
          <w:tcPr>
            <w:tcW w:w="1287" w:type="dxa"/>
            <w:vAlign w:val="top"/>
          </w:tcPr>
          <w:p>
            <w:pPr>
              <w:pStyle w:val="TableText"/>
              <w:ind w:left="116"/>
              <w:spacing w:before="29" w:line="208" w:lineRule="auto"/>
              <w:rPr/>
            </w:pPr>
            <w:r>
              <w:rPr>
                <w:b/>
                <w:bCs/>
                <w:spacing w:val="-3"/>
              </w:rPr>
              <w:t>地表水环境</w:t>
            </w:r>
          </w:p>
        </w:tc>
        <w:tc>
          <w:tcPr>
            <w:tcW w:w="1286" w:type="dxa"/>
            <w:vAlign w:val="top"/>
          </w:tcPr>
          <w:p>
            <w:pPr>
              <w:pStyle w:val="TableText"/>
              <w:ind w:left="118"/>
              <w:spacing w:before="29" w:line="208" w:lineRule="auto"/>
              <w:rPr/>
            </w:pPr>
            <w:r>
              <w:rPr>
                <w:b/>
                <w:bCs/>
                <w:spacing w:val="-3"/>
              </w:rPr>
              <w:t>地下水环境</w:t>
            </w:r>
          </w:p>
        </w:tc>
        <w:tc>
          <w:tcPr>
            <w:tcW w:w="865" w:type="dxa"/>
            <w:vAlign w:val="top"/>
          </w:tcPr>
          <w:p>
            <w:pPr>
              <w:pStyle w:val="TableText"/>
              <w:ind w:left="123"/>
              <w:spacing w:before="29" w:line="208" w:lineRule="auto"/>
              <w:rPr/>
            </w:pPr>
            <w:r>
              <w:rPr>
                <w:b/>
                <w:bCs/>
                <w:spacing w:val="-5"/>
              </w:rPr>
              <w:t>声环境</w:t>
            </w:r>
          </w:p>
        </w:tc>
        <w:tc>
          <w:tcPr>
            <w:tcW w:w="647" w:type="dxa"/>
            <w:vAlign w:val="top"/>
          </w:tcPr>
          <w:p>
            <w:pPr>
              <w:pStyle w:val="TableText"/>
              <w:ind w:left="117"/>
              <w:spacing w:before="29" w:line="208" w:lineRule="auto"/>
              <w:rPr/>
            </w:pPr>
            <w:r>
              <w:rPr>
                <w:b/>
                <w:bCs/>
                <w:spacing w:val="-4"/>
              </w:rPr>
              <w:t>植被</w:t>
            </w:r>
          </w:p>
        </w:tc>
        <w:tc>
          <w:tcPr>
            <w:tcW w:w="1073" w:type="dxa"/>
            <w:vAlign w:val="top"/>
          </w:tcPr>
          <w:p>
            <w:pPr>
              <w:pStyle w:val="TableText"/>
              <w:ind w:left="122"/>
              <w:spacing w:before="29" w:line="208" w:lineRule="auto"/>
              <w:rPr/>
            </w:pPr>
            <w:r>
              <w:rPr>
                <w:b/>
                <w:bCs/>
                <w:spacing w:val="-4"/>
              </w:rPr>
              <w:t>水土流失</w:t>
            </w:r>
          </w:p>
        </w:tc>
        <w:tc>
          <w:tcPr>
            <w:tcW w:w="649" w:type="dxa"/>
            <w:vAlign w:val="top"/>
            <w:tcBorders>
              <w:right w:val="nil"/>
            </w:tcBorders>
          </w:tcPr>
          <w:p>
            <w:pPr>
              <w:pStyle w:val="TableText"/>
              <w:ind w:left="116"/>
              <w:spacing w:before="29" w:line="208" w:lineRule="auto"/>
              <w:rPr/>
            </w:pPr>
            <w:r>
              <w:rPr>
                <w:b/>
                <w:bCs/>
                <w:spacing w:val="-4"/>
              </w:rPr>
              <w:t>土壤</w:t>
            </w:r>
          </w:p>
        </w:tc>
      </w:tr>
      <w:tr>
        <w:trPr>
          <w:trHeight w:val="276" w:hRule="atLeast"/>
        </w:trPr>
        <w:tc>
          <w:tcPr>
            <w:tcW w:w="761" w:type="dxa"/>
            <w:vAlign w:val="top"/>
            <w:vMerge w:val="restart"/>
            <w:tcBorders>
              <w:left w:val="nil"/>
              <w:bottom w:val="nil"/>
            </w:tcBorders>
          </w:tcPr>
          <w:p>
            <w:pPr>
              <w:spacing w:line="268" w:lineRule="auto"/>
              <w:rPr>
                <w:rFonts w:ascii="Arial"/>
                <w:sz w:val="21"/>
              </w:rPr>
            </w:pPr>
            <w:r/>
          </w:p>
          <w:p>
            <w:pPr>
              <w:spacing w:line="268" w:lineRule="auto"/>
              <w:rPr>
                <w:rFonts w:ascii="Arial"/>
                <w:sz w:val="21"/>
              </w:rPr>
            </w:pPr>
            <w:r/>
          </w:p>
          <w:p>
            <w:pPr>
              <w:pStyle w:val="TableText"/>
              <w:ind w:left="120"/>
              <w:spacing w:before="68" w:line="221" w:lineRule="auto"/>
              <w:rPr/>
            </w:pPr>
            <w:r>
              <w:rPr>
                <w:spacing w:val="-16"/>
              </w:rPr>
              <w:t>施工期</w:t>
            </w:r>
          </w:p>
        </w:tc>
        <w:tc>
          <w:tcPr>
            <w:tcW w:w="1078" w:type="dxa"/>
            <w:vAlign w:val="top"/>
          </w:tcPr>
          <w:p>
            <w:pPr>
              <w:pStyle w:val="TableText"/>
              <w:ind w:left="366"/>
              <w:spacing w:before="31" w:line="206" w:lineRule="auto"/>
              <w:rPr/>
            </w:pPr>
            <w:r>
              <w:rPr>
                <w:spacing w:val="-11"/>
              </w:rPr>
              <w:t>占地</w:t>
            </w:r>
          </w:p>
        </w:tc>
        <w:tc>
          <w:tcPr>
            <w:tcW w:w="1072" w:type="dxa"/>
            <w:vAlign w:val="top"/>
          </w:tcPr>
          <w:p>
            <w:pPr>
              <w:ind w:left="505"/>
              <w:spacing w:before="15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7" w:type="dxa"/>
            <w:vAlign w:val="top"/>
          </w:tcPr>
          <w:p>
            <w:pPr>
              <w:ind w:left="609"/>
              <w:spacing w:before="15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611"/>
              <w:spacing w:before="15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Pr>
          <w:p>
            <w:pPr>
              <w:ind w:left="400"/>
              <w:spacing w:before="15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7" w:type="dxa"/>
            <w:vAlign w:val="top"/>
          </w:tcPr>
          <w:p>
            <w:pPr>
              <w:ind w:left="176"/>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1073" w:type="dxa"/>
            <w:vAlign w:val="top"/>
          </w:tcPr>
          <w:p>
            <w:pPr>
              <w:ind w:left="389"/>
              <w:spacing w:before="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649" w:type="dxa"/>
            <w:vAlign w:val="top"/>
            <w:tcBorders>
              <w:right w:val="nil"/>
            </w:tcBorders>
          </w:tcPr>
          <w:p>
            <w:pPr>
              <w:ind w:left="290"/>
              <w:spacing w:before="15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3" w:hRule="atLeast"/>
        </w:trPr>
        <w:tc>
          <w:tcPr>
            <w:tcW w:w="761" w:type="dxa"/>
            <w:vAlign w:val="top"/>
            <w:vMerge w:val="continue"/>
            <w:tcBorders>
              <w:left w:val="nil"/>
              <w:top w:val="nil"/>
              <w:bottom w:val="nil"/>
            </w:tcBorders>
          </w:tcPr>
          <w:p>
            <w:pPr>
              <w:rPr>
                <w:rFonts w:ascii="Arial"/>
                <w:sz w:val="21"/>
              </w:rPr>
            </w:pPr>
            <w:r/>
          </w:p>
        </w:tc>
        <w:tc>
          <w:tcPr>
            <w:tcW w:w="1078" w:type="dxa"/>
            <w:vAlign w:val="top"/>
          </w:tcPr>
          <w:p>
            <w:pPr>
              <w:pStyle w:val="TableText"/>
              <w:ind w:left="120"/>
              <w:spacing w:before="33" w:line="202" w:lineRule="auto"/>
              <w:rPr/>
            </w:pPr>
            <w:r>
              <w:rPr>
                <w:spacing w:val="-2"/>
              </w:rPr>
              <w:t>清理场地</w:t>
            </w:r>
          </w:p>
        </w:tc>
        <w:tc>
          <w:tcPr>
            <w:tcW w:w="1072" w:type="dxa"/>
            <w:vAlign w:val="top"/>
          </w:tcPr>
          <w:p>
            <w:pPr>
              <w:ind w:left="416"/>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1287" w:type="dxa"/>
            <w:vAlign w:val="top"/>
          </w:tcPr>
          <w:p>
            <w:pPr>
              <w:ind w:left="609"/>
              <w:spacing w:before="15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611"/>
              <w:spacing w:before="15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Pr>
          <w:p>
            <w:pPr>
              <w:ind w:left="400"/>
              <w:spacing w:before="15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7" w:type="dxa"/>
            <w:vAlign w:val="top"/>
          </w:tcPr>
          <w:p>
            <w:pPr>
              <w:ind w:left="205"/>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1073" w:type="dxa"/>
            <w:vAlign w:val="top"/>
          </w:tcPr>
          <w:p>
            <w:pPr>
              <w:ind w:left="417"/>
              <w:spacing w:before="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649" w:type="dxa"/>
            <w:vAlign w:val="top"/>
            <w:tcBorders>
              <w:right w:val="nil"/>
            </w:tcBorders>
          </w:tcPr>
          <w:p>
            <w:pPr>
              <w:ind w:left="290"/>
              <w:spacing w:before="15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6" w:hRule="atLeast"/>
        </w:trPr>
        <w:tc>
          <w:tcPr>
            <w:tcW w:w="761" w:type="dxa"/>
            <w:vAlign w:val="top"/>
            <w:vMerge w:val="continue"/>
            <w:tcBorders>
              <w:left w:val="nil"/>
              <w:top w:val="nil"/>
              <w:bottom w:val="nil"/>
            </w:tcBorders>
          </w:tcPr>
          <w:p>
            <w:pPr>
              <w:rPr>
                <w:rFonts w:ascii="Arial"/>
                <w:sz w:val="21"/>
              </w:rPr>
            </w:pPr>
            <w:r/>
          </w:p>
        </w:tc>
        <w:tc>
          <w:tcPr>
            <w:tcW w:w="1078" w:type="dxa"/>
            <w:vAlign w:val="top"/>
          </w:tcPr>
          <w:p>
            <w:pPr>
              <w:pStyle w:val="TableText"/>
              <w:ind w:left="331"/>
              <w:spacing w:before="38" w:line="200" w:lineRule="auto"/>
              <w:rPr/>
            </w:pPr>
            <w:r>
              <w:rPr>
                <w:spacing w:val="-2"/>
              </w:rPr>
              <w:t>运输</w:t>
            </w:r>
          </w:p>
        </w:tc>
        <w:tc>
          <w:tcPr>
            <w:tcW w:w="1072" w:type="dxa"/>
            <w:vAlign w:val="top"/>
          </w:tcPr>
          <w:p>
            <w:pPr>
              <w:ind w:left="416"/>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1287" w:type="dxa"/>
            <w:vAlign w:val="top"/>
          </w:tcPr>
          <w:p>
            <w:pPr>
              <w:ind w:left="609"/>
              <w:spacing w:before="15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611"/>
              <w:spacing w:before="15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Pr>
          <w:p>
            <w:pPr>
              <w:ind w:left="314"/>
              <w:spacing w:before="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647" w:type="dxa"/>
            <w:vAlign w:val="top"/>
          </w:tcPr>
          <w:p>
            <w:pPr>
              <w:ind w:left="292"/>
              <w:spacing w:before="15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073" w:type="dxa"/>
            <w:vAlign w:val="top"/>
          </w:tcPr>
          <w:p>
            <w:pPr>
              <w:ind w:left="506"/>
              <w:spacing w:before="15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290"/>
              <w:spacing w:before="15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6" w:hRule="atLeast"/>
        </w:trPr>
        <w:tc>
          <w:tcPr>
            <w:tcW w:w="761" w:type="dxa"/>
            <w:vAlign w:val="top"/>
            <w:vMerge w:val="continue"/>
            <w:tcBorders>
              <w:left w:val="nil"/>
              <w:top w:val="nil"/>
              <w:bottom w:val="nil"/>
            </w:tcBorders>
          </w:tcPr>
          <w:p>
            <w:pPr>
              <w:rPr>
                <w:rFonts w:ascii="Arial"/>
                <w:sz w:val="21"/>
              </w:rPr>
            </w:pPr>
            <w:r/>
          </w:p>
        </w:tc>
        <w:tc>
          <w:tcPr>
            <w:tcW w:w="1078" w:type="dxa"/>
            <w:vAlign w:val="top"/>
          </w:tcPr>
          <w:p>
            <w:pPr>
              <w:pStyle w:val="TableText"/>
              <w:ind w:left="123"/>
              <w:spacing w:before="38" w:line="200" w:lineRule="auto"/>
              <w:rPr/>
            </w:pPr>
            <w:r>
              <w:rPr>
                <w:spacing w:val="-3"/>
              </w:rPr>
              <w:t>设备安装</w:t>
            </w:r>
          </w:p>
        </w:tc>
        <w:tc>
          <w:tcPr>
            <w:tcW w:w="1072" w:type="dxa"/>
            <w:vAlign w:val="top"/>
          </w:tcPr>
          <w:p>
            <w:pPr>
              <w:ind w:left="505"/>
              <w:spacing w:before="1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7" w:type="dxa"/>
            <w:vAlign w:val="top"/>
          </w:tcPr>
          <w:p>
            <w:pPr>
              <w:ind w:left="609"/>
              <w:spacing w:before="1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611"/>
              <w:spacing w:before="1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Pr>
          <w:p>
            <w:pPr>
              <w:ind w:left="31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647" w:type="dxa"/>
            <w:vAlign w:val="top"/>
          </w:tcPr>
          <w:p>
            <w:pPr>
              <w:ind w:left="292"/>
              <w:spacing w:before="1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073" w:type="dxa"/>
            <w:vAlign w:val="top"/>
          </w:tcPr>
          <w:p>
            <w:pPr>
              <w:ind w:left="506"/>
              <w:spacing w:before="1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290"/>
              <w:spacing w:before="1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6" w:hRule="atLeast"/>
        </w:trPr>
        <w:tc>
          <w:tcPr>
            <w:tcW w:w="761" w:type="dxa"/>
            <w:vAlign w:val="top"/>
            <w:vMerge w:val="continue"/>
            <w:tcBorders>
              <w:left w:val="nil"/>
              <w:top w:val="nil"/>
            </w:tcBorders>
          </w:tcPr>
          <w:p>
            <w:pPr>
              <w:rPr>
                <w:rFonts w:ascii="Arial"/>
                <w:sz w:val="21"/>
              </w:rPr>
            </w:pPr>
            <w:r/>
          </w:p>
        </w:tc>
        <w:tc>
          <w:tcPr>
            <w:tcW w:w="1078" w:type="dxa"/>
            <w:vAlign w:val="top"/>
          </w:tcPr>
          <w:p>
            <w:pPr>
              <w:pStyle w:val="TableText"/>
              <w:ind w:left="120"/>
              <w:spacing w:before="40" w:line="198" w:lineRule="auto"/>
              <w:rPr/>
            </w:pPr>
            <w:r>
              <w:rPr>
                <w:spacing w:val="-2"/>
              </w:rPr>
              <w:t>材料堆存</w:t>
            </w:r>
          </w:p>
        </w:tc>
        <w:tc>
          <w:tcPr>
            <w:tcW w:w="1072" w:type="dxa"/>
            <w:vAlign w:val="top"/>
          </w:tcPr>
          <w:p>
            <w:pPr>
              <w:ind w:left="416"/>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1287" w:type="dxa"/>
            <w:vAlign w:val="top"/>
          </w:tcPr>
          <w:p>
            <w:pPr>
              <w:ind w:left="609"/>
              <w:spacing w:before="15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524"/>
              <w:spacing w:before="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-1S</w:t>
            </w:r>
          </w:p>
        </w:tc>
        <w:tc>
          <w:tcPr>
            <w:tcW w:w="865" w:type="dxa"/>
            <w:vAlign w:val="top"/>
          </w:tcPr>
          <w:p>
            <w:pPr>
              <w:ind w:left="400"/>
              <w:spacing w:before="15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7" w:type="dxa"/>
            <w:vAlign w:val="top"/>
          </w:tcPr>
          <w:p>
            <w:pPr>
              <w:ind w:left="292"/>
              <w:spacing w:before="15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073" w:type="dxa"/>
            <w:vAlign w:val="top"/>
          </w:tcPr>
          <w:p>
            <w:pPr>
              <w:ind w:left="506"/>
              <w:spacing w:before="15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290"/>
              <w:spacing w:before="15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3" w:hRule="atLeast"/>
        </w:trPr>
        <w:tc>
          <w:tcPr>
            <w:tcW w:w="761" w:type="dxa"/>
            <w:vAlign w:val="top"/>
            <w:vMerge w:val="restart"/>
            <w:tcBorders>
              <w:left w:val="nil"/>
              <w:bottom w:val="nil"/>
            </w:tcBorders>
          </w:tcPr>
          <w:p>
            <w:pPr>
              <w:spacing w:line="272" w:lineRule="auto"/>
              <w:rPr>
                <w:rFonts w:ascii="Arial"/>
                <w:sz w:val="21"/>
              </w:rPr>
            </w:pPr>
            <w:r/>
          </w:p>
          <w:p>
            <w:pPr>
              <w:spacing w:line="272" w:lineRule="auto"/>
              <w:rPr>
                <w:rFonts w:ascii="Arial"/>
                <w:sz w:val="21"/>
              </w:rPr>
            </w:pPr>
            <w:r/>
          </w:p>
          <w:p>
            <w:pPr>
              <w:pStyle w:val="TableText"/>
              <w:ind w:left="121"/>
              <w:spacing w:before="69" w:line="221" w:lineRule="auto"/>
              <w:rPr/>
            </w:pPr>
            <w:r>
              <w:rPr>
                <w:spacing w:val="-16"/>
              </w:rPr>
              <w:t>运营期</w:t>
            </w:r>
          </w:p>
        </w:tc>
        <w:tc>
          <w:tcPr>
            <w:tcW w:w="1078" w:type="dxa"/>
            <w:vAlign w:val="top"/>
          </w:tcPr>
          <w:p>
            <w:pPr>
              <w:pStyle w:val="TableText"/>
              <w:ind w:left="121"/>
              <w:spacing w:before="42" w:line="194" w:lineRule="auto"/>
              <w:rPr/>
            </w:pPr>
            <w:r>
              <w:rPr>
                <w:spacing w:val="-2"/>
              </w:rPr>
              <w:t>养殖工序</w:t>
            </w:r>
          </w:p>
        </w:tc>
        <w:tc>
          <w:tcPr>
            <w:tcW w:w="1072" w:type="dxa"/>
            <w:vAlign w:val="top"/>
          </w:tcPr>
          <w:p>
            <w:pPr>
              <w:ind w:left="387"/>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-2L</w:t>
            </w:r>
          </w:p>
        </w:tc>
        <w:tc>
          <w:tcPr>
            <w:tcW w:w="1287" w:type="dxa"/>
            <w:vAlign w:val="top"/>
          </w:tcPr>
          <w:p>
            <w:pPr>
              <w:ind w:left="609"/>
              <w:spacing w:before="1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49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-2L</w:t>
            </w:r>
          </w:p>
        </w:tc>
        <w:tc>
          <w:tcPr>
            <w:tcW w:w="865" w:type="dxa"/>
            <w:vAlign w:val="top"/>
          </w:tcPr>
          <w:p>
            <w:pPr>
              <w:ind w:left="400"/>
              <w:spacing w:before="1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7" w:type="dxa"/>
            <w:vAlign w:val="top"/>
          </w:tcPr>
          <w:p>
            <w:pPr>
              <w:ind w:left="17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1073" w:type="dxa"/>
            <w:vAlign w:val="top"/>
          </w:tcPr>
          <w:p>
            <w:pPr>
              <w:ind w:left="506"/>
              <w:spacing w:before="1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290"/>
              <w:spacing w:before="1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6" w:hRule="atLeast"/>
        </w:trPr>
        <w:tc>
          <w:tcPr>
            <w:tcW w:w="761" w:type="dxa"/>
            <w:vAlign w:val="top"/>
            <w:vMerge w:val="continue"/>
            <w:tcBorders>
              <w:left w:val="nil"/>
              <w:bottom w:val="nil"/>
              <w:top w:val="nil"/>
            </w:tcBorders>
          </w:tcPr>
          <w:p>
            <w:pPr>
              <w:rPr>
                <w:rFonts w:ascii="Arial"/>
                <w:sz w:val="21"/>
              </w:rPr>
            </w:pPr>
            <w:r/>
          </w:p>
        </w:tc>
        <w:tc>
          <w:tcPr>
            <w:tcW w:w="1078" w:type="dxa"/>
            <w:vAlign w:val="top"/>
          </w:tcPr>
          <w:p>
            <w:pPr>
              <w:pStyle w:val="TableText"/>
              <w:ind w:left="122"/>
              <w:spacing w:before="47" w:line="192" w:lineRule="auto"/>
              <w:rPr/>
            </w:pPr>
            <w:r>
              <w:rPr>
                <w:spacing w:val="-2"/>
              </w:rPr>
              <w:t>粪污处理</w:t>
            </w:r>
          </w:p>
        </w:tc>
        <w:tc>
          <w:tcPr>
            <w:tcW w:w="1072" w:type="dxa"/>
            <w:vAlign w:val="top"/>
          </w:tcPr>
          <w:p>
            <w:pPr>
              <w:ind w:left="387"/>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-2L</w:t>
            </w:r>
          </w:p>
        </w:tc>
        <w:tc>
          <w:tcPr>
            <w:tcW w:w="1287" w:type="dxa"/>
            <w:vAlign w:val="top"/>
          </w:tcPr>
          <w:p>
            <w:pPr>
              <w:ind w:left="609"/>
              <w:spacing w:before="16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611"/>
              <w:spacing w:before="16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Pr>
          <w:p>
            <w:pPr>
              <w:ind w:left="400"/>
              <w:spacing w:before="16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7" w:type="dxa"/>
            <w:vAlign w:val="top"/>
          </w:tcPr>
          <w:p>
            <w:pPr>
              <w:ind w:left="176"/>
              <w:spacing w:before="7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1073" w:type="dxa"/>
            <w:vAlign w:val="top"/>
          </w:tcPr>
          <w:p>
            <w:pPr>
              <w:ind w:left="506"/>
              <w:spacing w:before="16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290"/>
              <w:spacing w:before="16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76" w:hRule="atLeast"/>
        </w:trPr>
        <w:tc>
          <w:tcPr>
            <w:tcW w:w="761" w:type="dxa"/>
            <w:vAlign w:val="top"/>
            <w:vMerge w:val="continue"/>
            <w:tcBorders>
              <w:left w:val="nil"/>
              <w:bottom w:val="nil"/>
              <w:top w:val="nil"/>
            </w:tcBorders>
          </w:tcPr>
          <w:p>
            <w:pPr>
              <w:rPr>
                <w:rFonts w:ascii="Arial"/>
                <w:sz w:val="21"/>
              </w:rPr>
            </w:pPr>
            <w:r/>
          </w:p>
        </w:tc>
        <w:tc>
          <w:tcPr>
            <w:tcW w:w="1078" w:type="dxa"/>
            <w:vAlign w:val="top"/>
          </w:tcPr>
          <w:p>
            <w:pPr>
              <w:pStyle w:val="TableText"/>
              <w:ind w:left="138"/>
              <w:spacing w:before="47" w:line="192" w:lineRule="auto"/>
              <w:rPr/>
            </w:pPr>
            <w:r>
              <w:rPr>
                <w:spacing w:val="-6"/>
              </w:rPr>
              <w:t>固体废物</w:t>
            </w:r>
          </w:p>
        </w:tc>
        <w:tc>
          <w:tcPr>
            <w:tcW w:w="1072" w:type="dxa"/>
            <w:vAlign w:val="top"/>
          </w:tcPr>
          <w:p>
            <w:pPr>
              <w:ind w:left="387"/>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-2L</w:t>
            </w:r>
          </w:p>
        </w:tc>
        <w:tc>
          <w:tcPr>
            <w:tcW w:w="1287" w:type="dxa"/>
            <w:vAlign w:val="top"/>
          </w:tcPr>
          <w:p>
            <w:pPr>
              <w:ind w:left="609"/>
              <w:spacing w:before="168" w:line="9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496"/>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865" w:type="dxa"/>
            <w:vAlign w:val="top"/>
          </w:tcPr>
          <w:p>
            <w:pPr>
              <w:ind w:left="400"/>
              <w:spacing w:before="168" w:line="9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7" w:type="dxa"/>
            <w:vAlign w:val="top"/>
          </w:tcPr>
          <w:p>
            <w:pPr>
              <w:ind w:left="292"/>
              <w:spacing w:before="168" w:line="9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073" w:type="dxa"/>
            <w:vAlign w:val="top"/>
          </w:tcPr>
          <w:p>
            <w:pPr>
              <w:ind w:left="506"/>
              <w:spacing w:before="168" w:line="9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175"/>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r>
      <w:tr>
        <w:trPr>
          <w:trHeight w:val="274" w:hRule="atLeast"/>
        </w:trPr>
        <w:tc>
          <w:tcPr>
            <w:tcW w:w="761" w:type="dxa"/>
            <w:vAlign w:val="top"/>
            <w:vMerge w:val="continue"/>
            <w:tcBorders>
              <w:left w:val="nil"/>
              <w:bottom w:val="nil"/>
              <w:top w:val="nil"/>
            </w:tcBorders>
          </w:tcPr>
          <w:p>
            <w:pPr>
              <w:rPr>
                <w:rFonts w:ascii="Arial"/>
                <w:sz w:val="21"/>
              </w:rPr>
            </w:pPr>
            <w:r/>
          </w:p>
        </w:tc>
        <w:tc>
          <w:tcPr>
            <w:tcW w:w="1078" w:type="dxa"/>
            <w:vAlign w:val="top"/>
          </w:tcPr>
          <w:p>
            <w:pPr>
              <w:pStyle w:val="TableText"/>
              <w:ind w:left="341"/>
              <w:spacing w:before="49" w:line="189" w:lineRule="auto"/>
              <w:rPr/>
            </w:pPr>
            <w:r>
              <w:rPr>
                <w:spacing w:val="-4"/>
              </w:rPr>
              <w:t>噪声</w:t>
            </w:r>
          </w:p>
        </w:tc>
        <w:tc>
          <w:tcPr>
            <w:tcW w:w="1072" w:type="dxa"/>
            <w:vAlign w:val="top"/>
          </w:tcPr>
          <w:p>
            <w:pPr>
              <w:ind w:left="505"/>
              <w:spacing w:before="168" w:line="9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7" w:type="dxa"/>
            <w:vAlign w:val="top"/>
          </w:tcPr>
          <w:p>
            <w:pPr>
              <w:ind w:left="609"/>
              <w:spacing w:before="168" w:line="9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Pr>
          <w:p>
            <w:pPr>
              <w:ind w:left="611"/>
              <w:spacing w:before="168" w:line="9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Pr>
          <w:p>
            <w:pPr>
              <w:ind w:left="285"/>
              <w:spacing w:before="80" w:line="18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647" w:type="dxa"/>
            <w:vAlign w:val="top"/>
          </w:tcPr>
          <w:p>
            <w:pPr>
              <w:ind w:left="292"/>
              <w:spacing w:before="168" w:line="9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073" w:type="dxa"/>
            <w:vAlign w:val="top"/>
          </w:tcPr>
          <w:p>
            <w:pPr>
              <w:ind w:left="506"/>
              <w:spacing w:before="168" w:line="9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tcBorders>
          </w:tcPr>
          <w:p>
            <w:pPr>
              <w:ind w:left="290"/>
              <w:spacing w:before="168" w:line="9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300" w:hRule="atLeast"/>
        </w:trPr>
        <w:tc>
          <w:tcPr>
            <w:tcW w:w="761" w:type="dxa"/>
            <w:vAlign w:val="top"/>
            <w:vMerge w:val="continue"/>
            <w:tcBorders>
              <w:left w:val="nil"/>
              <w:bottom w:val="single" w:color="000000" w:sz="10" w:space="0"/>
              <w:top w:val="nil"/>
            </w:tcBorders>
          </w:tcPr>
          <w:p>
            <w:pPr>
              <w:rPr>
                <w:rFonts w:ascii="Arial"/>
                <w:sz w:val="21"/>
              </w:rPr>
            </w:pPr>
            <w:r/>
          </w:p>
        </w:tc>
        <w:tc>
          <w:tcPr>
            <w:tcW w:w="1078" w:type="dxa"/>
            <w:vAlign w:val="top"/>
            <w:tcBorders>
              <w:bottom w:val="single" w:color="000000" w:sz="10" w:space="0"/>
            </w:tcBorders>
          </w:tcPr>
          <w:p>
            <w:pPr>
              <w:pStyle w:val="TableText"/>
              <w:ind w:left="331"/>
              <w:spacing w:before="53" w:line="208" w:lineRule="auto"/>
              <w:rPr/>
            </w:pPr>
            <w:r>
              <w:rPr>
                <w:spacing w:val="-2"/>
              </w:rPr>
              <w:t>运输</w:t>
            </w:r>
          </w:p>
        </w:tc>
        <w:tc>
          <w:tcPr>
            <w:tcW w:w="1072" w:type="dxa"/>
            <w:vAlign w:val="top"/>
            <w:tcBorders>
              <w:bottom w:val="single" w:color="000000" w:sz="10" w:space="0"/>
            </w:tcBorders>
          </w:tcPr>
          <w:p>
            <w:pPr>
              <w:ind w:left="387"/>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1287" w:type="dxa"/>
            <w:vAlign w:val="top"/>
            <w:tcBorders>
              <w:bottom w:val="single" w:color="000000" w:sz="10" w:space="0"/>
            </w:tcBorders>
          </w:tcPr>
          <w:p>
            <w:pPr>
              <w:ind w:left="609"/>
              <w:spacing w:before="17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86" w:type="dxa"/>
            <w:vAlign w:val="top"/>
            <w:tcBorders>
              <w:bottom w:val="single" w:color="000000" w:sz="10" w:space="0"/>
            </w:tcBorders>
          </w:tcPr>
          <w:p>
            <w:pPr>
              <w:ind w:left="611"/>
              <w:spacing w:before="17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865" w:type="dxa"/>
            <w:vAlign w:val="top"/>
            <w:tcBorders>
              <w:bottom w:val="single" w:color="000000" w:sz="10" w:space="0"/>
            </w:tcBorders>
          </w:tcPr>
          <w:p>
            <w:pPr>
              <w:ind w:left="285"/>
              <w:spacing w:before="8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-1L</w:t>
            </w:r>
          </w:p>
        </w:tc>
        <w:tc>
          <w:tcPr>
            <w:tcW w:w="647" w:type="dxa"/>
            <w:vAlign w:val="top"/>
            <w:tcBorders>
              <w:bottom w:val="single" w:color="000000" w:sz="10" w:space="0"/>
            </w:tcBorders>
          </w:tcPr>
          <w:p>
            <w:pPr>
              <w:ind w:left="292"/>
              <w:spacing w:before="17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073" w:type="dxa"/>
            <w:vAlign w:val="top"/>
            <w:tcBorders>
              <w:bottom w:val="single" w:color="000000" w:sz="10" w:space="0"/>
            </w:tcBorders>
          </w:tcPr>
          <w:p>
            <w:pPr>
              <w:ind w:left="506"/>
              <w:spacing w:before="17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49" w:type="dxa"/>
            <w:vAlign w:val="top"/>
            <w:tcBorders>
              <w:right w:val="nil"/>
              <w:bottom w:val="single" w:color="000000" w:sz="10" w:space="0"/>
            </w:tcBorders>
          </w:tcPr>
          <w:p>
            <w:pPr>
              <w:ind w:left="290"/>
              <w:spacing w:before="17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bl>
    <w:p>
      <w:pPr>
        <w:ind w:left="124" w:right="137" w:hanging="7"/>
        <w:spacing w:before="25"/>
        <w:rPr>
          <w:rFonts w:ascii="SimSun" w:hAnsi="SimSun" w:eastAsia="SimSun" w:cs="SimSun"/>
          <w:sz w:val="18"/>
          <w:szCs w:val="18"/>
        </w:rPr>
      </w:pPr>
      <w:r>
        <w:rPr>
          <w:rFonts w:ascii="SimSun" w:hAnsi="SimSun" w:eastAsia="SimSun" w:cs="SimSun"/>
          <w:sz w:val="18"/>
          <w:szCs w:val="18"/>
          <w:b/>
          <w:bCs/>
          <w:spacing w:val="-1"/>
        </w:rPr>
        <w:t>备注：表中</w:t>
      </w:r>
      <w:r>
        <w:rPr>
          <w:rFonts w:ascii="Times New Roman" w:hAnsi="Times New Roman" w:eastAsia="Times New Roman" w:cs="Times New Roman"/>
          <w:sz w:val="18"/>
          <w:szCs w:val="18"/>
          <w:b/>
          <w:bCs/>
          <w:spacing w:val="-1"/>
        </w:rPr>
        <w:t>“+”</w:t>
      </w:r>
      <w:r>
        <w:rPr>
          <w:rFonts w:ascii="SimSun" w:hAnsi="SimSun" w:eastAsia="SimSun" w:cs="SimSun"/>
          <w:sz w:val="18"/>
          <w:szCs w:val="18"/>
          <w:b/>
          <w:bCs/>
          <w:spacing w:val="-1"/>
        </w:rPr>
        <w:t>表示正效益，</w:t>
      </w:r>
      <w:r>
        <w:rPr>
          <w:rFonts w:ascii="Times New Roman" w:hAnsi="Times New Roman" w:eastAsia="Times New Roman" w:cs="Times New Roman"/>
          <w:sz w:val="18"/>
          <w:szCs w:val="18"/>
          <w:b/>
          <w:bCs/>
          <w:spacing w:val="-1"/>
        </w:rPr>
        <w:t>“-”</w:t>
      </w:r>
      <w:r>
        <w:rPr>
          <w:rFonts w:ascii="SimSun" w:hAnsi="SimSun" w:eastAsia="SimSun" w:cs="SimSun"/>
          <w:sz w:val="18"/>
          <w:szCs w:val="18"/>
          <w:b/>
          <w:bCs/>
          <w:spacing w:val="-1"/>
        </w:rPr>
        <w:t>表示负效益；表中数字表示影响的相对程度，</w:t>
      </w:r>
      <w:r>
        <w:rPr>
          <w:rFonts w:ascii="Times New Roman" w:hAnsi="Times New Roman" w:eastAsia="Times New Roman" w:cs="Times New Roman"/>
          <w:sz w:val="18"/>
          <w:szCs w:val="18"/>
          <w:b/>
          <w:bCs/>
          <w:spacing w:val="-1"/>
        </w:rPr>
        <w:t>“1”</w:t>
      </w:r>
      <w:r>
        <w:rPr>
          <w:rFonts w:ascii="SimSun" w:hAnsi="SimSun" w:eastAsia="SimSun" w:cs="SimSun"/>
          <w:sz w:val="18"/>
          <w:szCs w:val="18"/>
          <w:b/>
          <w:bCs/>
          <w:spacing w:val="-1"/>
        </w:rPr>
        <w:t>表示影响较小，</w:t>
      </w:r>
      <w:r>
        <w:rPr>
          <w:rFonts w:ascii="Times New Roman" w:hAnsi="Times New Roman" w:eastAsia="Times New Roman" w:cs="Times New Roman"/>
          <w:sz w:val="18"/>
          <w:szCs w:val="18"/>
          <w:b/>
          <w:bCs/>
          <w:spacing w:val="-1"/>
        </w:rPr>
        <w:t>“2</w:t>
      </w:r>
      <w:r>
        <w:rPr>
          <w:rFonts w:ascii="Times New Roman" w:hAnsi="Times New Roman" w:eastAsia="Times New Roman" w:cs="Times New Roman"/>
          <w:sz w:val="18"/>
          <w:szCs w:val="18"/>
          <w:b/>
          <w:bCs/>
          <w:spacing w:val="-2"/>
        </w:rPr>
        <w:t>”</w:t>
      </w:r>
      <w:r>
        <w:rPr>
          <w:rFonts w:ascii="SimSun" w:hAnsi="SimSun" w:eastAsia="SimSun" w:cs="SimSun"/>
          <w:sz w:val="18"/>
          <w:szCs w:val="18"/>
          <w:b/>
          <w:bCs/>
          <w:spacing w:val="-2"/>
        </w:rPr>
        <w:t>表示影</w:t>
      </w:r>
      <w:r>
        <w:rPr>
          <w:rFonts w:ascii="SimSun" w:hAnsi="SimSun" w:eastAsia="SimSun" w:cs="SimSun"/>
          <w:sz w:val="18"/>
          <w:szCs w:val="18"/>
          <w:b/>
          <w:bCs/>
          <w:spacing w:val="-2"/>
        </w:rPr>
        <w:t>响中等，</w:t>
      </w:r>
      <w:r>
        <w:rPr>
          <w:rFonts w:ascii="Times New Roman" w:hAnsi="Times New Roman" w:eastAsia="Times New Roman" w:cs="Times New Roman"/>
          <w:sz w:val="18"/>
          <w:szCs w:val="18"/>
          <w:b/>
          <w:bCs/>
          <w:spacing w:val="-2"/>
        </w:rPr>
        <w:t>“3”</w:t>
      </w:r>
      <w:r>
        <w:rPr>
          <w:rFonts w:ascii="SimSun" w:hAnsi="SimSun" w:eastAsia="SimSun" w:cs="SimSun"/>
          <w:sz w:val="18"/>
          <w:szCs w:val="18"/>
          <w:b/>
          <w:bCs/>
          <w:spacing w:val="-2"/>
        </w:rPr>
        <w:t>表示影响较大；表中</w:t>
      </w:r>
      <w:r>
        <w:rPr>
          <w:rFonts w:ascii="Times New Roman" w:hAnsi="Times New Roman" w:eastAsia="Times New Roman" w:cs="Times New Roman"/>
          <w:sz w:val="18"/>
          <w:szCs w:val="18"/>
          <w:b/>
          <w:bCs/>
          <w:spacing w:val="-2"/>
        </w:rPr>
        <w:t>“S”</w:t>
      </w:r>
      <w:r>
        <w:rPr>
          <w:rFonts w:ascii="SimSun" w:hAnsi="SimSun" w:eastAsia="SimSun" w:cs="SimSun"/>
          <w:sz w:val="18"/>
          <w:szCs w:val="18"/>
          <w:b/>
          <w:bCs/>
          <w:spacing w:val="-2"/>
        </w:rPr>
        <w:t>表示短期影响，</w:t>
      </w:r>
      <w:r>
        <w:rPr>
          <w:rFonts w:ascii="Times New Roman" w:hAnsi="Times New Roman" w:eastAsia="Times New Roman" w:cs="Times New Roman"/>
          <w:sz w:val="18"/>
          <w:szCs w:val="18"/>
          <w:b/>
          <w:bCs/>
          <w:spacing w:val="-2"/>
        </w:rPr>
        <w:t>“L”</w:t>
      </w:r>
      <w:r>
        <w:rPr>
          <w:rFonts w:ascii="SimSun" w:hAnsi="SimSun" w:eastAsia="SimSun" w:cs="SimSun"/>
          <w:sz w:val="18"/>
          <w:szCs w:val="18"/>
          <w:b/>
          <w:bCs/>
          <w:spacing w:val="-2"/>
        </w:rPr>
        <w:t>表示长期影响。</w:t>
      </w:r>
    </w:p>
    <w:p>
      <w:pPr>
        <w:ind w:left="118" w:right="115" w:firstLine="510"/>
        <w:spacing w:before="7" w:line="360" w:lineRule="auto"/>
        <w:jc w:val="both"/>
        <w:rPr>
          <w:rFonts w:ascii="SimSun" w:hAnsi="SimSun" w:eastAsia="SimSun" w:cs="SimSun"/>
          <w:sz w:val="24"/>
          <w:szCs w:val="24"/>
        </w:rPr>
      </w:pPr>
      <w:r>
        <w:rPr>
          <w:rFonts w:ascii="SimSun" w:hAnsi="SimSun" w:eastAsia="SimSun" w:cs="SimSun"/>
          <w:sz w:val="24"/>
          <w:szCs w:val="24"/>
          <w:spacing w:val="1"/>
        </w:rPr>
        <w:t>由上表可知，项目的建设对环境的影响是多方面的，既存在短期、局部及可</w:t>
      </w:r>
      <w:r>
        <w:rPr>
          <w:rFonts w:ascii="SimSun" w:hAnsi="SimSun" w:eastAsia="SimSun" w:cs="SimSun"/>
          <w:sz w:val="24"/>
          <w:szCs w:val="24"/>
          <w:spacing w:val="2"/>
        </w:rPr>
        <w:t>恢复的正、负影响，也存在长期的或正或负的影响。施工期主要表现在对大气环</w:t>
      </w:r>
      <w:r>
        <w:rPr>
          <w:rFonts w:ascii="SimSun" w:hAnsi="SimSun" w:eastAsia="SimSun" w:cs="SimSun"/>
          <w:sz w:val="24"/>
          <w:szCs w:val="24"/>
          <w:spacing w:val="2"/>
        </w:rPr>
        <w:t>境、声环境和水土流失产生一定程度的负面影响，但施工期影响是局部的、短期</w:t>
      </w:r>
      <w:r>
        <w:rPr>
          <w:rFonts w:ascii="SimSun" w:hAnsi="SimSun" w:eastAsia="SimSun" w:cs="SimSun"/>
          <w:sz w:val="24"/>
          <w:szCs w:val="24"/>
          <w:spacing w:val="2"/>
        </w:rPr>
        <w:t>的，且影响较小，随着施工期结束而结束。运营期对环境的不利影响是长期存在</w:t>
      </w:r>
      <w:r>
        <w:rPr>
          <w:rFonts w:ascii="SimSun" w:hAnsi="SimSun" w:eastAsia="SimSun" w:cs="SimSun"/>
          <w:sz w:val="24"/>
          <w:szCs w:val="24"/>
          <w:spacing w:val="-1"/>
        </w:rPr>
        <w:t>的，主要表现在对大气环境、地下水和声环境等方面产</w:t>
      </w:r>
      <w:r>
        <w:rPr>
          <w:rFonts w:ascii="SimSun" w:hAnsi="SimSun" w:eastAsia="SimSun" w:cs="SimSun"/>
          <w:sz w:val="24"/>
          <w:szCs w:val="24"/>
          <w:spacing w:val="-2"/>
        </w:rPr>
        <w:t>生不同程度的负面影响。</w:t>
      </w:r>
    </w:p>
    <w:p>
      <w:pPr>
        <w:ind w:left="113"/>
        <w:spacing w:before="257"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2.4.2 </w:t>
      </w:r>
      <w:r>
        <w:rPr>
          <w:rFonts w:ascii="SimSun" w:hAnsi="SimSun" w:eastAsia="SimSun" w:cs="SimSun"/>
          <w:sz w:val="24"/>
          <w:szCs w:val="24"/>
          <w:b/>
          <w:bCs/>
          <w:spacing w:val="-2"/>
        </w:rPr>
        <w:t>评价因子筛选</w:t>
      </w:r>
    </w:p>
    <w:p>
      <w:pPr>
        <w:pStyle w:val="BodyText"/>
        <w:spacing w:line="343" w:lineRule="auto"/>
        <w:rPr/>
      </w:pPr>
      <w:r/>
    </w:p>
    <w:p>
      <w:pPr>
        <w:ind w:left="599"/>
        <w:spacing w:before="78" w:line="218" w:lineRule="auto"/>
        <w:rPr>
          <w:rFonts w:ascii="SimSun" w:hAnsi="SimSun" w:eastAsia="SimSun" w:cs="SimSun"/>
          <w:sz w:val="24"/>
          <w:szCs w:val="24"/>
        </w:rPr>
      </w:pPr>
      <w:r>
        <w:pict>
          <v:shape id="_x0000_s76" style="position:absolute;margin-left:5.64601pt;margin-top:38.1723pt;mso-position-vertical-relative:text;mso-position-horizontal-relative:text;width:425.7pt;height:0.6pt;z-index:251681792;" filled="false" strokecolor="#808080" strokeweight="0.50pt" coordsize="8514,12" coordorigin="0,0" path="m5,5l8508,6e">
            <v:stroke endcap="round" miterlimit="10"/>
          </v:shape>
        </w:pict>
      </w:r>
      <w:r>
        <w:rPr>
          <w:rFonts w:ascii="SimSun" w:hAnsi="SimSun" w:eastAsia="SimSun" w:cs="SimSun"/>
          <w:sz w:val="24"/>
          <w:szCs w:val="24"/>
          <w:spacing w:val="2"/>
        </w:rPr>
        <w:t>根据工程特点和对环境影响的特点，确定本项目的环境影响评价因子详见表</w:t>
      </w:r>
    </w:p>
    <w:p>
      <w:pPr>
        <w:spacing w:line="218" w:lineRule="auto"/>
        <w:sectPr>
          <w:headerReference w:type="default" r:id="rId40"/>
          <w:footerReference w:type="default" r:id="rId41"/>
          <w:pgSz w:w="11907" w:h="16839"/>
          <w:pgMar w:top="1422" w:right="1593" w:bottom="1618" w:left="1594" w:header="1033" w:footer="1415" w:gutter="0"/>
        </w:sectPr>
        <w:rPr>
          <w:rFonts w:ascii="SimSun" w:hAnsi="SimSun" w:eastAsia="SimSun" w:cs="SimSun"/>
          <w:sz w:val="24"/>
          <w:szCs w:val="24"/>
        </w:rPr>
      </w:pPr>
    </w:p>
    <w:p>
      <w:pPr>
        <w:pStyle w:val="BodyText"/>
        <w:spacing w:line="273" w:lineRule="auto"/>
        <w:rPr/>
      </w:pPr>
      <w:r/>
    </w:p>
    <w:p>
      <w:pPr>
        <w:ind w:left="127"/>
        <w:spacing w:before="78" w:line="221" w:lineRule="auto"/>
        <w:rPr>
          <w:rFonts w:ascii="SimSun" w:hAnsi="SimSun" w:eastAsia="SimSun" w:cs="SimSun"/>
          <w:sz w:val="24"/>
          <w:szCs w:val="24"/>
        </w:rPr>
      </w:pPr>
      <w:r>
        <w:rPr>
          <w:rFonts w:ascii="Times New Roman" w:hAnsi="Times New Roman" w:eastAsia="Times New Roman" w:cs="Times New Roman"/>
          <w:sz w:val="24"/>
          <w:szCs w:val="24"/>
          <w:spacing w:val="-2"/>
        </w:rPr>
        <w:t>2-2</w:t>
      </w:r>
      <w:r>
        <w:rPr>
          <w:rFonts w:ascii="SimSun" w:hAnsi="SimSun" w:eastAsia="SimSun" w:cs="SimSun"/>
          <w:sz w:val="24"/>
          <w:szCs w:val="24"/>
          <w:spacing w:val="-2"/>
        </w:rPr>
        <w:t>。</w:t>
      </w:r>
    </w:p>
    <w:p>
      <w:pPr>
        <w:ind w:left="2624"/>
        <w:spacing w:before="138"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2"/>
        </w:rPr>
        <w:t>2-2    </w:t>
      </w:r>
      <w:r>
        <w:rPr>
          <w:rFonts w:ascii="SimSun" w:hAnsi="SimSun" w:eastAsia="SimSun" w:cs="SimSun"/>
          <w:sz w:val="24"/>
          <w:szCs w:val="24"/>
          <w:b/>
          <w:bCs/>
          <w:spacing w:val="-2"/>
        </w:rPr>
        <w:t>环境影响评价因子筛选表</w:t>
      </w:r>
    </w:p>
    <w:p>
      <w:pPr>
        <w:spacing w:line="132" w:lineRule="exact"/>
        <w:rPr/>
      </w:pPr>
      <w:r/>
    </w:p>
    <w:tbl>
      <w:tblPr>
        <w:tblStyle w:val="TableNormal"/>
        <w:tblW w:w="8735"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63"/>
        <w:gridCol w:w="1087"/>
        <w:gridCol w:w="5639"/>
        <w:gridCol w:w="1546"/>
      </w:tblGrid>
      <w:tr>
        <w:trPr>
          <w:trHeight w:val="552" w:hRule="atLeast"/>
        </w:trPr>
        <w:tc>
          <w:tcPr>
            <w:tcW w:w="463" w:type="dxa"/>
            <w:vAlign w:val="top"/>
            <w:textDirection w:val="tbRlV"/>
            <w:tcBorders>
              <w:left w:val="nil"/>
              <w:top w:val="single" w:color="000000" w:sz="10" w:space="0"/>
            </w:tcBorders>
          </w:tcPr>
          <w:p>
            <w:pPr>
              <w:pStyle w:val="TableText"/>
              <w:ind w:left="33"/>
              <w:spacing w:before="97" w:line="211" w:lineRule="auto"/>
              <w:rPr/>
            </w:pPr>
            <w:r>
              <w:rPr>
                <w:b/>
                <w:bCs/>
                <w:spacing w:val="-2"/>
              </w:rPr>
              <w:t>序</w:t>
            </w:r>
            <w:r>
              <w:rPr>
                <w:spacing w:val="-42"/>
              </w:rPr>
              <w:t xml:space="preserve"> </w:t>
            </w:r>
            <w:r>
              <w:rPr>
                <w:b/>
                <w:bCs/>
                <w:spacing w:val="-2"/>
              </w:rPr>
              <w:t>号</w:t>
            </w:r>
          </w:p>
        </w:tc>
        <w:tc>
          <w:tcPr>
            <w:tcW w:w="1087" w:type="dxa"/>
            <w:vAlign w:val="top"/>
            <w:tcBorders>
              <w:top w:val="single" w:color="000000" w:sz="10" w:space="0"/>
            </w:tcBorders>
          </w:tcPr>
          <w:p>
            <w:pPr>
              <w:pStyle w:val="TableText"/>
              <w:ind w:left="124"/>
              <w:spacing w:before="170" w:line="219" w:lineRule="auto"/>
              <w:rPr/>
            </w:pPr>
            <w:r>
              <w:rPr>
                <w:b/>
                <w:bCs/>
                <w:spacing w:val="-3"/>
              </w:rPr>
              <w:t>评价要素</w:t>
            </w:r>
          </w:p>
        </w:tc>
        <w:tc>
          <w:tcPr>
            <w:tcW w:w="5639" w:type="dxa"/>
            <w:vAlign w:val="top"/>
            <w:tcBorders>
              <w:top w:val="single" w:color="000000" w:sz="10" w:space="0"/>
            </w:tcBorders>
          </w:tcPr>
          <w:p>
            <w:pPr>
              <w:pStyle w:val="TableText"/>
              <w:ind w:left="2401"/>
              <w:spacing w:before="170" w:line="219" w:lineRule="auto"/>
              <w:rPr/>
            </w:pPr>
            <w:r>
              <w:rPr>
                <w:b/>
                <w:bCs/>
                <w:spacing w:val="-3"/>
              </w:rPr>
              <w:t>评价因子</w:t>
            </w:r>
          </w:p>
        </w:tc>
        <w:tc>
          <w:tcPr>
            <w:tcW w:w="1546" w:type="dxa"/>
            <w:vAlign w:val="top"/>
            <w:tcBorders>
              <w:right w:val="nil"/>
              <w:top w:val="single" w:color="000000" w:sz="10" w:space="0"/>
            </w:tcBorders>
          </w:tcPr>
          <w:p>
            <w:pPr>
              <w:pStyle w:val="TableText"/>
              <w:ind w:left="248"/>
              <w:spacing w:before="169" w:line="221" w:lineRule="auto"/>
              <w:rPr/>
            </w:pPr>
            <w:r>
              <w:rPr>
                <w:b/>
                <w:bCs/>
                <w:spacing w:val="-3"/>
              </w:rPr>
              <w:t>影响及预测</w:t>
            </w:r>
          </w:p>
        </w:tc>
      </w:tr>
      <w:tr>
        <w:trPr>
          <w:trHeight w:val="1359" w:hRule="atLeast"/>
        </w:trPr>
        <w:tc>
          <w:tcPr>
            <w:tcW w:w="463" w:type="dxa"/>
            <w:vAlign w:val="top"/>
            <w:tcBorders>
              <w:left w:val="nil"/>
            </w:tcBorders>
          </w:tcPr>
          <w:p>
            <w:pPr>
              <w:spacing w:line="271" w:lineRule="auto"/>
              <w:rPr>
                <w:rFonts w:ascii="Arial"/>
                <w:sz w:val="21"/>
              </w:rPr>
            </w:pPr>
            <w:r/>
          </w:p>
          <w:p>
            <w:pPr>
              <w:spacing w:line="271" w:lineRule="auto"/>
              <w:rPr>
                <w:rFonts w:ascii="Arial"/>
                <w:sz w:val="21"/>
              </w:rPr>
            </w:pPr>
            <w:r/>
          </w:p>
          <w:p>
            <w:pPr>
              <w:ind w:left="219"/>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87" w:type="dxa"/>
            <w:vAlign w:val="top"/>
          </w:tcPr>
          <w:p>
            <w:pPr>
              <w:spacing w:line="251" w:lineRule="auto"/>
              <w:rPr>
                <w:rFonts w:ascii="Arial"/>
                <w:sz w:val="21"/>
              </w:rPr>
            </w:pPr>
            <w:r/>
          </w:p>
          <w:p>
            <w:pPr>
              <w:spacing w:line="252" w:lineRule="auto"/>
              <w:rPr>
                <w:rFonts w:ascii="Arial"/>
                <w:sz w:val="21"/>
              </w:rPr>
            </w:pPr>
            <w:r/>
          </w:p>
          <w:p>
            <w:pPr>
              <w:pStyle w:val="TableText"/>
              <w:ind w:left="231"/>
              <w:spacing w:before="68" w:line="221" w:lineRule="auto"/>
              <w:rPr/>
            </w:pPr>
            <w:r>
              <w:rPr>
                <w:spacing w:val="-2"/>
              </w:rPr>
              <w:t>地下水</w:t>
            </w:r>
          </w:p>
        </w:tc>
        <w:tc>
          <w:tcPr>
            <w:tcW w:w="5639" w:type="dxa"/>
            <w:vAlign w:val="top"/>
          </w:tcPr>
          <w:p>
            <w:pPr>
              <w:pStyle w:val="TableText"/>
              <w:ind w:left="114"/>
              <w:spacing w:before="33" w:line="213" w:lineRule="auto"/>
              <w:rPr>
                <w:rFonts w:ascii="Times New Roman" w:hAnsi="Times New Roman" w:eastAsia="Times New Roman" w:cs="Times New Roman"/>
                <w:sz w:val="7"/>
                <w:szCs w:val="7"/>
              </w:rPr>
            </w:pPr>
            <w:r>
              <w:rPr>
                <w:spacing w:val="-2"/>
              </w:rPr>
              <w:t>八大离子：</w:t>
            </w:r>
            <w:r>
              <w:rPr>
                <w:rFonts w:ascii="Times New Roman" w:hAnsi="Times New Roman" w:eastAsia="Times New Roman" w:cs="Times New Roman"/>
                <w:spacing w:val="-2"/>
              </w:rPr>
              <w:t>K</w:t>
            </w:r>
            <w:r>
              <w:rPr>
                <w:rFonts w:ascii="Times New Roman" w:hAnsi="Times New Roman" w:eastAsia="Times New Roman" w:cs="Times New Roman"/>
                <w:sz w:val="7"/>
                <w:szCs w:val="7"/>
                <w:spacing w:val="-2"/>
                <w:position w:val="5"/>
              </w:rPr>
              <w:t>+</w:t>
            </w:r>
            <w:r>
              <w:rPr>
                <w:rFonts w:ascii="Times New Roman" w:hAnsi="Times New Roman" w:eastAsia="Times New Roman" w:cs="Times New Roman"/>
                <w:sz w:val="7"/>
                <w:szCs w:val="7"/>
                <w:spacing w:val="8"/>
                <w:w w:val="103"/>
                <w:position w:val="5"/>
              </w:rPr>
              <w:t xml:space="preserve"> </w:t>
            </w:r>
            <w:r>
              <w:rPr>
                <w:spacing w:val="-2"/>
              </w:rPr>
              <w:t>、</w:t>
            </w:r>
            <w:r>
              <w:rPr>
                <w:rFonts w:ascii="Times New Roman" w:hAnsi="Times New Roman" w:eastAsia="Times New Roman" w:cs="Times New Roman"/>
                <w:spacing w:val="-2"/>
              </w:rPr>
              <w:t>Na</w:t>
            </w:r>
            <w:r>
              <w:rPr>
                <w:rFonts w:ascii="Times New Roman" w:hAnsi="Times New Roman" w:eastAsia="Times New Roman" w:cs="Times New Roman"/>
                <w:sz w:val="7"/>
                <w:szCs w:val="7"/>
                <w:spacing w:val="-2"/>
                <w:position w:val="5"/>
              </w:rPr>
              <w:t>+</w:t>
            </w:r>
            <w:r>
              <w:rPr>
                <w:rFonts w:ascii="Times New Roman" w:hAnsi="Times New Roman" w:eastAsia="Times New Roman" w:cs="Times New Roman"/>
                <w:sz w:val="7"/>
                <w:szCs w:val="7"/>
                <w:spacing w:val="4"/>
                <w:position w:val="5"/>
              </w:rPr>
              <w:t xml:space="preserve"> </w:t>
            </w:r>
            <w:r>
              <w:rPr>
                <w:spacing w:val="-2"/>
              </w:rPr>
              <w:t>、</w:t>
            </w:r>
            <w:r>
              <w:rPr>
                <w:rFonts w:ascii="Times New Roman" w:hAnsi="Times New Roman" w:eastAsia="Times New Roman" w:cs="Times New Roman"/>
                <w:spacing w:val="-2"/>
              </w:rPr>
              <w:t>Ca</w:t>
            </w:r>
            <w:r>
              <w:rPr>
                <w:rFonts w:ascii="Times New Roman" w:hAnsi="Times New Roman" w:eastAsia="Times New Roman" w:cs="Times New Roman"/>
                <w:sz w:val="7"/>
                <w:szCs w:val="7"/>
                <w:spacing w:val="-2"/>
                <w:position w:val="5"/>
              </w:rPr>
              <w:t>2+</w:t>
            </w:r>
            <w:r>
              <w:rPr>
                <w:rFonts w:ascii="Times New Roman" w:hAnsi="Times New Roman" w:eastAsia="Times New Roman" w:cs="Times New Roman"/>
                <w:sz w:val="7"/>
                <w:szCs w:val="7"/>
                <w:spacing w:val="4"/>
                <w:position w:val="5"/>
              </w:rPr>
              <w:t xml:space="preserve"> </w:t>
            </w:r>
            <w:r>
              <w:rPr>
                <w:spacing w:val="-2"/>
              </w:rPr>
              <w:t>、</w:t>
            </w:r>
            <w:r>
              <w:rPr>
                <w:rFonts w:ascii="Times New Roman" w:hAnsi="Times New Roman" w:eastAsia="Times New Roman" w:cs="Times New Roman"/>
                <w:spacing w:val="-2"/>
              </w:rPr>
              <w:t>Mg</w:t>
            </w:r>
            <w:r>
              <w:rPr>
                <w:rFonts w:ascii="Times New Roman" w:hAnsi="Times New Roman" w:eastAsia="Times New Roman" w:cs="Times New Roman"/>
                <w:sz w:val="7"/>
                <w:szCs w:val="7"/>
                <w:spacing w:val="-2"/>
                <w:position w:val="5"/>
              </w:rPr>
              <w:t>2+</w:t>
            </w:r>
            <w:r>
              <w:rPr>
                <w:rFonts w:ascii="Times New Roman" w:hAnsi="Times New Roman" w:eastAsia="Times New Roman" w:cs="Times New Roman"/>
                <w:sz w:val="7"/>
                <w:szCs w:val="7"/>
                <w:spacing w:val="4"/>
                <w:position w:val="5"/>
              </w:rPr>
              <w:t xml:space="preserve"> </w:t>
            </w:r>
            <w:r>
              <w:rPr>
                <w:spacing w:val="-2"/>
              </w:rPr>
              <w:t>、</w:t>
            </w:r>
            <w:r>
              <w:rPr>
                <w:rFonts w:ascii="Times New Roman" w:hAnsi="Times New Roman" w:eastAsia="Times New Roman" w:cs="Times New Roman"/>
                <w:spacing w:val="-2"/>
              </w:rPr>
              <w:t>CO</w:t>
            </w:r>
            <w:r>
              <w:rPr>
                <w:rFonts w:ascii="Times New Roman" w:hAnsi="Times New Roman" w:eastAsia="Times New Roman" w:cs="Times New Roman"/>
                <w:sz w:val="7"/>
                <w:szCs w:val="7"/>
                <w:spacing w:val="-2"/>
                <w:position w:val="-2"/>
              </w:rPr>
              <w:t>3</w:t>
            </w:r>
            <w:r>
              <w:rPr>
                <w:rFonts w:ascii="Times New Roman" w:hAnsi="Times New Roman" w:eastAsia="Times New Roman" w:cs="Times New Roman"/>
                <w:sz w:val="7"/>
                <w:szCs w:val="7"/>
                <w:spacing w:val="16"/>
                <w:w w:val="104"/>
                <w:position w:val="-2"/>
              </w:rPr>
              <w:t xml:space="preserve"> </w:t>
            </w:r>
            <w:r>
              <w:rPr>
                <w:rFonts w:ascii="Times New Roman" w:hAnsi="Times New Roman" w:eastAsia="Times New Roman" w:cs="Times New Roman"/>
                <w:sz w:val="7"/>
                <w:szCs w:val="7"/>
                <w:spacing w:val="-2"/>
                <w:position w:val="5"/>
              </w:rPr>
              <w:t>2- </w:t>
            </w:r>
            <w:r>
              <w:rPr>
                <w:spacing w:val="-2"/>
              </w:rPr>
              <w:t>、</w:t>
            </w:r>
            <w:r>
              <w:rPr>
                <w:rFonts w:ascii="Times New Roman" w:hAnsi="Times New Roman" w:eastAsia="Times New Roman" w:cs="Times New Roman"/>
                <w:spacing w:val="-2"/>
              </w:rPr>
              <w:t>HCO</w:t>
            </w:r>
            <w:r>
              <w:rPr>
                <w:rFonts w:ascii="Times New Roman" w:hAnsi="Times New Roman" w:eastAsia="Times New Roman" w:cs="Times New Roman"/>
                <w:sz w:val="7"/>
                <w:szCs w:val="7"/>
                <w:spacing w:val="-2"/>
                <w:position w:val="5"/>
              </w:rPr>
              <w:t>3- </w:t>
            </w:r>
            <w:r>
              <w:rPr>
                <w:spacing w:val="-2"/>
              </w:rPr>
              <w:t>、</w:t>
            </w:r>
            <w:r>
              <w:rPr>
                <w:rFonts w:ascii="Times New Roman" w:hAnsi="Times New Roman" w:eastAsia="Times New Roman" w:cs="Times New Roman"/>
                <w:spacing w:val="-2"/>
              </w:rPr>
              <w:t>Cl</w:t>
            </w:r>
            <w:r>
              <w:rPr>
                <w:rFonts w:ascii="Times New Roman" w:hAnsi="Times New Roman" w:eastAsia="Times New Roman" w:cs="Times New Roman"/>
                <w:sz w:val="7"/>
                <w:szCs w:val="7"/>
                <w:spacing w:val="-2"/>
                <w:position w:val="5"/>
              </w:rPr>
              <w:t>-</w:t>
            </w:r>
            <w:r>
              <w:rPr>
                <w:rFonts w:ascii="Times New Roman" w:hAnsi="Times New Roman" w:eastAsia="Times New Roman" w:cs="Times New Roman"/>
                <w:sz w:val="7"/>
                <w:szCs w:val="7"/>
                <w:spacing w:val="5"/>
                <w:w w:val="103"/>
                <w:position w:val="5"/>
              </w:rPr>
              <w:t xml:space="preserve"> </w:t>
            </w:r>
            <w:r>
              <w:rPr>
                <w:spacing w:val="-2"/>
              </w:rPr>
              <w:t>、</w:t>
            </w:r>
            <w:r>
              <w:rPr>
                <w:rFonts w:ascii="Times New Roman" w:hAnsi="Times New Roman" w:eastAsia="Times New Roman" w:cs="Times New Roman"/>
                <w:spacing w:val="-2"/>
              </w:rPr>
              <w:t>SO</w:t>
            </w:r>
            <w:r>
              <w:rPr>
                <w:rFonts w:ascii="Times New Roman" w:hAnsi="Times New Roman" w:eastAsia="Times New Roman" w:cs="Times New Roman"/>
                <w:sz w:val="7"/>
                <w:szCs w:val="7"/>
                <w:spacing w:val="-2"/>
                <w:position w:val="-2"/>
              </w:rPr>
              <w:t>4</w:t>
            </w:r>
            <w:r>
              <w:rPr>
                <w:rFonts w:ascii="Times New Roman" w:hAnsi="Times New Roman" w:eastAsia="Times New Roman" w:cs="Times New Roman"/>
                <w:sz w:val="7"/>
                <w:szCs w:val="7"/>
                <w:spacing w:val="4"/>
                <w:w w:val="103"/>
                <w:position w:val="-2"/>
              </w:rPr>
              <w:t xml:space="preserve"> </w:t>
            </w:r>
            <w:r>
              <w:rPr>
                <w:rFonts w:ascii="Times New Roman" w:hAnsi="Times New Roman" w:eastAsia="Times New Roman" w:cs="Times New Roman"/>
                <w:sz w:val="7"/>
                <w:szCs w:val="7"/>
                <w:spacing w:val="-2"/>
                <w:position w:val="5"/>
              </w:rPr>
              <w:t>2-</w:t>
            </w:r>
          </w:p>
          <w:p>
            <w:pPr>
              <w:pStyle w:val="TableText"/>
              <w:ind w:left="110" w:right="91"/>
              <w:spacing w:before="26" w:line="230" w:lineRule="auto"/>
              <w:rPr/>
            </w:pPr>
            <w:r>
              <w:rPr>
                <w:spacing w:val="-4"/>
              </w:rPr>
              <w:t>基本项目：</w:t>
            </w:r>
            <w:r>
              <w:rPr>
                <w:rFonts w:ascii="Times New Roman" w:hAnsi="Times New Roman" w:eastAsia="Times New Roman" w:cs="Times New Roman"/>
                <w:spacing w:val="-4"/>
              </w:rPr>
              <w:t>pH</w:t>
            </w:r>
            <w:r>
              <w:rPr>
                <w:spacing w:val="-4"/>
              </w:rPr>
              <w:t>、氨氮、硝酸盐、亚硝酸盐、挥发性酚类、氯</w:t>
            </w:r>
            <w:r>
              <w:rPr>
                <w:spacing w:val="-1"/>
              </w:rPr>
              <w:t>化物、砷、汞、铬</w:t>
            </w:r>
            <w:r>
              <w:rPr>
                <w:rFonts w:ascii="Times New Roman" w:hAnsi="Times New Roman" w:eastAsia="Times New Roman" w:cs="Times New Roman"/>
                <w:spacing w:val="-1"/>
              </w:rPr>
              <w:t>(</w:t>
            </w:r>
            <w:r>
              <w:rPr>
                <w:spacing w:val="-1"/>
              </w:rPr>
              <w:t>六价</w:t>
            </w:r>
            <w:r>
              <w:rPr>
                <w:rFonts w:ascii="Times New Roman" w:hAnsi="Times New Roman" w:eastAsia="Times New Roman" w:cs="Times New Roman"/>
                <w:spacing w:val="-1"/>
              </w:rPr>
              <w:t>)</w:t>
            </w:r>
            <w:r>
              <w:rPr>
                <w:spacing w:val="-1"/>
              </w:rPr>
              <w:t>、总硬度、铅、氟、</w:t>
            </w:r>
            <w:r>
              <w:rPr>
                <w:spacing w:val="-2"/>
              </w:rPr>
              <w:t>镉、铜、锌、</w:t>
            </w:r>
            <w:r>
              <w:rPr>
                <w:spacing w:val="-2"/>
              </w:rPr>
              <w:t>铁、锰、溶解性总固体、高锰酸盐指数、硫酸盐、氯化物、</w:t>
            </w:r>
            <w:r>
              <w:rPr>
                <w:spacing w:val="-1"/>
              </w:rPr>
              <w:t>总大肠菌群、细菌总数</w:t>
            </w:r>
          </w:p>
        </w:tc>
        <w:tc>
          <w:tcPr>
            <w:tcW w:w="1546" w:type="dxa"/>
            <w:vAlign w:val="top"/>
            <w:tcBorders>
              <w:right w:val="nil"/>
            </w:tcBorders>
          </w:tcPr>
          <w:p>
            <w:pPr>
              <w:spacing w:line="371" w:lineRule="auto"/>
              <w:rPr>
                <w:rFonts w:ascii="Arial"/>
                <w:sz w:val="21"/>
              </w:rPr>
            </w:pPr>
            <w:r/>
          </w:p>
          <w:p>
            <w:pPr>
              <w:pStyle w:val="TableText"/>
              <w:ind w:left="461" w:right="141" w:hanging="316"/>
              <w:spacing w:before="68"/>
              <w:rPr/>
            </w:pPr>
            <w:r>
              <w:rPr>
                <w:spacing w:val="-1"/>
              </w:rPr>
              <w:t>氨氮、高锰酸</w:t>
            </w:r>
            <w:r>
              <w:rPr>
                <w:spacing w:val="-2"/>
              </w:rPr>
              <w:t>盐指数</w:t>
            </w:r>
          </w:p>
        </w:tc>
      </w:tr>
      <w:tr>
        <w:trPr>
          <w:trHeight w:val="546" w:hRule="atLeast"/>
        </w:trPr>
        <w:tc>
          <w:tcPr>
            <w:tcW w:w="463" w:type="dxa"/>
            <w:vAlign w:val="top"/>
            <w:tcBorders>
              <w:left w:val="nil"/>
            </w:tcBorders>
          </w:tcPr>
          <w:p>
            <w:pPr>
              <w:ind w:left="198"/>
              <w:spacing w:before="203"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87" w:type="dxa"/>
            <w:vAlign w:val="top"/>
          </w:tcPr>
          <w:p>
            <w:pPr>
              <w:pStyle w:val="TableText"/>
              <w:ind w:left="132"/>
              <w:spacing w:before="176" w:line="221" w:lineRule="auto"/>
              <w:rPr/>
            </w:pPr>
            <w:r>
              <w:rPr>
                <w:spacing w:val="-3"/>
              </w:rPr>
              <w:t>空气环境</w:t>
            </w:r>
          </w:p>
        </w:tc>
        <w:tc>
          <w:tcPr>
            <w:tcW w:w="5639" w:type="dxa"/>
            <w:vAlign w:val="top"/>
          </w:tcPr>
          <w:p>
            <w:pPr>
              <w:pStyle w:val="TableText"/>
              <w:ind w:left="129"/>
              <w:spacing w:before="176" w:line="282" w:lineRule="exact"/>
              <w:rPr/>
            </w:pPr>
            <w:r>
              <w:rPr>
                <w:rFonts w:ascii="Times New Roman" w:hAnsi="Times New Roman" w:eastAsia="Times New Roman" w:cs="Times New Roman"/>
                <w:spacing w:val="-3"/>
                <w:position w:val="1"/>
              </w:rPr>
              <w:t>PM</w:t>
            </w:r>
            <w:r>
              <w:rPr>
                <w:rFonts w:ascii="Times New Roman" w:hAnsi="Times New Roman" w:eastAsia="Times New Roman" w:cs="Times New Roman"/>
                <w:sz w:val="13"/>
                <w:szCs w:val="13"/>
                <w:spacing w:val="-3"/>
                <w:position w:val="-1"/>
              </w:rPr>
              <w:t>10</w:t>
            </w:r>
            <w:r>
              <w:rPr>
                <w:rFonts w:ascii="Times New Roman" w:hAnsi="Times New Roman" w:eastAsia="Times New Roman" w:cs="Times New Roman"/>
                <w:sz w:val="13"/>
                <w:szCs w:val="13"/>
                <w:spacing w:val="-7"/>
                <w:position w:val="-1"/>
              </w:rPr>
              <w:t xml:space="preserve"> </w:t>
            </w:r>
            <w:r>
              <w:rPr>
                <w:spacing w:val="-3"/>
                <w:position w:val="1"/>
              </w:rPr>
              <w:t>、</w:t>
            </w:r>
            <w:r>
              <w:rPr>
                <w:rFonts w:ascii="Times New Roman" w:hAnsi="Times New Roman" w:eastAsia="Times New Roman" w:cs="Times New Roman"/>
                <w:spacing w:val="-3"/>
                <w:position w:val="1"/>
              </w:rPr>
              <w:t>PM</w:t>
            </w:r>
            <w:r>
              <w:rPr>
                <w:rFonts w:ascii="Times New Roman" w:hAnsi="Times New Roman" w:eastAsia="Times New Roman" w:cs="Times New Roman"/>
                <w:sz w:val="13"/>
                <w:szCs w:val="13"/>
                <w:spacing w:val="-3"/>
                <w:position w:val="-1"/>
              </w:rPr>
              <w:t>2.5</w:t>
            </w:r>
            <w:r>
              <w:rPr>
                <w:rFonts w:ascii="Times New Roman" w:hAnsi="Times New Roman" w:eastAsia="Times New Roman" w:cs="Times New Roman"/>
                <w:sz w:val="13"/>
                <w:szCs w:val="13"/>
                <w:spacing w:val="-12"/>
                <w:position w:val="-1"/>
              </w:rPr>
              <w:t xml:space="preserve"> </w:t>
            </w:r>
            <w:r>
              <w:rPr>
                <w:spacing w:val="-3"/>
                <w:position w:val="1"/>
              </w:rPr>
              <w:t>、</w:t>
            </w:r>
            <w:r>
              <w:rPr>
                <w:rFonts w:ascii="Times New Roman" w:hAnsi="Times New Roman" w:eastAsia="Times New Roman" w:cs="Times New Roman"/>
                <w:spacing w:val="-3"/>
                <w:position w:val="1"/>
              </w:rPr>
              <w:t>SO</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z w:val="13"/>
                <w:szCs w:val="13"/>
                <w:spacing w:val="-9"/>
                <w:position w:val="-1"/>
              </w:rPr>
              <w:t xml:space="preserve"> </w:t>
            </w:r>
            <w:r>
              <w:rPr>
                <w:spacing w:val="-3"/>
                <w:position w:val="1"/>
              </w:rPr>
              <w:t>、</w:t>
            </w:r>
            <w:r>
              <w:rPr>
                <w:rFonts w:ascii="Times New Roman" w:hAnsi="Times New Roman" w:eastAsia="Times New Roman" w:cs="Times New Roman"/>
                <w:spacing w:val="-3"/>
                <w:position w:val="1"/>
              </w:rPr>
              <w:t>NO</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z w:val="13"/>
                <w:szCs w:val="13"/>
                <w:spacing w:val="-12"/>
                <w:position w:val="-1"/>
              </w:rPr>
              <w:t xml:space="preserve"> </w:t>
            </w:r>
            <w:r>
              <w:rPr>
                <w:spacing w:val="-3"/>
                <w:position w:val="1"/>
              </w:rPr>
              <w:t>、</w:t>
            </w:r>
            <w:r>
              <w:rPr>
                <w:rFonts w:ascii="Times New Roman" w:hAnsi="Times New Roman" w:eastAsia="Times New Roman" w:cs="Times New Roman"/>
                <w:spacing w:val="-3"/>
                <w:position w:val="1"/>
              </w:rPr>
              <w:t>CO</w:t>
            </w:r>
            <w:r>
              <w:rPr>
                <w:rFonts w:ascii="Times New Roman" w:hAnsi="Times New Roman" w:eastAsia="Times New Roman" w:cs="Times New Roman"/>
                <w:spacing w:val="-29"/>
                <w:position w:val="1"/>
              </w:rPr>
              <w:t xml:space="preserve"> </w:t>
            </w:r>
            <w:r>
              <w:rPr>
                <w:spacing w:val="-3"/>
                <w:position w:val="1"/>
              </w:rPr>
              <w:t>、</w:t>
            </w:r>
            <w:r>
              <w:rPr>
                <w:rFonts w:ascii="Times New Roman" w:hAnsi="Times New Roman" w:eastAsia="Times New Roman" w:cs="Times New Roman"/>
                <w:spacing w:val="-3"/>
                <w:position w:val="1"/>
              </w:rPr>
              <w:t>O</w:t>
            </w:r>
            <w:r>
              <w:rPr>
                <w:rFonts w:ascii="Times New Roman" w:hAnsi="Times New Roman" w:eastAsia="Times New Roman" w:cs="Times New Roman"/>
                <w:sz w:val="13"/>
                <w:szCs w:val="13"/>
                <w:spacing w:val="-3"/>
                <w:position w:val="-1"/>
              </w:rPr>
              <w:t>3</w:t>
            </w:r>
            <w:r>
              <w:rPr>
                <w:rFonts w:ascii="Times New Roman" w:hAnsi="Times New Roman" w:eastAsia="Times New Roman" w:cs="Times New Roman"/>
                <w:sz w:val="13"/>
                <w:szCs w:val="13"/>
                <w:spacing w:val="-11"/>
                <w:position w:val="-1"/>
              </w:rPr>
              <w:t xml:space="preserve"> </w:t>
            </w:r>
            <w:r>
              <w:rPr>
                <w:spacing w:val="-3"/>
                <w:position w:val="1"/>
              </w:rPr>
              <w:t>、</w:t>
            </w:r>
            <w:r>
              <w:rPr>
                <w:rFonts w:ascii="Times New Roman" w:hAnsi="Times New Roman" w:eastAsia="Times New Roman" w:cs="Times New Roman"/>
                <w:spacing w:val="-3"/>
                <w:position w:val="1"/>
              </w:rPr>
              <w:t>NH</w:t>
            </w:r>
            <w:r>
              <w:rPr>
                <w:rFonts w:ascii="Times New Roman" w:hAnsi="Times New Roman" w:eastAsia="Times New Roman" w:cs="Times New Roman"/>
                <w:sz w:val="13"/>
                <w:szCs w:val="13"/>
                <w:spacing w:val="-3"/>
                <w:position w:val="-1"/>
              </w:rPr>
              <w:t>3</w:t>
            </w:r>
            <w:r>
              <w:rPr>
                <w:rFonts w:ascii="Times New Roman" w:hAnsi="Times New Roman" w:eastAsia="Times New Roman" w:cs="Times New Roman"/>
                <w:sz w:val="13"/>
                <w:szCs w:val="13"/>
                <w:spacing w:val="-10"/>
                <w:position w:val="-1"/>
              </w:rPr>
              <w:t xml:space="preserve"> </w:t>
            </w:r>
            <w:r>
              <w:rPr>
                <w:spacing w:val="-3"/>
                <w:position w:val="1"/>
              </w:rPr>
              <w:t>、</w:t>
            </w:r>
            <w:r>
              <w:rPr>
                <w:rFonts w:ascii="Times New Roman" w:hAnsi="Times New Roman" w:eastAsia="Times New Roman" w:cs="Times New Roman"/>
                <w:spacing w:val="-3"/>
                <w:position w:val="1"/>
              </w:rPr>
              <w:t>H</w:t>
            </w:r>
            <w:r>
              <w:rPr>
                <w:rFonts w:ascii="Times New Roman" w:hAnsi="Times New Roman" w:eastAsia="Times New Roman" w:cs="Times New Roman"/>
                <w:sz w:val="13"/>
                <w:szCs w:val="13"/>
                <w:spacing w:val="-3"/>
                <w:position w:val="-1"/>
              </w:rPr>
              <w:t>2</w:t>
            </w:r>
            <w:r>
              <w:rPr>
                <w:rFonts w:ascii="Times New Roman" w:hAnsi="Times New Roman" w:eastAsia="Times New Roman" w:cs="Times New Roman"/>
                <w:spacing w:val="-3"/>
                <w:position w:val="1"/>
              </w:rPr>
              <w:t>S</w:t>
            </w:r>
            <w:r>
              <w:rPr>
                <w:spacing w:val="-3"/>
                <w:position w:val="1"/>
              </w:rPr>
              <w:t>、臭气浓度</w:t>
            </w:r>
          </w:p>
        </w:tc>
        <w:tc>
          <w:tcPr>
            <w:tcW w:w="1546" w:type="dxa"/>
            <w:vAlign w:val="top"/>
            <w:tcBorders>
              <w:right w:val="nil"/>
            </w:tcBorders>
          </w:tcPr>
          <w:p>
            <w:pPr>
              <w:pStyle w:val="TableText"/>
              <w:ind w:left="459" w:right="112" w:hanging="359"/>
              <w:spacing w:before="40" w:line="218" w:lineRule="auto"/>
              <w:rPr/>
            </w:pPr>
            <w:r>
              <w:rPr>
                <w:rFonts w:ascii="Times New Roman" w:hAnsi="Times New Roman" w:eastAsia="Times New Roman" w:cs="Times New Roman"/>
                <w:spacing w:val="-4"/>
              </w:rPr>
              <w:t>NH</w:t>
            </w:r>
            <w:r>
              <w:rPr>
                <w:rFonts w:ascii="Times New Roman" w:hAnsi="Times New Roman" w:eastAsia="Times New Roman" w:cs="Times New Roman"/>
                <w:sz w:val="13"/>
                <w:szCs w:val="13"/>
                <w:spacing w:val="-4"/>
                <w:position w:val="-2"/>
              </w:rPr>
              <w:t>3</w:t>
            </w:r>
            <w:r>
              <w:rPr>
                <w:rFonts w:ascii="Times New Roman" w:hAnsi="Times New Roman" w:eastAsia="Times New Roman" w:cs="Times New Roman"/>
                <w:sz w:val="13"/>
                <w:szCs w:val="13"/>
                <w:spacing w:val="-2"/>
                <w:position w:val="-2"/>
              </w:rPr>
              <w:t xml:space="preserve"> </w:t>
            </w:r>
            <w:r>
              <w:rPr>
                <w:spacing w:val="-4"/>
              </w:rPr>
              <w:t>、</w:t>
            </w:r>
            <w:r>
              <w:rPr>
                <w:rFonts w:ascii="Times New Roman" w:hAnsi="Times New Roman" w:eastAsia="Times New Roman" w:cs="Times New Roman"/>
                <w:spacing w:val="-4"/>
              </w:rPr>
              <w:t>H</w:t>
            </w:r>
            <w:r>
              <w:rPr>
                <w:rFonts w:ascii="Times New Roman" w:hAnsi="Times New Roman" w:eastAsia="Times New Roman" w:cs="Times New Roman"/>
                <w:sz w:val="13"/>
                <w:szCs w:val="13"/>
                <w:spacing w:val="-4"/>
                <w:position w:val="-2"/>
              </w:rPr>
              <w:t>2</w:t>
            </w:r>
            <w:r>
              <w:rPr>
                <w:rFonts w:ascii="Times New Roman" w:hAnsi="Times New Roman" w:eastAsia="Times New Roman" w:cs="Times New Roman"/>
                <w:spacing w:val="-4"/>
              </w:rPr>
              <w:t>S</w:t>
            </w:r>
            <w:r>
              <w:rPr>
                <w:spacing w:val="-4"/>
              </w:rPr>
              <w:t>、臭</w:t>
            </w:r>
            <w:r>
              <w:rPr>
                <w:spacing w:val="-2"/>
              </w:rPr>
              <w:t>气浓度</w:t>
            </w:r>
          </w:p>
        </w:tc>
      </w:tr>
      <w:tr>
        <w:trPr>
          <w:trHeight w:val="546" w:hRule="atLeast"/>
        </w:trPr>
        <w:tc>
          <w:tcPr>
            <w:tcW w:w="463" w:type="dxa"/>
            <w:vAlign w:val="top"/>
            <w:tcBorders>
              <w:left w:val="nil"/>
            </w:tcBorders>
          </w:tcPr>
          <w:p>
            <w:pPr>
              <w:ind w:left="203"/>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087" w:type="dxa"/>
            <w:vAlign w:val="top"/>
          </w:tcPr>
          <w:p>
            <w:pPr>
              <w:pStyle w:val="TableText"/>
              <w:ind w:left="235"/>
              <w:spacing w:before="180" w:line="221" w:lineRule="auto"/>
              <w:rPr/>
            </w:pPr>
            <w:r>
              <w:rPr>
                <w:spacing w:val="-2"/>
              </w:rPr>
              <w:t>声环境</w:t>
            </w:r>
          </w:p>
        </w:tc>
        <w:tc>
          <w:tcPr>
            <w:tcW w:w="5639" w:type="dxa"/>
            <w:vAlign w:val="top"/>
          </w:tcPr>
          <w:p>
            <w:pPr>
              <w:pStyle w:val="TableText"/>
              <w:ind w:left="1858"/>
              <w:spacing w:before="179" w:line="225" w:lineRule="auto"/>
              <w:rPr>
                <w:rFonts w:ascii="Times New Roman" w:hAnsi="Times New Roman" w:eastAsia="Times New Roman" w:cs="Times New Roman"/>
                <w:sz w:val="13"/>
                <w:szCs w:val="13"/>
              </w:rPr>
            </w:pPr>
            <w:r>
              <w:rPr/>
              <w:t>等效连续</w:t>
            </w:r>
            <w:r>
              <w:rPr>
                <w:spacing w:val="-53"/>
              </w:rPr>
              <w:t xml:space="preserve"> </w:t>
            </w:r>
            <w:r>
              <w:rPr>
                <w:rFonts w:ascii="Times New Roman" w:hAnsi="Times New Roman" w:eastAsia="Times New Roman" w:cs="Times New Roman"/>
              </w:rPr>
              <w:t>A </w:t>
            </w:r>
            <w:r>
              <w:rPr/>
              <w:t>声级</w:t>
            </w:r>
            <w:r>
              <w:rPr>
                <w:spacing w:val="-47"/>
              </w:rPr>
              <w:t xml:space="preserve"> </w:t>
            </w:r>
            <w:r>
              <w:rPr>
                <w:rFonts w:ascii="Times New Roman" w:hAnsi="Times New Roman" w:eastAsia="Times New Roman" w:cs="Times New Roman"/>
              </w:rPr>
              <w:t>L</w:t>
            </w:r>
            <w:r>
              <w:rPr>
                <w:rFonts w:ascii="Times New Roman" w:hAnsi="Times New Roman" w:eastAsia="Times New Roman" w:cs="Times New Roman"/>
                <w:sz w:val="13"/>
                <w:szCs w:val="13"/>
                <w:position w:val="-2"/>
              </w:rPr>
              <w:t>Aeq</w:t>
            </w:r>
          </w:p>
        </w:tc>
        <w:tc>
          <w:tcPr>
            <w:tcW w:w="1546" w:type="dxa"/>
            <w:vAlign w:val="top"/>
            <w:tcBorders>
              <w:right w:val="nil"/>
            </w:tcBorders>
          </w:tcPr>
          <w:p>
            <w:pPr>
              <w:pStyle w:val="TableText"/>
              <w:ind w:left="467" w:right="117" w:hanging="342"/>
              <w:spacing w:before="42" w:line="217" w:lineRule="auto"/>
              <w:rPr>
                <w:rFonts w:ascii="Times New Roman" w:hAnsi="Times New Roman" w:eastAsia="Times New Roman" w:cs="Times New Roman"/>
                <w:sz w:val="13"/>
                <w:szCs w:val="13"/>
              </w:rPr>
            </w:pPr>
            <w:r>
              <w:rPr>
                <w:spacing w:val="-4"/>
              </w:rPr>
              <w:t>等效连续</w:t>
            </w:r>
            <w:r>
              <w:rPr>
                <w:spacing w:val="-50"/>
              </w:rPr>
              <w:t xml:space="preserve"> </w:t>
            </w:r>
            <w:r>
              <w:rPr>
                <w:rFonts w:ascii="Times New Roman" w:hAnsi="Times New Roman" w:eastAsia="Times New Roman" w:cs="Times New Roman"/>
                <w:spacing w:val="-4"/>
              </w:rPr>
              <w:t>A</w:t>
            </w:r>
            <w:r>
              <w:rPr>
                <w:rFonts w:ascii="Times New Roman" w:hAnsi="Times New Roman" w:eastAsia="Times New Roman" w:cs="Times New Roman"/>
                <w:spacing w:val="12"/>
              </w:rPr>
              <w:t xml:space="preserve"> </w:t>
            </w:r>
            <w:r>
              <w:rPr>
                <w:spacing w:val="-4"/>
              </w:rPr>
              <w:t>声</w:t>
            </w:r>
            <w:r>
              <w:rPr>
                <w:spacing w:val="-1"/>
                <w:position w:val="1"/>
              </w:rPr>
              <w:t>级</w:t>
            </w:r>
            <w:r>
              <w:rPr>
                <w:spacing w:val="-47"/>
                <w:position w:val="1"/>
              </w:rPr>
              <w:t xml:space="preserve"> </w:t>
            </w:r>
            <w:r>
              <w:rPr>
                <w:rFonts w:ascii="Times New Roman" w:hAnsi="Times New Roman" w:eastAsia="Times New Roman" w:cs="Times New Roman"/>
                <w:spacing w:val="-1"/>
                <w:position w:val="1"/>
              </w:rPr>
              <w:t>L</w:t>
            </w:r>
            <w:r>
              <w:rPr>
                <w:rFonts w:ascii="Times New Roman" w:hAnsi="Times New Roman" w:eastAsia="Times New Roman" w:cs="Times New Roman"/>
                <w:sz w:val="13"/>
                <w:szCs w:val="13"/>
                <w:spacing w:val="-1"/>
                <w:position w:val="-1"/>
              </w:rPr>
              <w:t>Aeq</w:t>
            </w:r>
          </w:p>
        </w:tc>
      </w:tr>
      <w:tr>
        <w:trPr>
          <w:trHeight w:val="548" w:hRule="atLeast"/>
        </w:trPr>
        <w:tc>
          <w:tcPr>
            <w:tcW w:w="463" w:type="dxa"/>
            <w:vAlign w:val="top"/>
            <w:tcBorders>
              <w:left w:val="nil"/>
            </w:tcBorders>
          </w:tcPr>
          <w:p>
            <w:pPr>
              <w:ind w:left="197"/>
              <w:spacing w:before="213"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87" w:type="dxa"/>
            <w:vAlign w:val="top"/>
          </w:tcPr>
          <w:p>
            <w:pPr>
              <w:pStyle w:val="TableText"/>
              <w:ind w:left="143"/>
              <w:spacing w:before="183" w:line="221" w:lineRule="auto"/>
              <w:rPr/>
            </w:pPr>
            <w:r>
              <w:rPr>
                <w:spacing w:val="-6"/>
              </w:rPr>
              <w:t>固体废物</w:t>
            </w:r>
          </w:p>
        </w:tc>
        <w:tc>
          <w:tcPr>
            <w:tcW w:w="5639" w:type="dxa"/>
            <w:vAlign w:val="top"/>
          </w:tcPr>
          <w:p>
            <w:pPr>
              <w:pStyle w:val="TableText"/>
              <w:ind w:left="110"/>
              <w:spacing w:before="48" w:line="221" w:lineRule="auto"/>
              <w:rPr/>
            </w:pPr>
            <w:r>
              <w:rPr>
                <w:spacing w:val="-2"/>
              </w:rPr>
              <w:t>废垫料、防疫废物、病死牛、分娩废弃物、餐厨垃圾、消毒</w:t>
            </w:r>
          </w:p>
          <w:p>
            <w:pPr>
              <w:pStyle w:val="TableText"/>
              <w:ind w:left="2297"/>
              <w:spacing w:before="19" w:line="192" w:lineRule="auto"/>
              <w:rPr/>
            </w:pPr>
            <w:r>
              <w:rPr>
                <w:spacing w:val="-2"/>
              </w:rPr>
              <w:t>剂废包装袋</w:t>
            </w:r>
          </w:p>
        </w:tc>
        <w:tc>
          <w:tcPr>
            <w:tcW w:w="1546" w:type="dxa"/>
            <w:vAlign w:val="top"/>
            <w:tcBorders>
              <w:right w:val="nil"/>
            </w:tcBorders>
          </w:tcPr>
          <w:p>
            <w:pPr>
              <w:spacing w:line="242" w:lineRule="auto"/>
              <w:rPr>
                <w:rFonts w:ascii="Arial"/>
                <w:sz w:val="21"/>
              </w:rPr>
            </w:pPr>
            <w:r/>
          </w:p>
          <w:p>
            <w:pPr>
              <w:ind w:left="740"/>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97" w:hRule="atLeast"/>
        </w:trPr>
        <w:tc>
          <w:tcPr>
            <w:tcW w:w="463" w:type="dxa"/>
            <w:vAlign w:val="top"/>
            <w:tcBorders>
              <w:left w:val="nil"/>
              <w:bottom w:val="single" w:color="000000" w:sz="10" w:space="0"/>
            </w:tcBorders>
          </w:tcPr>
          <w:p>
            <w:pPr>
              <w:ind w:left="204"/>
              <w:spacing w:before="7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087" w:type="dxa"/>
            <w:vAlign w:val="top"/>
            <w:tcBorders>
              <w:bottom w:val="single" w:color="000000" w:sz="10" w:space="0"/>
            </w:tcBorders>
          </w:tcPr>
          <w:p>
            <w:pPr>
              <w:pStyle w:val="TableText"/>
              <w:ind w:left="337"/>
              <w:spacing w:before="50" w:line="208" w:lineRule="auto"/>
              <w:rPr/>
            </w:pPr>
            <w:r>
              <w:rPr>
                <w:spacing w:val="-2"/>
              </w:rPr>
              <w:t>土壤</w:t>
            </w:r>
          </w:p>
        </w:tc>
        <w:tc>
          <w:tcPr>
            <w:tcW w:w="5639" w:type="dxa"/>
            <w:vAlign w:val="top"/>
            <w:tcBorders>
              <w:bottom w:val="single" w:color="000000" w:sz="10" w:space="0"/>
            </w:tcBorders>
          </w:tcPr>
          <w:p>
            <w:pPr>
              <w:pStyle w:val="TableText"/>
              <w:ind w:left="1005"/>
              <w:spacing w:before="50" w:line="208" w:lineRule="auto"/>
              <w:rPr/>
            </w:pPr>
            <w:r>
              <w:rPr>
                <w:rFonts w:ascii="Times New Roman" w:hAnsi="Times New Roman" w:eastAsia="Times New Roman" w:cs="Times New Roman"/>
                <w:spacing w:val="-1"/>
              </w:rPr>
              <w:t>pH</w:t>
            </w:r>
            <w:r>
              <w:rPr>
                <w:spacing w:val="-1"/>
              </w:rPr>
              <w:t>、镉、铅、汞、砷、铜、铬、镍、锌</w:t>
            </w:r>
          </w:p>
        </w:tc>
        <w:tc>
          <w:tcPr>
            <w:tcW w:w="1546" w:type="dxa"/>
            <w:vAlign w:val="top"/>
            <w:tcBorders>
              <w:right w:val="nil"/>
              <w:bottom w:val="single" w:color="000000" w:sz="10" w:space="0"/>
            </w:tcBorders>
          </w:tcPr>
          <w:p>
            <w:pPr>
              <w:ind w:left="740"/>
              <w:spacing w:before="16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bl>
    <w:p>
      <w:pPr>
        <w:ind w:left="128"/>
        <w:spacing w:before="295" w:line="234" w:lineRule="auto"/>
        <w:outlineLvl w:val="1"/>
        <w:rPr>
          <w:rFonts w:ascii="SimSun" w:hAnsi="SimSun" w:eastAsia="SimSun" w:cs="SimSun"/>
          <w:sz w:val="24"/>
          <w:szCs w:val="24"/>
        </w:rPr>
      </w:pPr>
      <w:bookmarkStart w:name="bookmark13" w:id="16"/>
      <w:bookmarkEnd w:id="16"/>
      <w:r>
        <w:rPr>
          <w:rFonts w:ascii="Times New Roman" w:hAnsi="Times New Roman" w:eastAsia="Times New Roman" w:cs="Times New Roman"/>
          <w:sz w:val="24"/>
          <w:szCs w:val="24"/>
          <w:b/>
          <w:bCs/>
          <w:spacing w:val="-2"/>
        </w:rPr>
        <w:t>2.5 </w:t>
      </w:r>
      <w:r>
        <w:rPr>
          <w:rFonts w:ascii="SimSun" w:hAnsi="SimSun" w:eastAsia="SimSun" w:cs="SimSun"/>
          <w:sz w:val="24"/>
          <w:szCs w:val="24"/>
          <w:b/>
          <w:bCs/>
          <w:spacing w:val="-2"/>
        </w:rPr>
        <w:t>环境功能区划</w:t>
      </w:r>
    </w:p>
    <w:p>
      <w:pPr>
        <w:pStyle w:val="BodyText"/>
        <w:spacing w:line="340" w:lineRule="auto"/>
        <w:rPr/>
      </w:pPr>
      <w:r/>
    </w:p>
    <w:p>
      <w:pPr>
        <w:ind w:left="136" w:right="112" w:firstLine="476"/>
        <w:spacing w:before="79" w:line="359" w:lineRule="auto"/>
        <w:rPr>
          <w:rFonts w:ascii="SimSun" w:hAnsi="SimSun" w:eastAsia="SimSun" w:cs="SimSun"/>
          <w:sz w:val="24"/>
          <w:szCs w:val="24"/>
        </w:rPr>
      </w:pPr>
      <w:r>
        <w:rPr>
          <w:rFonts w:ascii="SimSun" w:hAnsi="SimSun" w:eastAsia="SimSun" w:cs="SimSun"/>
          <w:sz w:val="24"/>
          <w:szCs w:val="24"/>
          <w:spacing w:val="3"/>
        </w:rPr>
        <w:t>本项目位于内蒙古自治区锡林郭勒盟锡林郭勒盟锡林</w:t>
      </w:r>
      <w:r>
        <w:rPr>
          <w:rFonts w:ascii="SimSun" w:hAnsi="SimSun" w:eastAsia="SimSun" w:cs="SimSun"/>
          <w:sz w:val="24"/>
          <w:szCs w:val="24"/>
          <w:spacing w:val="2"/>
        </w:rPr>
        <w:t>浩特市额尔顿街道办事</w:t>
      </w:r>
      <w:r>
        <w:rPr>
          <w:rFonts w:ascii="SimSun" w:hAnsi="SimSun" w:eastAsia="SimSun" w:cs="SimSun"/>
          <w:sz w:val="24"/>
          <w:szCs w:val="24"/>
          <w:spacing w:val="-4"/>
        </w:rPr>
        <w:t>处新兴社区沃源奶牛场，环境功能区划如下：</w:t>
      </w:r>
    </w:p>
    <w:p>
      <w:pPr>
        <w:ind w:left="618"/>
        <w:spacing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）环境空气</w:t>
      </w:r>
    </w:p>
    <w:p>
      <w:pPr>
        <w:ind w:left="130" w:right="119" w:firstLine="480"/>
        <w:spacing w:before="163" w:line="350" w:lineRule="auto"/>
        <w:rPr>
          <w:rFonts w:ascii="SimSun" w:hAnsi="SimSun" w:eastAsia="SimSun" w:cs="SimSun"/>
          <w:sz w:val="24"/>
          <w:szCs w:val="24"/>
        </w:rPr>
      </w:pPr>
      <w:r>
        <w:rPr>
          <w:rFonts w:ascii="SimSun" w:hAnsi="SimSun" w:eastAsia="SimSun" w:cs="SimSun"/>
          <w:sz w:val="24"/>
          <w:szCs w:val="24"/>
          <w:spacing w:val="-2"/>
        </w:rPr>
        <w:t>根据《环境空气质量标准》（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）的规</w:t>
      </w:r>
      <w:r>
        <w:rPr>
          <w:rFonts w:ascii="SimSun" w:hAnsi="SimSun" w:eastAsia="SimSun" w:cs="SimSun"/>
          <w:sz w:val="24"/>
          <w:szCs w:val="24"/>
          <w:spacing w:val="-3"/>
        </w:rPr>
        <w:t>定，评价区环境空气质量应</w:t>
      </w:r>
      <w:r>
        <w:rPr>
          <w:rFonts w:ascii="SimSun" w:hAnsi="SimSun" w:eastAsia="SimSun" w:cs="SimSun"/>
          <w:sz w:val="24"/>
          <w:szCs w:val="24"/>
          <w:spacing w:val="-6"/>
        </w:rPr>
        <w:t>划为二类区。</w:t>
      </w:r>
    </w:p>
    <w:p>
      <w:pPr>
        <w:ind w:left="618"/>
        <w:spacing w:before="24"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）地表水环境</w:t>
      </w:r>
    </w:p>
    <w:p>
      <w:pPr>
        <w:ind w:left="615"/>
        <w:spacing w:before="162" w:line="220" w:lineRule="auto"/>
        <w:rPr>
          <w:rFonts w:ascii="SimSun" w:hAnsi="SimSun" w:eastAsia="SimSun" w:cs="SimSun"/>
          <w:sz w:val="24"/>
          <w:szCs w:val="24"/>
        </w:rPr>
      </w:pPr>
      <w:r>
        <w:rPr>
          <w:rFonts w:ascii="SimSun" w:hAnsi="SimSun" w:eastAsia="SimSun" w:cs="SimSun"/>
          <w:sz w:val="24"/>
          <w:szCs w:val="24"/>
          <w:spacing w:val="-4"/>
        </w:rPr>
        <w:t>项目周边无常年地表径流。</w:t>
      </w:r>
    </w:p>
    <w:p>
      <w:pPr>
        <w:ind w:left="618"/>
        <w:spacing w:before="183"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）地下水环境</w:t>
      </w:r>
    </w:p>
    <w:p>
      <w:pPr>
        <w:ind w:left="131" w:right="118" w:firstLine="479"/>
        <w:spacing w:before="161" w:line="358" w:lineRule="auto"/>
        <w:rPr>
          <w:rFonts w:ascii="SimSun" w:hAnsi="SimSun" w:eastAsia="SimSun" w:cs="SimSun"/>
          <w:sz w:val="24"/>
          <w:szCs w:val="24"/>
        </w:rPr>
      </w:pPr>
      <w:r>
        <w:rPr>
          <w:rFonts w:ascii="SimSun" w:hAnsi="SimSun" w:eastAsia="SimSun" w:cs="SimSun"/>
          <w:sz w:val="24"/>
          <w:szCs w:val="24"/>
          <w:spacing w:val="2"/>
        </w:rPr>
        <w:t>根据《地下水质量标准》（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/T14848-</w:t>
      </w:r>
      <w:r>
        <w:rPr>
          <w:rFonts w:ascii="Times New Roman" w:hAnsi="Times New Roman" w:eastAsia="Times New Roman" w:cs="Times New Roman"/>
          <w:sz w:val="24"/>
          <w:szCs w:val="24"/>
          <w:spacing w:val="1"/>
        </w:rPr>
        <w:t>2017</w:t>
      </w:r>
      <w:r>
        <w:rPr>
          <w:rFonts w:ascii="SimSun" w:hAnsi="SimSun" w:eastAsia="SimSun" w:cs="SimSun"/>
          <w:sz w:val="24"/>
          <w:szCs w:val="24"/>
          <w:spacing w:val="1"/>
        </w:rPr>
        <w:t>）中的地下水水质分类要求，Ⅲ</w:t>
      </w:r>
      <w:r>
        <w:rPr>
          <w:rFonts w:ascii="SimSun" w:hAnsi="SimSun" w:eastAsia="SimSun" w:cs="SimSun"/>
          <w:sz w:val="24"/>
          <w:szCs w:val="24"/>
          <w:spacing w:val="2"/>
        </w:rPr>
        <w:t>类地下水质量主要适用于集中式生活饮用水源及工农业用水。因此，本项目地下</w:t>
      </w:r>
      <w:r>
        <w:rPr>
          <w:rFonts w:ascii="SimSun" w:hAnsi="SimSun" w:eastAsia="SimSun" w:cs="SimSun"/>
          <w:sz w:val="24"/>
          <w:szCs w:val="24"/>
          <w:spacing w:val="-3"/>
        </w:rPr>
        <w:t>水环境功能区划为Ⅲ类功能区。</w:t>
      </w:r>
    </w:p>
    <w:p>
      <w:pPr>
        <w:ind w:left="618"/>
        <w:spacing w:before="8"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）声环境</w:t>
      </w:r>
    </w:p>
    <w:p>
      <w:pPr>
        <w:ind w:left="135" w:right="129" w:firstLine="479"/>
        <w:spacing w:before="161" w:line="359" w:lineRule="auto"/>
        <w:rPr>
          <w:rFonts w:ascii="SimSun" w:hAnsi="SimSun" w:eastAsia="SimSun" w:cs="SimSun"/>
          <w:sz w:val="24"/>
          <w:szCs w:val="24"/>
        </w:rPr>
      </w:pPr>
      <w:r>
        <w:rPr>
          <w:rFonts w:ascii="SimSun" w:hAnsi="SimSun" w:eastAsia="SimSun" w:cs="SimSun"/>
          <w:sz w:val="24"/>
          <w:szCs w:val="24"/>
          <w:spacing w:val="2"/>
        </w:rPr>
        <w:t>项目位于锡林郭勒盟锡林浩特市额尔顿街道办事处新兴社区沃源奶牛场，属</w:t>
      </w:r>
      <w:r>
        <w:rPr>
          <w:rFonts w:ascii="SimSun" w:hAnsi="SimSun" w:eastAsia="SimSun" w:cs="SimSun"/>
          <w:sz w:val="24"/>
          <w:szCs w:val="24"/>
          <w:spacing w:val="-4"/>
        </w:rPr>
        <w:t>于声环境功能</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类区及</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4a </w:t>
      </w:r>
      <w:r>
        <w:rPr>
          <w:rFonts w:ascii="SimSun" w:hAnsi="SimSun" w:eastAsia="SimSun" w:cs="SimSun"/>
          <w:sz w:val="24"/>
          <w:szCs w:val="24"/>
          <w:spacing w:val="-4"/>
        </w:rPr>
        <w:t>类区。</w:t>
      </w:r>
    </w:p>
    <w:p>
      <w:pPr>
        <w:ind w:left="618"/>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）土壤环境</w:t>
      </w:r>
    </w:p>
    <w:p>
      <w:pPr>
        <w:ind w:left="611"/>
        <w:spacing w:before="164" w:line="233" w:lineRule="auto"/>
        <w:rPr>
          <w:rFonts w:ascii="SimSun" w:hAnsi="SimSun" w:eastAsia="SimSun" w:cs="SimSun"/>
          <w:sz w:val="24"/>
          <w:szCs w:val="24"/>
        </w:rPr>
      </w:pPr>
      <w:r>
        <w:pict>
          <v:shape id="_x0000_s78" style="position:absolute;margin-left:6.36601pt;margin-top:38.0261pt;mso-position-vertical-relative:text;mso-position-horizontal-relative:text;width:425.7pt;height:0.6pt;z-index:251682816;" filled="false" strokecolor="#808080" strokeweight="0.50pt" coordsize="8514,12" coordorigin="0,0" path="m5,5l8508,6e">
            <v:stroke endcap="round" miterlimit="10"/>
          </v:shape>
        </w:pict>
      </w:r>
      <w:r>
        <w:rPr>
          <w:rFonts w:ascii="SimSun" w:hAnsi="SimSun" w:eastAsia="SimSun" w:cs="SimSun"/>
          <w:sz w:val="24"/>
          <w:szCs w:val="24"/>
          <w:spacing w:val="1"/>
        </w:rPr>
        <w:t>根据 </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15618-2018</w:t>
      </w:r>
      <w:r>
        <w:rPr>
          <w:rFonts w:ascii="SimSun" w:hAnsi="SimSun" w:eastAsia="SimSun" w:cs="SimSun"/>
          <w:sz w:val="24"/>
          <w:szCs w:val="24"/>
          <w:spacing w:val="1"/>
        </w:rPr>
        <w:t>《土壤环境质量 农用地土壤风险管控标准》，项目用地</w:t>
      </w:r>
    </w:p>
    <w:p>
      <w:pPr>
        <w:spacing w:line="233" w:lineRule="auto"/>
        <w:sectPr>
          <w:headerReference w:type="default" r:id="rId21"/>
          <w:footerReference w:type="default" r:id="rId42"/>
          <w:pgSz w:w="11907" w:h="16839"/>
          <w:pgMar w:top="1422" w:right="1591" w:bottom="1618" w:left="1579" w:header="1033" w:footer="1417" w:gutter="0"/>
        </w:sectPr>
        <w:rPr>
          <w:rFonts w:ascii="SimSun" w:hAnsi="SimSun" w:eastAsia="SimSun" w:cs="SimSun"/>
          <w:sz w:val="24"/>
          <w:szCs w:val="24"/>
        </w:rPr>
      </w:pPr>
    </w:p>
    <w:p>
      <w:pPr>
        <w:ind w:left="119"/>
        <w:spacing w:before="312" w:line="220" w:lineRule="auto"/>
        <w:rPr>
          <w:rFonts w:ascii="SimSun" w:hAnsi="SimSun" w:eastAsia="SimSun" w:cs="SimSun"/>
          <w:sz w:val="24"/>
          <w:szCs w:val="24"/>
        </w:rPr>
      </w:pPr>
      <w:r>
        <w:rPr>
          <w:rFonts w:ascii="SimSun" w:hAnsi="SimSun" w:eastAsia="SimSun" w:cs="SimSun"/>
          <w:sz w:val="24"/>
          <w:szCs w:val="24"/>
          <w:spacing w:val="-1"/>
        </w:rPr>
        <w:t>属于天然牧草地转为农牧业设施用地，属于农用地中的旱地。</w:t>
      </w:r>
    </w:p>
    <w:p>
      <w:pPr>
        <w:pStyle w:val="BodyText"/>
        <w:spacing w:line="361" w:lineRule="auto"/>
        <w:rPr/>
      </w:pPr>
      <w:r/>
    </w:p>
    <w:p>
      <w:pPr>
        <w:ind w:left="113"/>
        <w:spacing w:before="78" w:line="232" w:lineRule="auto"/>
        <w:outlineLvl w:val="1"/>
        <w:rPr>
          <w:rFonts w:ascii="SimSun" w:hAnsi="SimSun" w:eastAsia="SimSun" w:cs="SimSun"/>
          <w:sz w:val="24"/>
          <w:szCs w:val="24"/>
        </w:rPr>
      </w:pPr>
      <w:bookmarkStart w:name="bookmark14" w:id="17"/>
      <w:bookmarkEnd w:id="17"/>
      <w:r>
        <w:rPr>
          <w:rFonts w:ascii="Times New Roman" w:hAnsi="Times New Roman" w:eastAsia="Times New Roman" w:cs="Times New Roman"/>
          <w:sz w:val="24"/>
          <w:szCs w:val="24"/>
          <w:b/>
          <w:bCs/>
          <w:spacing w:val="-2"/>
        </w:rPr>
        <w:t>2.6 </w:t>
      </w:r>
      <w:r>
        <w:rPr>
          <w:rFonts w:ascii="SimSun" w:hAnsi="SimSun" w:eastAsia="SimSun" w:cs="SimSun"/>
          <w:sz w:val="24"/>
          <w:szCs w:val="24"/>
          <w:b/>
          <w:bCs/>
          <w:spacing w:val="-2"/>
        </w:rPr>
        <w:t>评价标准</w:t>
      </w:r>
    </w:p>
    <w:p>
      <w:pPr>
        <w:pStyle w:val="BodyText"/>
        <w:spacing w:line="343" w:lineRule="auto"/>
        <w:rPr/>
      </w:pPr>
      <w:r/>
    </w:p>
    <w:p>
      <w:pPr>
        <w:ind w:left="113"/>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2.6.1 </w:t>
      </w:r>
      <w:r>
        <w:rPr>
          <w:rFonts w:ascii="SimSun" w:hAnsi="SimSun" w:eastAsia="SimSun" w:cs="SimSun"/>
          <w:sz w:val="24"/>
          <w:szCs w:val="24"/>
          <w:b/>
          <w:bCs/>
          <w:spacing w:val="-2"/>
        </w:rPr>
        <w:t>环境质量标准</w:t>
      </w:r>
    </w:p>
    <w:p>
      <w:pPr>
        <w:pStyle w:val="BodyText"/>
        <w:spacing w:line="343" w:lineRule="auto"/>
        <w:rPr/>
      </w:pPr>
      <w:r/>
    </w:p>
    <w:p>
      <w:pPr>
        <w:ind w:left="603"/>
        <w:spacing w:before="78"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）地下水</w:t>
      </w:r>
    </w:p>
    <w:p>
      <w:pPr>
        <w:ind w:left="119" w:right="109" w:firstLine="478"/>
        <w:spacing w:before="165" w:line="359" w:lineRule="auto"/>
        <w:rPr>
          <w:rFonts w:ascii="SimSun" w:hAnsi="SimSun" w:eastAsia="SimSun" w:cs="SimSun"/>
          <w:sz w:val="24"/>
          <w:szCs w:val="24"/>
        </w:rPr>
      </w:pPr>
      <w:r>
        <w:rPr>
          <w:rFonts w:ascii="SimSun" w:hAnsi="SimSun" w:eastAsia="SimSun" w:cs="SimSun"/>
          <w:sz w:val="24"/>
          <w:szCs w:val="24"/>
          <w:spacing w:val="2"/>
        </w:rPr>
        <w:t>本区地下水主要作为生活饮用和工农业用水，因此，评价标准以人体健康基</w:t>
      </w:r>
      <w:r>
        <w:rPr>
          <w:rFonts w:ascii="SimSun" w:hAnsi="SimSun" w:eastAsia="SimSun" w:cs="SimSun"/>
          <w:sz w:val="24"/>
          <w:szCs w:val="24"/>
        </w:rPr>
        <w:t>准为依据，采用</w:t>
      </w:r>
      <w:r>
        <w:rPr>
          <w:rFonts w:ascii="SimSun" w:hAnsi="SimSun" w:eastAsia="SimSun" w:cs="SimSun"/>
          <w:sz w:val="24"/>
          <w:szCs w:val="24"/>
          <w:spacing w:val="-46"/>
        </w:rPr>
        <w:t xml:space="preserve"> </w:t>
      </w:r>
      <w:r>
        <w:rPr>
          <w:rFonts w:ascii="Times New Roman" w:hAnsi="Times New Roman" w:eastAsia="Times New Roman" w:cs="Times New Roman"/>
          <w:sz w:val="24"/>
          <w:szCs w:val="24"/>
        </w:rPr>
        <w:t>GB/T14848—2017</w:t>
      </w:r>
      <w:r>
        <w:rPr>
          <w:rFonts w:ascii="SimSun" w:hAnsi="SimSun" w:eastAsia="SimSun" w:cs="SimSun"/>
          <w:sz w:val="24"/>
          <w:szCs w:val="24"/>
        </w:rPr>
        <w:t>《地下水质量标准》中</w:t>
      </w:r>
      <w:r>
        <w:rPr>
          <w:rFonts w:ascii="Times New Roman" w:hAnsi="Times New Roman" w:eastAsia="Times New Roman" w:cs="Times New Roman"/>
          <w:sz w:val="24"/>
          <w:szCs w:val="24"/>
        </w:rPr>
        <w:t>Ⅲ</w:t>
      </w:r>
      <w:r>
        <w:rPr>
          <w:rFonts w:ascii="SimSun" w:hAnsi="SimSun" w:eastAsia="SimSun" w:cs="SimSun"/>
          <w:sz w:val="24"/>
          <w:szCs w:val="24"/>
        </w:rPr>
        <w:t>类标准，详见表</w:t>
      </w:r>
      <w:r>
        <w:rPr>
          <w:rFonts w:ascii="Times New Roman" w:hAnsi="Times New Roman" w:eastAsia="Times New Roman" w:cs="Times New Roman"/>
          <w:sz w:val="24"/>
          <w:szCs w:val="24"/>
        </w:rPr>
        <w:t>2-3</w:t>
      </w:r>
      <w:r>
        <w:rPr>
          <w:rFonts w:ascii="SimSun" w:hAnsi="SimSun" w:eastAsia="SimSun" w:cs="SimSun"/>
          <w:sz w:val="24"/>
          <w:szCs w:val="24"/>
        </w:rPr>
        <w:t>。</w:t>
      </w:r>
    </w:p>
    <w:p>
      <w:pPr>
        <w:ind w:left="3335"/>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2"/>
        </w:rPr>
        <w:t xml:space="preserve"> </w:t>
      </w:r>
      <w:r>
        <w:rPr>
          <w:rFonts w:ascii="Times New Roman" w:hAnsi="Times New Roman" w:eastAsia="Times New Roman" w:cs="Times New Roman"/>
          <w:sz w:val="24"/>
          <w:szCs w:val="24"/>
          <w:b/>
          <w:bCs/>
          <w:spacing w:val="-2"/>
        </w:rPr>
        <w:t>2-3    </w:t>
      </w:r>
      <w:r>
        <w:rPr>
          <w:rFonts w:ascii="SimSun" w:hAnsi="SimSun" w:eastAsia="SimSun" w:cs="SimSun"/>
          <w:sz w:val="24"/>
          <w:szCs w:val="24"/>
          <w:b/>
          <w:bCs/>
          <w:spacing w:val="-2"/>
        </w:rPr>
        <w:t>地下水质量标准</w:t>
      </w:r>
    </w:p>
    <w:p>
      <w:pPr>
        <w:spacing w:line="129" w:lineRule="exact"/>
        <w:rPr/>
      </w:pPr>
      <w:r/>
    </w:p>
    <w:tbl>
      <w:tblPr>
        <w:tblStyle w:val="TableNormal"/>
        <w:tblW w:w="8721"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751"/>
        <w:gridCol w:w="2089"/>
        <w:gridCol w:w="1745"/>
        <w:gridCol w:w="1572"/>
        <w:gridCol w:w="2564"/>
      </w:tblGrid>
      <w:tr>
        <w:trPr>
          <w:trHeight w:val="284" w:hRule="atLeast"/>
        </w:trPr>
        <w:tc>
          <w:tcPr>
            <w:tcW w:w="751" w:type="dxa"/>
            <w:vAlign w:val="top"/>
            <w:tcBorders>
              <w:left w:val="nil"/>
              <w:top w:val="single" w:color="000000" w:sz="10" w:space="0"/>
            </w:tcBorders>
          </w:tcPr>
          <w:p>
            <w:pPr>
              <w:pStyle w:val="TableText"/>
              <w:ind w:left="170"/>
              <w:spacing w:before="36" w:line="209" w:lineRule="auto"/>
              <w:rPr/>
            </w:pPr>
            <w:r>
              <w:rPr>
                <w:b/>
                <w:bCs/>
                <w:spacing w:val="-4"/>
              </w:rPr>
              <w:t>序号</w:t>
            </w:r>
          </w:p>
        </w:tc>
        <w:tc>
          <w:tcPr>
            <w:tcW w:w="2089" w:type="dxa"/>
            <w:vAlign w:val="top"/>
            <w:tcBorders>
              <w:top w:val="single" w:color="000000" w:sz="10" w:space="0"/>
            </w:tcBorders>
          </w:tcPr>
          <w:p>
            <w:pPr>
              <w:pStyle w:val="TableText"/>
              <w:ind w:left="837"/>
              <w:spacing w:before="36" w:line="209" w:lineRule="auto"/>
              <w:rPr/>
            </w:pPr>
            <w:r>
              <w:rPr>
                <w:b/>
                <w:bCs/>
                <w:spacing w:val="-5"/>
              </w:rPr>
              <w:t>项目</w:t>
            </w:r>
          </w:p>
        </w:tc>
        <w:tc>
          <w:tcPr>
            <w:tcW w:w="1745" w:type="dxa"/>
            <w:vAlign w:val="top"/>
            <w:tcBorders>
              <w:top w:val="single" w:color="000000" w:sz="10" w:space="0"/>
            </w:tcBorders>
          </w:tcPr>
          <w:p>
            <w:pPr>
              <w:pStyle w:val="TableText"/>
              <w:ind w:left="664"/>
              <w:spacing w:before="36" w:line="209" w:lineRule="auto"/>
              <w:rPr/>
            </w:pPr>
            <w:r>
              <w:rPr>
                <w:b/>
                <w:bCs/>
                <w:spacing w:val="-5"/>
              </w:rPr>
              <w:t>单位</w:t>
            </w:r>
          </w:p>
        </w:tc>
        <w:tc>
          <w:tcPr>
            <w:tcW w:w="1572" w:type="dxa"/>
            <w:vAlign w:val="top"/>
            <w:tcBorders>
              <w:top w:val="single" w:color="000000" w:sz="10" w:space="0"/>
            </w:tcBorders>
          </w:tcPr>
          <w:p>
            <w:pPr>
              <w:pStyle w:val="TableText"/>
              <w:ind w:left="472"/>
              <w:spacing w:before="36" w:line="209" w:lineRule="auto"/>
              <w:rPr/>
            </w:pPr>
            <w:r>
              <w:rPr>
                <w:b/>
                <w:bCs/>
                <w:spacing w:val="-4"/>
              </w:rPr>
              <w:t>标准值</w:t>
            </w:r>
          </w:p>
        </w:tc>
        <w:tc>
          <w:tcPr>
            <w:tcW w:w="2564" w:type="dxa"/>
            <w:vAlign w:val="top"/>
            <w:tcBorders>
              <w:right w:val="nil"/>
              <w:top w:val="single" w:color="000000" w:sz="10" w:space="0"/>
            </w:tcBorders>
          </w:tcPr>
          <w:p>
            <w:pPr>
              <w:pStyle w:val="TableText"/>
              <w:ind w:left="862"/>
              <w:spacing w:before="36" w:line="209" w:lineRule="auto"/>
              <w:rPr/>
            </w:pPr>
            <w:r>
              <w:rPr>
                <w:b/>
                <w:bCs/>
                <w:spacing w:val="-4"/>
              </w:rPr>
              <w:t>执行标准</w:t>
            </w:r>
          </w:p>
        </w:tc>
      </w:tr>
      <w:tr>
        <w:trPr>
          <w:trHeight w:val="277" w:hRule="atLeast"/>
        </w:trPr>
        <w:tc>
          <w:tcPr>
            <w:tcW w:w="751" w:type="dxa"/>
            <w:vAlign w:val="top"/>
            <w:tcBorders>
              <w:left w:val="nil"/>
            </w:tcBorders>
          </w:tcPr>
          <w:p>
            <w:pPr>
              <w:ind w:left="346"/>
              <w:spacing w:before="5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89" w:type="dxa"/>
            <w:vAlign w:val="top"/>
          </w:tcPr>
          <w:p>
            <w:pPr>
              <w:ind w:left="909"/>
              <w:spacing w:before="5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745" w:type="dxa"/>
            <w:vAlign w:val="top"/>
          </w:tcPr>
          <w:p>
            <w:pPr>
              <w:pStyle w:val="TableText"/>
              <w:ind w:left="559"/>
              <w:spacing w:before="30" w:line="208" w:lineRule="auto"/>
              <w:rPr/>
            </w:pPr>
            <w:r>
              <w:rPr>
                <w:spacing w:val="-2"/>
              </w:rPr>
              <w:t>无量纲</w:t>
            </w:r>
          </w:p>
        </w:tc>
        <w:tc>
          <w:tcPr>
            <w:tcW w:w="1572" w:type="dxa"/>
            <w:vAlign w:val="top"/>
          </w:tcPr>
          <w:p>
            <w:pPr>
              <w:ind w:left="491"/>
              <w:spacing w:before="5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6.5-8.5</w:t>
            </w:r>
          </w:p>
        </w:tc>
        <w:tc>
          <w:tcPr>
            <w:tcW w:w="2564" w:type="dxa"/>
            <w:vAlign w:val="top"/>
            <w:vMerge w:val="restart"/>
            <w:tcBorders>
              <w:right w:val="nil"/>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338"/>
              <w:spacing w:before="68" w:line="221" w:lineRule="auto"/>
              <w:rPr/>
            </w:pPr>
            <w:r>
              <w:rPr>
                <w:spacing w:val="-2"/>
              </w:rPr>
              <w:t>《地下水质量标准》</w:t>
            </w:r>
          </w:p>
          <w:p>
            <w:pPr>
              <w:pStyle w:val="TableText"/>
              <w:ind w:left="151"/>
              <w:spacing w:before="23" w:line="238" w:lineRule="auto"/>
              <w:rPr>
                <w:rFonts w:ascii="Times New Roman" w:hAnsi="Times New Roman" w:eastAsia="Times New Roman" w:cs="Times New Roman"/>
              </w:rPr>
            </w:pPr>
            <w:r>
              <w:rPr>
                <w:spacing w:val="-1"/>
              </w:rPr>
              <w:t>（</w:t>
            </w:r>
            <w:r>
              <w:rPr>
                <w:rFonts w:ascii="Times New Roman" w:hAnsi="Times New Roman" w:eastAsia="Times New Roman" w:cs="Times New Roman"/>
                <w:spacing w:val="-1"/>
              </w:rPr>
              <w:t>GB/T14848-2017</w:t>
            </w:r>
            <w:r>
              <w:rPr>
                <w:spacing w:val="-1"/>
              </w:rPr>
              <w:t>）</w:t>
            </w:r>
            <w:r>
              <w:rPr>
                <w:spacing w:val="67"/>
              </w:rPr>
              <w:t xml:space="preserve"> </w:t>
            </w:r>
            <w:r>
              <w:rPr>
                <w:rFonts w:ascii="Times New Roman" w:hAnsi="Times New Roman" w:eastAsia="Times New Roman" w:cs="Times New Roman"/>
                <w:spacing w:val="-1"/>
              </w:rPr>
              <w:t>Ⅲ</w:t>
            </w:r>
          </w:p>
          <w:p>
            <w:pPr>
              <w:pStyle w:val="TableText"/>
              <w:ind w:left="968"/>
              <w:spacing w:line="220" w:lineRule="auto"/>
              <w:rPr/>
            </w:pPr>
            <w:r>
              <w:rPr>
                <w:spacing w:val="-2"/>
              </w:rPr>
              <w:t>类标准</w:t>
            </w:r>
          </w:p>
        </w:tc>
      </w:tr>
      <w:tr>
        <w:trPr>
          <w:trHeight w:val="287" w:hRule="atLeast"/>
        </w:trPr>
        <w:tc>
          <w:tcPr>
            <w:tcW w:w="751" w:type="dxa"/>
            <w:vAlign w:val="top"/>
            <w:tcBorders>
              <w:left w:val="nil"/>
            </w:tcBorders>
          </w:tcPr>
          <w:p>
            <w:pPr>
              <w:ind w:left="326"/>
              <w:spacing w:before="6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9" w:type="dxa"/>
            <w:vAlign w:val="top"/>
          </w:tcPr>
          <w:p>
            <w:pPr>
              <w:ind w:left="925"/>
              <w:spacing w:before="12"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4"/>
              </w:rPr>
              <w:t>K</w:t>
            </w:r>
            <w:r>
              <w:rPr>
                <w:rFonts w:ascii="Times New Roman" w:hAnsi="Times New Roman" w:eastAsia="Times New Roman" w:cs="Times New Roman"/>
                <w:sz w:val="13"/>
                <w:szCs w:val="13"/>
                <w:spacing w:val="-1"/>
                <w:position w:val="5"/>
              </w:rPr>
              <w:t>+</w:t>
            </w:r>
          </w:p>
        </w:tc>
        <w:tc>
          <w:tcPr>
            <w:tcW w:w="1745" w:type="dxa"/>
            <w:vAlign w:val="top"/>
          </w:tcPr>
          <w:p>
            <w:pPr>
              <w:ind w:left="837"/>
              <w:spacing w:before="6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72" w:type="dxa"/>
            <w:vAlign w:val="top"/>
          </w:tcPr>
          <w:p>
            <w:pPr>
              <w:ind w:left="751"/>
              <w:spacing w:before="63"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64" w:type="dxa"/>
            <w:vAlign w:val="top"/>
            <w:vMerge w:val="continue"/>
            <w:tcBorders>
              <w:right w:val="nil"/>
              <w:bottom w:val="nil"/>
              <w:top w:val="nil"/>
            </w:tcBorders>
          </w:tcPr>
          <w:p>
            <w:pPr>
              <w:rPr>
                <w:rFonts w:ascii="Arial"/>
                <w:sz w:val="21"/>
              </w:rPr>
            </w:pPr>
            <w:r/>
          </w:p>
        </w:tc>
      </w:tr>
      <w:tr>
        <w:trPr>
          <w:trHeight w:val="246" w:hRule="atLeast"/>
        </w:trPr>
        <w:tc>
          <w:tcPr>
            <w:tcW w:w="751" w:type="dxa"/>
            <w:vAlign w:val="top"/>
            <w:tcBorders>
              <w:left w:val="nil"/>
            </w:tcBorders>
          </w:tcPr>
          <w:p>
            <w:pPr>
              <w:ind w:left="330"/>
              <w:spacing w:before="4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89" w:type="dxa"/>
            <w:vAlign w:val="top"/>
          </w:tcPr>
          <w:p>
            <w:pPr>
              <w:ind w:left="854"/>
              <w:spacing w:line="21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4"/>
              </w:rPr>
              <w:t>Ca</w:t>
            </w:r>
            <w:r>
              <w:rPr>
                <w:rFonts w:ascii="Times New Roman" w:hAnsi="Times New Roman" w:eastAsia="Times New Roman" w:cs="Times New Roman"/>
                <w:sz w:val="13"/>
                <w:szCs w:val="13"/>
                <w:spacing w:val="2"/>
                <w:position w:val="5"/>
              </w:rPr>
              <w:t>2+</w:t>
            </w:r>
          </w:p>
        </w:tc>
        <w:tc>
          <w:tcPr>
            <w:tcW w:w="1745" w:type="dxa"/>
            <w:vAlign w:val="top"/>
          </w:tcPr>
          <w:p>
            <w:pPr>
              <w:ind w:left="837"/>
              <w:spacing w:before="4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72" w:type="dxa"/>
            <w:vAlign w:val="top"/>
          </w:tcPr>
          <w:p>
            <w:pPr>
              <w:ind w:left="751"/>
              <w:spacing w:before="4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64" w:type="dxa"/>
            <w:vAlign w:val="top"/>
            <w:vMerge w:val="continue"/>
            <w:tcBorders>
              <w:right w:val="nil"/>
              <w:bottom w:val="nil"/>
              <w:top w:val="nil"/>
            </w:tcBorders>
          </w:tcPr>
          <w:p>
            <w:pPr>
              <w:rPr>
                <w:rFonts w:ascii="Arial"/>
                <w:sz w:val="21"/>
              </w:rPr>
            </w:pPr>
            <w:r/>
          </w:p>
        </w:tc>
      </w:tr>
      <w:tr>
        <w:trPr>
          <w:trHeight w:val="246" w:hRule="atLeast"/>
        </w:trPr>
        <w:tc>
          <w:tcPr>
            <w:tcW w:w="751" w:type="dxa"/>
            <w:vAlign w:val="top"/>
            <w:tcBorders>
              <w:left w:val="nil"/>
            </w:tcBorders>
          </w:tcPr>
          <w:p>
            <w:pPr>
              <w:ind w:left="324"/>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89" w:type="dxa"/>
            <w:vAlign w:val="top"/>
          </w:tcPr>
          <w:p>
            <w:pPr>
              <w:ind w:left="819"/>
              <w:spacing w:line="20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3"/>
              </w:rPr>
              <w:t>Mg</w:t>
            </w:r>
            <w:r>
              <w:rPr>
                <w:rFonts w:ascii="Times New Roman" w:hAnsi="Times New Roman" w:eastAsia="Times New Roman" w:cs="Times New Roman"/>
                <w:sz w:val="13"/>
                <w:szCs w:val="13"/>
                <w:spacing w:val="3"/>
                <w:position w:val="7"/>
              </w:rPr>
              <w:t>2+</w:t>
            </w:r>
          </w:p>
        </w:tc>
        <w:tc>
          <w:tcPr>
            <w:tcW w:w="1745" w:type="dxa"/>
            <w:vAlign w:val="top"/>
          </w:tcPr>
          <w:p>
            <w:pPr>
              <w:ind w:left="837"/>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72" w:type="dxa"/>
            <w:vAlign w:val="top"/>
          </w:tcPr>
          <w:p>
            <w:pPr>
              <w:ind w:left="751"/>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64" w:type="dxa"/>
            <w:vAlign w:val="top"/>
            <w:vMerge w:val="continue"/>
            <w:tcBorders>
              <w:right w:val="nil"/>
              <w:bottom w:val="nil"/>
              <w:top w:val="nil"/>
            </w:tcBorders>
          </w:tcPr>
          <w:p>
            <w:pPr>
              <w:rPr>
                <w:rFonts w:ascii="Arial"/>
                <w:sz w:val="21"/>
              </w:rPr>
            </w:pPr>
            <w:r/>
          </w:p>
        </w:tc>
      </w:tr>
      <w:tr>
        <w:trPr>
          <w:trHeight w:val="246" w:hRule="atLeast"/>
        </w:trPr>
        <w:tc>
          <w:tcPr>
            <w:tcW w:w="751" w:type="dxa"/>
            <w:vAlign w:val="top"/>
            <w:tcBorders>
              <w:left w:val="nil"/>
            </w:tcBorders>
          </w:tcPr>
          <w:p>
            <w:pPr>
              <w:ind w:left="331"/>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89" w:type="dxa"/>
            <w:vAlign w:val="top"/>
          </w:tcPr>
          <w:p>
            <w:pPr>
              <w:ind w:left="806"/>
              <w:spacing w:line="20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CO</w:t>
            </w:r>
            <w:r>
              <w:rPr>
                <w:rFonts w:ascii="Times New Roman" w:hAnsi="Times New Roman" w:eastAsia="Times New Roman" w:cs="Times New Roman"/>
                <w:sz w:val="13"/>
                <w:szCs w:val="13"/>
                <w:spacing w:val="2"/>
                <w:position w:val="-4"/>
              </w:rPr>
              <w:t>3</w:t>
            </w:r>
            <w:r>
              <w:rPr>
                <w:rFonts w:ascii="Times New Roman" w:hAnsi="Times New Roman" w:eastAsia="Times New Roman" w:cs="Times New Roman"/>
                <w:sz w:val="13"/>
                <w:szCs w:val="13"/>
                <w:spacing w:val="2"/>
                <w:position w:val="8"/>
              </w:rPr>
              <w:t>2-</w:t>
            </w:r>
          </w:p>
        </w:tc>
        <w:tc>
          <w:tcPr>
            <w:tcW w:w="1745" w:type="dxa"/>
            <w:vAlign w:val="top"/>
          </w:tcPr>
          <w:p>
            <w:pPr>
              <w:ind w:left="837"/>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72" w:type="dxa"/>
            <w:vAlign w:val="top"/>
          </w:tcPr>
          <w:p>
            <w:pPr>
              <w:ind w:left="751"/>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64" w:type="dxa"/>
            <w:vAlign w:val="top"/>
            <w:vMerge w:val="continue"/>
            <w:tcBorders>
              <w:right w:val="nil"/>
              <w:bottom w:val="nil"/>
              <w:top w:val="nil"/>
            </w:tcBorders>
          </w:tcPr>
          <w:p>
            <w:pPr>
              <w:rPr>
                <w:rFonts w:ascii="Arial"/>
                <w:sz w:val="21"/>
              </w:rPr>
            </w:pPr>
            <w:r/>
          </w:p>
        </w:tc>
      </w:tr>
      <w:tr>
        <w:trPr>
          <w:trHeight w:val="244" w:hRule="atLeast"/>
        </w:trPr>
        <w:tc>
          <w:tcPr>
            <w:tcW w:w="751" w:type="dxa"/>
            <w:vAlign w:val="top"/>
            <w:tcBorders>
              <w:left w:val="nil"/>
            </w:tcBorders>
          </w:tcPr>
          <w:p>
            <w:pPr>
              <w:ind w:left="330"/>
              <w:spacing w:before="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89" w:type="dxa"/>
            <w:vAlign w:val="top"/>
          </w:tcPr>
          <w:p>
            <w:pPr>
              <w:ind w:left="761"/>
              <w:spacing w:before="48" w:line="15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HCO</w:t>
            </w:r>
            <w:r>
              <w:rPr>
                <w:rFonts w:ascii="Times New Roman" w:hAnsi="Times New Roman" w:eastAsia="Times New Roman" w:cs="Times New Roman"/>
                <w:sz w:val="13"/>
                <w:szCs w:val="13"/>
                <w:spacing w:val="3"/>
                <w:position w:val="-2"/>
              </w:rPr>
              <w:t>3</w:t>
            </w:r>
            <w:r>
              <w:rPr>
                <w:rFonts w:ascii="Times New Roman" w:hAnsi="Times New Roman" w:eastAsia="Times New Roman" w:cs="Times New Roman"/>
                <w:sz w:val="13"/>
                <w:szCs w:val="13"/>
                <w:spacing w:val="3"/>
                <w:position w:val="10"/>
              </w:rPr>
              <w:t>-</w:t>
            </w:r>
          </w:p>
        </w:tc>
        <w:tc>
          <w:tcPr>
            <w:tcW w:w="1745" w:type="dxa"/>
            <w:vAlign w:val="top"/>
          </w:tcPr>
          <w:p>
            <w:pPr>
              <w:ind w:left="837"/>
              <w:spacing w:before="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72" w:type="dxa"/>
            <w:vAlign w:val="top"/>
          </w:tcPr>
          <w:p>
            <w:pPr>
              <w:ind w:left="751"/>
              <w:spacing w:before="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329"/>
              <w:spacing w:before="6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089" w:type="dxa"/>
            <w:vAlign w:val="top"/>
          </w:tcPr>
          <w:p>
            <w:pPr>
              <w:pStyle w:val="TableText"/>
              <w:ind w:left="939"/>
              <w:spacing w:before="33" w:line="205" w:lineRule="auto"/>
              <w:rPr/>
            </w:pPr>
            <w:r>
              <w:rPr/>
              <w:t>钠</w:t>
            </w:r>
          </w:p>
        </w:tc>
        <w:tc>
          <w:tcPr>
            <w:tcW w:w="1745" w:type="dxa"/>
            <w:vAlign w:val="top"/>
          </w:tcPr>
          <w:p>
            <w:pPr>
              <w:ind w:left="639"/>
              <w:spacing w:before="6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66"/>
              <w:spacing w:before="6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334"/>
              <w:spacing w:before="62"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089" w:type="dxa"/>
            <w:vAlign w:val="top"/>
          </w:tcPr>
          <w:p>
            <w:pPr>
              <w:pStyle w:val="TableText"/>
              <w:ind w:left="836"/>
              <w:spacing w:before="32" w:line="206" w:lineRule="auto"/>
              <w:rPr/>
            </w:pPr>
            <w:r>
              <w:rPr>
                <w:spacing w:val="-2"/>
              </w:rPr>
              <w:t>氨氮</w:t>
            </w:r>
          </w:p>
        </w:tc>
        <w:tc>
          <w:tcPr>
            <w:tcW w:w="1745" w:type="dxa"/>
            <w:vAlign w:val="top"/>
          </w:tcPr>
          <w:p>
            <w:pPr>
              <w:ind w:left="639"/>
              <w:spacing w:before="6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62"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p>
        </w:tc>
        <w:tc>
          <w:tcPr>
            <w:tcW w:w="2564" w:type="dxa"/>
            <w:vAlign w:val="top"/>
            <w:vMerge w:val="continue"/>
            <w:tcBorders>
              <w:right w:val="nil"/>
              <w:bottom w:val="nil"/>
              <w:top w:val="nil"/>
            </w:tcBorders>
          </w:tcPr>
          <w:p>
            <w:pPr>
              <w:rPr>
                <w:rFonts w:ascii="Arial"/>
                <w:sz w:val="21"/>
              </w:rPr>
            </w:pPr>
            <w:r/>
          </w:p>
        </w:tc>
      </w:tr>
      <w:tr>
        <w:trPr>
          <w:trHeight w:val="548" w:hRule="atLeast"/>
        </w:trPr>
        <w:tc>
          <w:tcPr>
            <w:tcW w:w="751" w:type="dxa"/>
            <w:vAlign w:val="top"/>
            <w:tcBorders>
              <w:left w:val="nil"/>
            </w:tcBorders>
          </w:tcPr>
          <w:p>
            <w:pPr>
              <w:ind w:left="330"/>
              <w:spacing w:before="1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089" w:type="dxa"/>
            <w:vAlign w:val="top"/>
          </w:tcPr>
          <w:p>
            <w:pPr>
              <w:pStyle w:val="TableText"/>
              <w:ind w:left="600" w:right="88" w:hanging="491"/>
              <w:spacing w:before="32" w:line="222" w:lineRule="auto"/>
              <w:rPr/>
            </w:pPr>
            <w:r>
              <w:rPr>
                <w:spacing w:val="-5"/>
              </w:rPr>
              <w:t>耗氧量（</w:t>
            </w:r>
            <w:r>
              <w:rPr>
                <w:rFonts w:ascii="Times New Roman" w:hAnsi="Times New Roman" w:eastAsia="Times New Roman" w:cs="Times New Roman"/>
                <w:spacing w:val="-5"/>
              </w:rPr>
              <w:t>COD</w:t>
            </w:r>
            <w:r>
              <w:rPr>
                <w:rFonts w:ascii="Times New Roman" w:hAnsi="Times New Roman" w:eastAsia="Times New Roman" w:cs="Times New Roman"/>
                <w:sz w:val="13"/>
                <w:szCs w:val="13"/>
                <w:spacing w:val="-5"/>
                <w:position w:val="-2"/>
              </w:rPr>
              <w:t>Mn</w:t>
            </w:r>
            <w:r>
              <w:rPr>
                <w:rFonts w:ascii="Times New Roman" w:hAnsi="Times New Roman" w:eastAsia="Times New Roman" w:cs="Times New Roman"/>
                <w:sz w:val="13"/>
                <w:szCs w:val="13"/>
                <w:spacing w:val="18"/>
                <w:position w:val="-2"/>
              </w:rPr>
              <w:t xml:space="preserve"> </w:t>
            </w:r>
            <w:r>
              <w:rPr>
                <w:spacing w:val="-5"/>
              </w:rPr>
              <w:t>法，</w:t>
            </w:r>
            <w:r>
              <w:rPr>
                <w:spacing w:val="-19"/>
              </w:rPr>
              <w:t>以</w:t>
            </w:r>
            <w:r>
              <w:rPr>
                <w:spacing w:val="-44"/>
              </w:rPr>
              <w:t xml:space="preserve"> </w:t>
            </w:r>
            <w:r>
              <w:rPr>
                <w:rFonts w:ascii="Times New Roman" w:hAnsi="Times New Roman" w:eastAsia="Times New Roman" w:cs="Times New Roman"/>
                <w:spacing w:val="-19"/>
              </w:rPr>
              <w:t>O</w:t>
            </w:r>
            <w:r>
              <w:rPr>
                <w:rFonts w:ascii="Times New Roman" w:hAnsi="Times New Roman" w:eastAsia="Times New Roman" w:cs="Times New Roman"/>
                <w:sz w:val="13"/>
                <w:szCs w:val="13"/>
                <w:spacing w:val="-3"/>
                <w:position w:val="-2"/>
              </w:rPr>
              <w:t>2</w:t>
            </w:r>
            <w:r>
              <w:rPr>
                <w:rFonts w:ascii="Times New Roman" w:hAnsi="Times New Roman" w:eastAsia="Times New Roman" w:cs="Times New Roman"/>
                <w:sz w:val="13"/>
                <w:szCs w:val="13"/>
                <w:spacing w:val="11"/>
                <w:w w:val="103"/>
                <w:position w:val="-2"/>
              </w:rPr>
              <w:t xml:space="preserve"> </w:t>
            </w:r>
            <w:r>
              <w:rPr>
                <w:spacing w:val="-3"/>
              </w:rPr>
              <w:t>计）</w:t>
            </w:r>
          </w:p>
        </w:tc>
        <w:tc>
          <w:tcPr>
            <w:tcW w:w="1745" w:type="dxa"/>
            <w:vAlign w:val="top"/>
          </w:tcPr>
          <w:p>
            <w:pPr>
              <w:ind w:left="639"/>
              <w:spacing w:before="19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92"/>
              <w:spacing w:before="198"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w:t>
            </w:r>
          </w:p>
        </w:tc>
        <w:tc>
          <w:tcPr>
            <w:tcW w:w="2564" w:type="dxa"/>
            <w:vAlign w:val="top"/>
            <w:vMerge w:val="continue"/>
            <w:tcBorders>
              <w:right w:val="nil"/>
              <w:bottom w:val="nil"/>
              <w:top w:val="nil"/>
            </w:tcBorders>
          </w:tcPr>
          <w:p>
            <w:pPr>
              <w:rPr>
                <w:rFonts w:ascii="Arial"/>
                <w:sz w:val="21"/>
              </w:rPr>
            </w:pPr>
            <w:r/>
          </w:p>
        </w:tc>
      </w:tr>
      <w:tr>
        <w:trPr>
          <w:trHeight w:val="547" w:hRule="atLeast"/>
        </w:trPr>
        <w:tc>
          <w:tcPr>
            <w:tcW w:w="751" w:type="dxa"/>
            <w:vAlign w:val="top"/>
            <w:tcBorders>
              <w:left w:val="nil"/>
            </w:tcBorders>
          </w:tcPr>
          <w:p>
            <w:pPr>
              <w:ind w:left="293"/>
              <w:spacing w:before="19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089" w:type="dxa"/>
            <w:vAlign w:val="top"/>
          </w:tcPr>
          <w:p>
            <w:pPr>
              <w:pStyle w:val="TableText"/>
              <w:ind w:left="108"/>
              <w:spacing w:before="35" w:line="220" w:lineRule="auto"/>
              <w:rPr/>
            </w:pPr>
            <w:r>
              <w:rPr>
                <w:spacing w:val="-3"/>
              </w:rPr>
              <w:t>挥发性酚类（以苯酚</w:t>
            </w:r>
          </w:p>
          <w:p>
            <w:pPr>
              <w:pStyle w:val="TableText"/>
              <w:ind w:left="836"/>
              <w:spacing w:before="23" w:line="200" w:lineRule="auto"/>
              <w:rPr/>
            </w:pPr>
            <w:r>
              <w:rPr>
                <w:spacing w:val="-6"/>
              </w:rPr>
              <w:t>计）</w:t>
            </w:r>
          </w:p>
        </w:tc>
        <w:tc>
          <w:tcPr>
            <w:tcW w:w="1745" w:type="dxa"/>
            <w:vAlign w:val="top"/>
          </w:tcPr>
          <w:p>
            <w:pPr>
              <w:ind w:left="639"/>
              <w:spacing w:before="20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487"/>
              <w:spacing w:before="200"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≤0.002</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67"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2089" w:type="dxa"/>
            <w:vAlign w:val="top"/>
          </w:tcPr>
          <w:p>
            <w:pPr>
              <w:pStyle w:val="TableText"/>
              <w:ind w:left="736"/>
              <w:spacing w:before="37" w:line="202" w:lineRule="auto"/>
              <w:rPr/>
            </w:pPr>
            <w:r>
              <w:rPr>
                <w:spacing w:val="-3"/>
              </w:rPr>
              <w:t>总硬度</w:t>
            </w:r>
          </w:p>
        </w:tc>
        <w:tc>
          <w:tcPr>
            <w:tcW w:w="1745" w:type="dxa"/>
            <w:vAlign w:val="top"/>
          </w:tcPr>
          <w:p>
            <w:pPr>
              <w:ind w:left="639"/>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66"/>
              <w:spacing w:before="67"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68"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089" w:type="dxa"/>
            <w:vAlign w:val="top"/>
          </w:tcPr>
          <w:p>
            <w:pPr>
              <w:pStyle w:val="TableText"/>
              <w:ind w:left="525"/>
              <w:spacing w:before="38" w:line="201" w:lineRule="auto"/>
              <w:rPr/>
            </w:pPr>
            <w:r>
              <w:rPr>
                <w:spacing w:val="-3"/>
              </w:rPr>
              <w:t>总大肠菌群</w:t>
            </w:r>
          </w:p>
        </w:tc>
        <w:tc>
          <w:tcPr>
            <w:tcW w:w="1745" w:type="dxa"/>
            <w:vAlign w:val="top"/>
          </w:tcPr>
          <w:p>
            <w:pPr>
              <w:ind w:left="335"/>
              <w:spacing w:before="69"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CFU/100mL</w:t>
            </w:r>
          </w:p>
        </w:tc>
        <w:tc>
          <w:tcPr>
            <w:tcW w:w="1572" w:type="dxa"/>
            <w:vAlign w:val="top"/>
          </w:tcPr>
          <w:p>
            <w:pPr>
              <w:ind w:left="592"/>
              <w:spacing w:before="68"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w:t>
            </w:r>
          </w:p>
        </w:tc>
        <w:tc>
          <w:tcPr>
            <w:tcW w:w="2564" w:type="dxa"/>
            <w:vAlign w:val="top"/>
            <w:vMerge w:val="continue"/>
            <w:tcBorders>
              <w:right w:val="nil"/>
              <w:bottom w:val="nil"/>
              <w:top w:val="nil"/>
            </w:tcBorders>
          </w:tcPr>
          <w:p>
            <w:pPr>
              <w:rPr>
                <w:rFonts w:ascii="Arial"/>
                <w:sz w:val="21"/>
              </w:rPr>
            </w:pPr>
            <w:r/>
          </w:p>
        </w:tc>
      </w:tr>
      <w:tr>
        <w:trPr>
          <w:trHeight w:val="275" w:hRule="atLeast"/>
        </w:trPr>
        <w:tc>
          <w:tcPr>
            <w:tcW w:w="751" w:type="dxa"/>
            <w:vAlign w:val="top"/>
            <w:tcBorders>
              <w:left w:val="nil"/>
            </w:tcBorders>
          </w:tcPr>
          <w:p>
            <w:pPr>
              <w:ind w:left="293"/>
              <w:spacing w:before="67"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089" w:type="dxa"/>
            <w:vAlign w:val="top"/>
          </w:tcPr>
          <w:p>
            <w:pPr>
              <w:pStyle w:val="TableText"/>
              <w:ind w:left="185"/>
              <w:spacing w:before="39" w:line="198" w:lineRule="auto"/>
              <w:rPr/>
            </w:pPr>
            <w:r>
              <w:rPr>
                <w:spacing w:val="-1"/>
              </w:rPr>
              <w:t>硝酸盐（以</w:t>
            </w:r>
            <w:r>
              <w:rPr>
                <w:spacing w:val="-56"/>
              </w:rPr>
              <w:t xml:space="preserve"> </w:t>
            </w:r>
            <w:r>
              <w:rPr>
                <w:rFonts w:ascii="Times New Roman" w:hAnsi="Times New Roman" w:eastAsia="Times New Roman" w:cs="Times New Roman"/>
                <w:spacing w:val="-1"/>
              </w:rPr>
              <w:t>N </w:t>
            </w:r>
            <w:r>
              <w:rPr>
                <w:spacing w:val="-1"/>
              </w:rPr>
              <w:t>计）</w:t>
            </w:r>
          </w:p>
        </w:tc>
        <w:tc>
          <w:tcPr>
            <w:tcW w:w="1745" w:type="dxa"/>
            <w:vAlign w:val="top"/>
          </w:tcPr>
          <w:p>
            <w:pPr>
              <w:ind w:left="639"/>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619"/>
              <w:spacing w:before="67"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70"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089" w:type="dxa"/>
            <w:vAlign w:val="top"/>
          </w:tcPr>
          <w:p>
            <w:pPr>
              <w:pStyle w:val="TableText"/>
              <w:ind w:left="110"/>
              <w:spacing w:before="42" w:line="197" w:lineRule="auto"/>
              <w:rPr/>
            </w:pPr>
            <w:r>
              <w:rPr>
                <w:spacing w:val="-1"/>
              </w:rPr>
              <w:t>亚硝酸盐（以</w:t>
            </w:r>
            <w:r>
              <w:rPr>
                <w:spacing w:val="-55"/>
              </w:rPr>
              <w:t xml:space="preserve"> </w:t>
            </w:r>
            <w:r>
              <w:rPr>
                <w:rFonts w:ascii="Times New Roman" w:hAnsi="Times New Roman" w:eastAsia="Times New Roman" w:cs="Times New Roman"/>
                <w:spacing w:val="-1"/>
              </w:rPr>
              <w:t>N </w:t>
            </w:r>
            <w:r>
              <w:rPr>
                <w:spacing w:val="-1"/>
              </w:rPr>
              <w:t>计）</w:t>
            </w:r>
          </w:p>
        </w:tc>
        <w:tc>
          <w:tcPr>
            <w:tcW w:w="1745" w:type="dxa"/>
            <w:vAlign w:val="top"/>
          </w:tcPr>
          <w:p>
            <w:pPr>
              <w:ind w:left="639"/>
              <w:spacing w:before="7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70"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71"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089" w:type="dxa"/>
            <w:vAlign w:val="top"/>
          </w:tcPr>
          <w:p>
            <w:pPr>
              <w:pStyle w:val="TableText"/>
              <w:ind w:left="418"/>
              <w:spacing w:before="41" w:line="198" w:lineRule="auto"/>
              <w:rPr/>
            </w:pPr>
            <w:r>
              <w:rPr>
                <w:spacing w:val="-2"/>
              </w:rPr>
              <w:t>溶解性总固体</w:t>
            </w:r>
          </w:p>
        </w:tc>
        <w:tc>
          <w:tcPr>
            <w:tcW w:w="1745" w:type="dxa"/>
            <w:vAlign w:val="top"/>
          </w:tcPr>
          <w:p>
            <w:pPr>
              <w:ind w:left="639"/>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13"/>
              <w:spacing w:before="71"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≤1000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72"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089" w:type="dxa"/>
            <w:vAlign w:val="top"/>
          </w:tcPr>
          <w:p>
            <w:pPr>
              <w:pStyle w:val="TableText"/>
              <w:ind w:left="625"/>
              <w:spacing w:before="42" w:line="197" w:lineRule="auto"/>
              <w:rPr/>
            </w:pPr>
            <w:r>
              <w:rPr>
                <w:spacing w:val="-2"/>
              </w:rPr>
              <w:t>细菌总数</w:t>
            </w:r>
          </w:p>
        </w:tc>
        <w:tc>
          <w:tcPr>
            <w:tcW w:w="1745" w:type="dxa"/>
            <w:vAlign w:val="top"/>
          </w:tcPr>
          <w:p>
            <w:pPr>
              <w:ind w:left="494"/>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CFU/mL</w:t>
            </w:r>
          </w:p>
        </w:tc>
        <w:tc>
          <w:tcPr>
            <w:tcW w:w="1572" w:type="dxa"/>
            <w:vAlign w:val="top"/>
          </w:tcPr>
          <w:p>
            <w:pPr>
              <w:ind w:left="566"/>
              <w:spacing w:before="72"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≤100</w:t>
            </w:r>
          </w:p>
        </w:tc>
        <w:tc>
          <w:tcPr>
            <w:tcW w:w="2564" w:type="dxa"/>
            <w:vAlign w:val="top"/>
            <w:vMerge w:val="continue"/>
            <w:tcBorders>
              <w:right w:val="nil"/>
              <w:bottom w:val="nil"/>
              <w:top w:val="nil"/>
            </w:tcBorders>
          </w:tcPr>
          <w:p>
            <w:pPr>
              <w:rPr>
                <w:rFonts w:ascii="Arial"/>
                <w:sz w:val="21"/>
              </w:rPr>
            </w:pPr>
            <w:r/>
          </w:p>
        </w:tc>
      </w:tr>
      <w:tr>
        <w:trPr>
          <w:trHeight w:val="275" w:hRule="atLeast"/>
        </w:trPr>
        <w:tc>
          <w:tcPr>
            <w:tcW w:w="751" w:type="dxa"/>
            <w:vAlign w:val="top"/>
            <w:tcBorders>
              <w:left w:val="nil"/>
            </w:tcBorders>
          </w:tcPr>
          <w:p>
            <w:pPr>
              <w:ind w:left="293"/>
              <w:spacing w:before="70"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2089" w:type="dxa"/>
            <w:vAlign w:val="top"/>
          </w:tcPr>
          <w:p>
            <w:pPr>
              <w:pStyle w:val="TableText"/>
              <w:ind w:left="731"/>
              <w:spacing w:before="43" w:line="195" w:lineRule="auto"/>
              <w:rPr/>
            </w:pPr>
            <w:r>
              <w:rPr>
                <w:spacing w:val="-2"/>
              </w:rPr>
              <w:t>氟化物</w:t>
            </w:r>
          </w:p>
        </w:tc>
        <w:tc>
          <w:tcPr>
            <w:tcW w:w="1745" w:type="dxa"/>
            <w:vAlign w:val="top"/>
          </w:tcPr>
          <w:p>
            <w:pPr>
              <w:ind w:left="639"/>
              <w:spacing w:before="7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92"/>
              <w:spacing w:before="70"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73"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2089" w:type="dxa"/>
            <w:vAlign w:val="top"/>
          </w:tcPr>
          <w:p>
            <w:pPr>
              <w:pStyle w:val="TableText"/>
              <w:ind w:left="729"/>
              <w:spacing w:before="46" w:line="194" w:lineRule="auto"/>
              <w:rPr/>
            </w:pPr>
            <w:r>
              <w:rPr>
                <w:spacing w:val="-1"/>
              </w:rPr>
              <w:t>氰化物</w:t>
            </w:r>
          </w:p>
        </w:tc>
        <w:tc>
          <w:tcPr>
            <w:tcW w:w="1745" w:type="dxa"/>
            <w:vAlign w:val="top"/>
          </w:tcPr>
          <w:p>
            <w:pPr>
              <w:ind w:left="639"/>
              <w:spacing w:before="7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73"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93"/>
              <w:spacing w:before="7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2089" w:type="dxa"/>
            <w:vAlign w:val="top"/>
          </w:tcPr>
          <w:p>
            <w:pPr>
              <w:pStyle w:val="TableText"/>
              <w:ind w:left="939"/>
              <w:spacing w:before="45" w:line="195" w:lineRule="auto"/>
              <w:rPr/>
            </w:pPr>
            <w:r>
              <w:rPr/>
              <w:t>砷</w:t>
            </w:r>
          </w:p>
        </w:tc>
        <w:tc>
          <w:tcPr>
            <w:tcW w:w="1745" w:type="dxa"/>
            <w:vAlign w:val="top"/>
          </w:tcPr>
          <w:p>
            <w:pPr>
              <w:ind w:left="639"/>
              <w:spacing w:before="7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7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2564" w:type="dxa"/>
            <w:vAlign w:val="top"/>
            <w:vMerge w:val="continue"/>
            <w:tcBorders>
              <w:right w:val="nil"/>
              <w:bottom w:val="nil"/>
              <w:top w:val="nil"/>
            </w:tcBorders>
          </w:tcPr>
          <w:p>
            <w:pPr>
              <w:rPr>
                <w:rFonts w:ascii="Arial"/>
                <w:sz w:val="21"/>
              </w:rPr>
            </w:pPr>
            <w:r/>
          </w:p>
        </w:tc>
      </w:tr>
      <w:tr>
        <w:trPr>
          <w:trHeight w:val="278" w:hRule="atLeast"/>
        </w:trPr>
        <w:tc>
          <w:tcPr>
            <w:tcW w:w="751" w:type="dxa"/>
            <w:vAlign w:val="top"/>
            <w:tcBorders>
              <w:left w:val="nil"/>
            </w:tcBorders>
          </w:tcPr>
          <w:p>
            <w:pPr>
              <w:ind w:left="273"/>
              <w:spacing w:before="7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089" w:type="dxa"/>
            <w:vAlign w:val="top"/>
          </w:tcPr>
          <w:p>
            <w:pPr>
              <w:pStyle w:val="TableText"/>
              <w:ind w:left="940"/>
              <w:spacing w:before="46" w:line="195" w:lineRule="auto"/>
              <w:rPr/>
            </w:pPr>
            <w:r>
              <w:rPr/>
              <w:t>汞</w:t>
            </w:r>
          </w:p>
        </w:tc>
        <w:tc>
          <w:tcPr>
            <w:tcW w:w="1745" w:type="dxa"/>
            <w:vAlign w:val="top"/>
          </w:tcPr>
          <w:p>
            <w:pPr>
              <w:ind w:left="639"/>
              <w:spacing w:before="7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487"/>
              <w:spacing w:before="7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≤0.001</w:t>
            </w:r>
          </w:p>
        </w:tc>
        <w:tc>
          <w:tcPr>
            <w:tcW w:w="2564" w:type="dxa"/>
            <w:vAlign w:val="top"/>
            <w:vMerge w:val="continue"/>
            <w:tcBorders>
              <w:right w:val="nil"/>
              <w:bottom w:val="nil"/>
              <w:top w:val="nil"/>
            </w:tcBorders>
          </w:tcPr>
          <w:p>
            <w:pPr>
              <w:rPr>
                <w:rFonts w:ascii="Arial"/>
                <w:sz w:val="21"/>
              </w:rPr>
            </w:pPr>
            <w:r/>
          </w:p>
        </w:tc>
      </w:tr>
      <w:tr>
        <w:trPr>
          <w:trHeight w:val="275" w:hRule="atLeast"/>
        </w:trPr>
        <w:tc>
          <w:tcPr>
            <w:tcW w:w="751" w:type="dxa"/>
            <w:vAlign w:val="top"/>
            <w:tcBorders>
              <w:left w:val="nil"/>
            </w:tcBorders>
          </w:tcPr>
          <w:p>
            <w:pPr>
              <w:ind w:left="273"/>
              <w:spacing w:before="7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2089" w:type="dxa"/>
            <w:vAlign w:val="top"/>
          </w:tcPr>
          <w:p>
            <w:pPr>
              <w:pStyle w:val="TableText"/>
              <w:ind w:left="732"/>
              <w:spacing w:before="46" w:line="192" w:lineRule="auto"/>
              <w:rPr/>
            </w:pPr>
            <w:r>
              <w:rPr>
                <w:spacing w:val="-2"/>
              </w:rPr>
              <w:t>六价铬</w:t>
            </w:r>
          </w:p>
        </w:tc>
        <w:tc>
          <w:tcPr>
            <w:tcW w:w="1745" w:type="dxa"/>
            <w:vAlign w:val="top"/>
          </w:tcPr>
          <w:p>
            <w:pPr>
              <w:ind w:left="639"/>
              <w:spacing w:before="7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7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73"/>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2089" w:type="dxa"/>
            <w:vAlign w:val="top"/>
          </w:tcPr>
          <w:p>
            <w:pPr>
              <w:pStyle w:val="TableText"/>
              <w:ind w:left="939"/>
              <w:spacing w:before="47" w:line="193" w:lineRule="auto"/>
              <w:rPr/>
            </w:pPr>
            <w:r>
              <w:rPr/>
              <w:t>铅</w:t>
            </w:r>
          </w:p>
        </w:tc>
        <w:tc>
          <w:tcPr>
            <w:tcW w:w="1745" w:type="dxa"/>
            <w:vAlign w:val="top"/>
          </w:tcPr>
          <w:p>
            <w:pPr>
              <w:ind w:left="639"/>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73"/>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2089" w:type="dxa"/>
            <w:vAlign w:val="top"/>
          </w:tcPr>
          <w:p>
            <w:pPr>
              <w:pStyle w:val="TableText"/>
              <w:ind w:left="938"/>
              <w:spacing w:before="48" w:line="192" w:lineRule="auto"/>
              <w:rPr/>
            </w:pPr>
            <w:r>
              <w:rPr/>
              <w:t>镉</w:t>
            </w:r>
          </w:p>
        </w:tc>
        <w:tc>
          <w:tcPr>
            <w:tcW w:w="1745" w:type="dxa"/>
            <w:vAlign w:val="top"/>
          </w:tcPr>
          <w:p>
            <w:pPr>
              <w:ind w:left="639"/>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487"/>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≤0.005</w:t>
            </w:r>
          </w:p>
        </w:tc>
        <w:tc>
          <w:tcPr>
            <w:tcW w:w="2564" w:type="dxa"/>
            <w:vAlign w:val="top"/>
            <w:vMerge w:val="continue"/>
            <w:tcBorders>
              <w:right w:val="nil"/>
              <w:bottom w:val="nil"/>
              <w:top w:val="nil"/>
            </w:tcBorders>
          </w:tcPr>
          <w:p>
            <w:pPr>
              <w:rPr>
                <w:rFonts w:ascii="Arial"/>
                <w:sz w:val="21"/>
              </w:rPr>
            </w:pPr>
            <w:r/>
          </w:p>
        </w:tc>
      </w:tr>
      <w:tr>
        <w:trPr>
          <w:trHeight w:val="275" w:hRule="atLeast"/>
        </w:trPr>
        <w:tc>
          <w:tcPr>
            <w:tcW w:w="751" w:type="dxa"/>
            <w:vAlign w:val="top"/>
            <w:tcBorders>
              <w:left w:val="nil"/>
            </w:tcBorders>
          </w:tcPr>
          <w:p>
            <w:pPr>
              <w:ind w:left="273"/>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2089" w:type="dxa"/>
            <w:vAlign w:val="top"/>
          </w:tcPr>
          <w:p>
            <w:pPr>
              <w:pStyle w:val="TableText"/>
              <w:ind w:left="939"/>
              <w:spacing w:before="48" w:line="190" w:lineRule="auto"/>
              <w:rPr/>
            </w:pPr>
            <w:r>
              <w:rPr/>
              <w:t>铁</w:t>
            </w:r>
          </w:p>
        </w:tc>
        <w:tc>
          <w:tcPr>
            <w:tcW w:w="1745" w:type="dxa"/>
            <w:vAlign w:val="top"/>
          </w:tcPr>
          <w:p>
            <w:pPr>
              <w:ind w:left="639"/>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92"/>
              <w:spacing w:before="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73"/>
              <w:spacing w:before="7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2089" w:type="dxa"/>
            <w:vAlign w:val="top"/>
          </w:tcPr>
          <w:p>
            <w:pPr>
              <w:pStyle w:val="TableText"/>
              <w:ind w:left="939"/>
              <w:spacing w:before="52" w:line="189" w:lineRule="auto"/>
              <w:rPr/>
            </w:pPr>
            <w:r>
              <w:rPr/>
              <w:t>锰</w:t>
            </w:r>
          </w:p>
        </w:tc>
        <w:tc>
          <w:tcPr>
            <w:tcW w:w="1745" w:type="dxa"/>
            <w:vAlign w:val="top"/>
          </w:tcPr>
          <w:p>
            <w:pPr>
              <w:ind w:left="639"/>
              <w:spacing w:before="7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39"/>
              <w:spacing w:before="7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≤0.10</w:t>
            </w:r>
          </w:p>
        </w:tc>
        <w:tc>
          <w:tcPr>
            <w:tcW w:w="2564" w:type="dxa"/>
            <w:vAlign w:val="top"/>
            <w:vMerge w:val="continue"/>
            <w:tcBorders>
              <w:right w:val="nil"/>
              <w:bottom w:val="nil"/>
              <w:top w:val="nil"/>
            </w:tcBorders>
          </w:tcPr>
          <w:p>
            <w:pPr>
              <w:rPr>
                <w:rFonts w:ascii="Arial"/>
                <w:sz w:val="21"/>
              </w:rPr>
            </w:pPr>
            <w:r/>
          </w:p>
        </w:tc>
      </w:tr>
      <w:tr>
        <w:trPr>
          <w:trHeight w:val="277" w:hRule="atLeast"/>
        </w:trPr>
        <w:tc>
          <w:tcPr>
            <w:tcW w:w="751" w:type="dxa"/>
            <w:vAlign w:val="top"/>
            <w:tcBorders>
              <w:left w:val="nil"/>
            </w:tcBorders>
          </w:tcPr>
          <w:p>
            <w:pPr>
              <w:ind w:left="273"/>
              <w:spacing w:before="8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2089" w:type="dxa"/>
            <w:vAlign w:val="top"/>
          </w:tcPr>
          <w:p>
            <w:pPr>
              <w:pStyle w:val="TableText"/>
              <w:ind w:left="729"/>
              <w:spacing w:before="50" w:line="190" w:lineRule="auto"/>
              <w:rPr/>
            </w:pPr>
            <w:r>
              <w:rPr>
                <w:spacing w:val="-1"/>
              </w:rPr>
              <w:t>硫酸盐</w:t>
            </w:r>
          </w:p>
        </w:tc>
        <w:tc>
          <w:tcPr>
            <w:tcW w:w="1745" w:type="dxa"/>
            <w:vAlign w:val="top"/>
          </w:tcPr>
          <w:p>
            <w:pPr>
              <w:ind w:left="639"/>
              <w:spacing w:before="8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Pr>
          <w:p>
            <w:pPr>
              <w:ind w:left="566"/>
              <w:spacing w:before="8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2564" w:type="dxa"/>
            <w:vAlign w:val="top"/>
            <w:vMerge w:val="continue"/>
            <w:tcBorders>
              <w:right w:val="nil"/>
              <w:bottom w:val="nil"/>
              <w:top w:val="nil"/>
            </w:tcBorders>
          </w:tcPr>
          <w:p>
            <w:pPr>
              <w:rPr>
                <w:rFonts w:ascii="Arial"/>
                <w:sz w:val="21"/>
              </w:rPr>
            </w:pPr>
            <w:r/>
          </w:p>
        </w:tc>
      </w:tr>
      <w:tr>
        <w:trPr>
          <w:trHeight w:val="299" w:hRule="atLeast"/>
        </w:trPr>
        <w:tc>
          <w:tcPr>
            <w:tcW w:w="751" w:type="dxa"/>
            <w:vAlign w:val="top"/>
            <w:tcBorders>
              <w:left w:val="nil"/>
              <w:bottom w:val="single" w:color="000000" w:sz="10" w:space="0"/>
            </w:tcBorders>
          </w:tcPr>
          <w:p>
            <w:pPr>
              <w:ind w:left="273"/>
              <w:spacing w:before="81"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2089" w:type="dxa"/>
            <w:vAlign w:val="top"/>
            <w:tcBorders>
              <w:bottom w:val="single" w:color="000000" w:sz="10" w:space="0"/>
            </w:tcBorders>
          </w:tcPr>
          <w:p>
            <w:pPr>
              <w:pStyle w:val="TableText"/>
              <w:ind w:left="733"/>
              <w:spacing w:before="51" w:line="209" w:lineRule="auto"/>
              <w:rPr/>
            </w:pPr>
            <w:r>
              <w:rPr>
                <w:spacing w:val="-2"/>
              </w:rPr>
              <w:t>氯化物</w:t>
            </w:r>
          </w:p>
        </w:tc>
        <w:tc>
          <w:tcPr>
            <w:tcW w:w="1745" w:type="dxa"/>
            <w:vAlign w:val="top"/>
            <w:tcBorders>
              <w:bottom w:val="single" w:color="000000" w:sz="10" w:space="0"/>
            </w:tcBorders>
          </w:tcPr>
          <w:p>
            <w:pPr>
              <w:ind w:left="639"/>
              <w:spacing w:before="8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mg/L</w:t>
            </w:r>
          </w:p>
        </w:tc>
        <w:tc>
          <w:tcPr>
            <w:tcW w:w="1572" w:type="dxa"/>
            <w:vAlign w:val="top"/>
            <w:tcBorders>
              <w:bottom w:val="single" w:color="000000" w:sz="10" w:space="0"/>
            </w:tcBorders>
          </w:tcPr>
          <w:p>
            <w:pPr>
              <w:ind w:left="566"/>
              <w:spacing w:before="81"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2564" w:type="dxa"/>
            <w:vAlign w:val="top"/>
            <w:vMerge w:val="continue"/>
            <w:tcBorders>
              <w:right w:val="nil"/>
              <w:bottom w:val="single" w:color="000000" w:sz="10" w:space="0"/>
              <w:top w:val="nil"/>
            </w:tcBorders>
          </w:tcPr>
          <w:p>
            <w:pPr>
              <w:rPr>
                <w:rFonts w:ascii="Arial"/>
                <w:sz w:val="21"/>
              </w:rPr>
            </w:pPr>
            <w:r/>
          </w:p>
        </w:tc>
      </w:tr>
    </w:tbl>
    <w:p>
      <w:pPr>
        <w:pStyle w:val="BodyText"/>
        <w:spacing w:line="368" w:lineRule="auto"/>
        <w:rPr/>
      </w:pPr>
      <w:r/>
    </w:p>
    <w:p>
      <w:pPr>
        <w:ind w:left="603"/>
        <w:spacing w:before="78" w:line="234" w:lineRule="auto"/>
        <w:rPr>
          <w:rFonts w:ascii="SimSun" w:hAnsi="SimSun" w:eastAsia="SimSun" w:cs="SimSun"/>
          <w:sz w:val="24"/>
          <w:szCs w:val="24"/>
        </w:rPr>
      </w:pPr>
      <w:r>
        <w:pict>
          <v:shape id="_x0000_s82" style="position:absolute;margin-left:5.64601pt;margin-top:28.1222pt;mso-position-vertical-relative:text;mso-position-horizontal-relative:text;width:425.7pt;height:0.6pt;z-index:251683840;" filled="false" strokecolor="#808080" strokeweight="0.50pt" coordsize="8514,12" coordorigin="0,0" path="m5,5l8508,6e">
            <v:stroke endcap="round" miterlimit="10"/>
          </v:shape>
        </w:pict>
      </w: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）环境空气</w:t>
      </w:r>
    </w:p>
    <w:p>
      <w:pPr>
        <w:spacing w:line="234" w:lineRule="auto"/>
        <w:sectPr>
          <w:headerReference w:type="default" r:id="rId43"/>
          <w:footerReference w:type="default" r:id="rId44"/>
          <w:pgSz w:w="11907" w:h="16839"/>
          <w:pgMar w:top="1422" w:right="1591" w:bottom="1618" w:left="1594" w:header="1033" w:footer="1417" w:gutter="0"/>
        </w:sectPr>
        <w:rPr>
          <w:rFonts w:ascii="SimSun" w:hAnsi="SimSun" w:eastAsia="SimSun" w:cs="SimSun"/>
          <w:sz w:val="24"/>
          <w:szCs w:val="24"/>
        </w:rPr>
      </w:pPr>
    </w:p>
    <w:p>
      <w:pPr>
        <w:ind w:left="118" w:right="144" w:firstLine="478"/>
        <w:spacing w:before="313" w:line="359" w:lineRule="auto"/>
        <w:rPr>
          <w:rFonts w:ascii="SimSun" w:hAnsi="SimSun" w:eastAsia="SimSun" w:cs="SimSun"/>
          <w:sz w:val="24"/>
          <w:szCs w:val="24"/>
        </w:rPr>
      </w:pPr>
      <w:r>
        <w:rPr>
          <w:rFonts w:ascii="SimSun" w:hAnsi="SimSun" w:eastAsia="SimSun" w:cs="SimSun"/>
          <w:sz w:val="24"/>
          <w:szCs w:val="24"/>
          <w:spacing w:val="3"/>
        </w:rPr>
        <w:t>根据当地生态环境部门环境功能区划，评价区域属二类区，环境</w:t>
      </w:r>
      <w:r>
        <w:rPr>
          <w:rFonts w:ascii="SimSun" w:hAnsi="SimSun" w:eastAsia="SimSun" w:cs="SimSun"/>
          <w:sz w:val="24"/>
          <w:szCs w:val="24"/>
          <w:spacing w:val="2"/>
        </w:rPr>
        <w:t>空气质量评</w:t>
      </w:r>
      <w:r>
        <w:rPr>
          <w:rFonts w:ascii="SimSun" w:hAnsi="SimSun" w:eastAsia="SimSun" w:cs="SimSun"/>
          <w:sz w:val="24"/>
          <w:szCs w:val="24"/>
          <w:spacing w:val="-1"/>
        </w:rPr>
        <w:t>价采用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1"/>
        </w:rPr>
        <w:t>GB3095-2012</w:t>
      </w:r>
      <w:r>
        <w:rPr>
          <w:rFonts w:ascii="SimSun" w:hAnsi="SimSun" w:eastAsia="SimSun" w:cs="SimSun"/>
          <w:sz w:val="24"/>
          <w:szCs w:val="24"/>
          <w:spacing w:val="-1"/>
        </w:rPr>
        <w:t>《环境空气质量标准》中二级标准要求，详见表</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2-4</w:t>
      </w:r>
      <w:r>
        <w:rPr>
          <w:rFonts w:ascii="SimSun" w:hAnsi="SimSun" w:eastAsia="SimSun" w:cs="SimSun"/>
          <w:sz w:val="24"/>
          <w:szCs w:val="24"/>
          <w:spacing w:val="-1"/>
        </w:rPr>
        <w:t>。</w:t>
      </w:r>
    </w:p>
    <w:p>
      <w:pPr>
        <w:ind w:left="2728"/>
        <w:spacing w:line="234"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3"/>
        </w:rPr>
        <w:t>2-4    </w:t>
      </w:r>
      <w:r>
        <w:rPr>
          <w:rFonts w:ascii="SimSun" w:hAnsi="SimSun" w:eastAsia="SimSun" w:cs="SimSun"/>
          <w:sz w:val="24"/>
          <w:szCs w:val="24"/>
          <w:b/>
          <w:bCs/>
          <w:spacing w:val="-3"/>
        </w:rPr>
        <w:t>环境空气质量标准（摘录）</w:t>
      </w:r>
    </w:p>
    <w:p>
      <w:pPr>
        <w:spacing w:line="127" w:lineRule="exact"/>
        <w:rPr/>
      </w:pPr>
      <w:r/>
    </w:p>
    <w:tbl>
      <w:tblPr>
        <w:tblStyle w:val="TableNormal"/>
        <w:tblW w:w="875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93"/>
        <w:gridCol w:w="948"/>
        <w:gridCol w:w="1289"/>
        <w:gridCol w:w="1291"/>
        <w:gridCol w:w="1289"/>
        <w:gridCol w:w="1292"/>
        <w:gridCol w:w="1755"/>
      </w:tblGrid>
      <w:tr>
        <w:trPr>
          <w:trHeight w:val="549" w:hRule="atLeast"/>
        </w:trPr>
        <w:tc>
          <w:tcPr>
            <w:tcW w:w="893" w:type="dxa"/>
            <w:vAlign w:val="top"/>
            <w:tcBorders>
              <w:top w:val="single" w:color="000000" w:sz="10" w:space="0"/>
              <w:left w:val="nil"/>
            </w:tcBorders>
          </w:tcPr>
          <w:p>
            <w:pPr>
              <w:pStyle w:val="TableText"/>
              <w:ind w:left="139"/>
              <w:spacing w:before="173" w:line="221" w:lineRule="auto"/>
              <w:rPr/>
            </w:pPr>
            <w:r>
              <w:rPr>
                <w:b/>
                <w:bCs/>
                <w:spacing w:val="-4"/>
              </w:rPr>
              <w:t>污染物</w:t>
            </w:r>
          </w:p>
        </w:tc>
        <w:tc>
          <w:tcPr>
            <w:tcW w:w="948" w:type="dxa"/>
            <w:vAlign w:val="top"/>
            <w:tcBorders>
              <w:right w:val="single" w:color="000000" w:sz="4" w:space="0"/>
              <w:top w:val="single" w:color="000000" w:sz="10" w:space="0"/>
            </w:tcBorders>
          </w:tcPr>
          <w:p>
            <w:pPr>
              <w:pStyle w:val="TableText"/>
              <w:ind w:left="266"/>
              <w:spacing w:before="173" w:line="221" w:lineRule="auto"/>
              <w:rPr/>
            </w:pPr>
            <w:r>
              <w:rPr>
                <w:b/>
                <w:bCs/>
                <w:spacing w:val="-5"/>
              </w:rPr>
              <w:t>单位</w:t>
            </w:r>
          </w:p>
        </w:tc>
        <w:tc>
          <w:tcPr>
            <w:tcW w:w="1289" w:type="dxa"/>
            <w:vAlign w:val="top"/>
            <w:tcBorders>
              <w:left w:val="single" w:color="000000" w:sz="4" w:space="0"/>
              <w:right w:val="single" w:color="000000" w:sz="4" w:space="0"/>
              <w:top w:val="single" w:color="000000" w:sz="10" w:space="0"/>
            </w:tcBorders>
          </w:tcPr>
          <w:p>
            <w:pPr>
              <w:pStyle w:val="TableText"/>
              <w:ind w:left="119"/>
              <w:spacing w:before="172" w:line="221" w:lineRule="auto"/>
              <w:rPr/>
            </w:pPr>
            <w:r>
              <w:rPr>
                <w:b/>
                <w:bCs/>
                <w:spacing w:val="-3"/>
              </w:rPr>
              <w:t>年平均浓度</w:t>
            </w:r>
          </w:p>
        </w:tc>
        <w:tc>
          <w:tcPr>
            <w:tcW w:w="1291" w:type="dxa"/>
            <w:vAlign w:val="top"/>
            <w:tcBorders>
              <w:left w:val="single" w:color="000000" w:sz="4" w:space="0"/>
              <w:right w:val="single" w:color="000000" w:sz="4" w:space="0"/>
              <w:top w:val="single" w:color="000000" w:sz="10" w:space="0"/>
            </w:tcBorders>
          </w:tcPr>
          <w:p>
            <w:pPr>
              <w:pStyle w:val="TableText"/>
              <w:ind w:left="539" w:right="162" w:hanging="376"/>
              <w:spacing w:before="36" w:line="221" w:lineRule="auto"/>
              <w:rPr/>
            </w:pPr>
            <w:r>
              <w:rPr>
                <w:rFonts w:ascii="Times New Roman" w:hAnsi="Times New Roman" w:eastAsia="Times New Roman" w:cs="Times New Roman"/>
                <w:b/>
                <w:bCs/>
                <w:spacing w:val="-2"/>
              </w:rPr>
              <w:t>24h</w:t>
            </w:r>
            <w:r>
              <w:rPr>
                <w:b/>
                <w:bCs/>
                <w:spacing w:val="-2"/>
              </w:rPr>
              <w:t>平均浓</w:t>
            </w:r>
            <w:r>
              <w:rPr>
                <w:b/>
                <w:bCs/>
                <w:spacing w:val="-3"/>
              </w:rPr>
              <w:t>度</w:t>
            </w:r>
          </w:p>
        </w:tc>
        <w:tc>
          <w:tcPr>
            <w:tcW w:w="1289" w:type="dxa"/>
            <w:vAlign w:val="top"/>
            <w:tcBorders>
              <w:left w:val="single" w:color="000000" w:sz="4" w:space="0"/>
              <w:top w:val="single" w:color="000000" w:sz="10" w:space="0"/>
            </w:tcBorders>
          </w:tcPr>
          <w:p>
            <w:pPr>
              <w:pStyle w:val="TableText"/>
              <w:ind w:left="432" w:right="167" w:hanging="255"/>
              <w:spacing w:before="36" w:line="221" w:lineRule="auto"/>
              <w:rPr/>
            </w:pPr>
            <w:r>
              <w:rPr>
                <w:rFonts w:ascii="Times New Roman" w:hAnsi="Times New Roman" w:eastAsia="Times New Roman" w:cs="Times New Roman"/>
                <w:b/>
                <w:bCs/>
                <w:spacing w:val="-4"/>
              </w:rPr>
              <w:t>1</w:t>
            </w:r>
            <w:r>
              <w:rPr>
                <w:b/>
                <w:bCs/>
                <w:spacing w:val="-4"/>
              </w:rPr>
              <w:t>小时平均</w:t>
            </w:r>
            <w:r>
              <w:rPr>
                <w:b/>
                <w:bCs/>
                <w:spacing w:val="-4"/>
              </w:rPr>
              <w:t>浓度</w:t>
            </w:r>
          </w:p>
        </w:tc>
        <w:tc>
          <w:tcPr>
            <w:tcW w:w="1292" w:type="dxa"/>
            <w:vAlign w:val="top"/>
            <w:tcBorders>
              <w:right w:val="single" w:color="000000" w:sz="4" w:space="0"/>
              <w:top w:val="single" w:color="000000" w:sz="10" w:space="0"/>
            </w:tcBorders>
          </w:tcPr>
          <w:p>
            <w:pPr>
              <w:pStyle w:val="TableText"/>
              <w:ind w:left="544" w:right="109" w:hanging="392"/>
              <w:spacing w:before="36" w:line="221" w:lineRule="auto"/>
              <w:rPr/>
            </w:pPr>
            <w:r>
              <w:rPr>
                <w:b/>
                <w:bCs/>
                <w:spacing w:val="-9"/>
              </w:rPr>
              <w:t>日最大</w:t>
            </w:r>
            <w:r>
              <w:rPr>
                <w:rFonts w:ascii="Times New Roman" w:hAnsi="Times New Roman" w:eastAsia="Times New Roman" w:cs="Times New Roman"/>
                <w:b/>
                <w:bCs/>
                <w:spacing w:val="-9"/>
              </w:rPr>
              <w:t>8h</w:t>
            </w:r>
            <w:r>
              <w:rPr>
                <w:b/>
                <w:bCs/>
                <w:spacing w:val="-9"/>
              </w:rPr>
              <w:t>平</w:t>
            </w:r>
            <w:r>
              <w:rPr>
                <w:b/>
                <w:bCs/>
                <w:spacing w:val="-3"/>
              </w:rPr>
              <w:t>均</w:t>
            </w:r>
          </w:p>
        </w:tc>
        <w:tc>
          <w:tcPr>
            <w:tcW w:w="1755" w:type="dxa"/>
            <w:vAlign w:val="top"/>
            <w:tcBorders>
              <w:left w:val="single" w:color="000000" w:sz="4" w:space="0"/>
              <w:top w:val="single" w:color="000000" w:sz="10" w:space="0"/>
              <w:right w:val="nil"/>
            </w:tcBorders>
          </w:tcPr>
          <w:p>
            <w:pPr>
              <w:pStyle w:val="TableText"/>
              <w:ind w:left="457"/>
              <w:spacing w:before="172" w:line="221" w:lineRule="auto"/>
              <w:rPr/>
            </w:pPr>
            <w:r>
              <w:rPr>
                <w:b/>
                <w:bCs/>
                <w:spacing w:val="-4"/>
              </w:rPr>
              <w:t>执行标准</w:t>
            </w:r>
          </w:p>
        </w:tc>
      </w:tr>
      <w:tr>
        <w:trPr>
          <w:trHeight w:val="244" w:hRule="atLeast"/>
        </w:trPr>
        <w:tc>
          <w:tcPr>
            <w:tcW w:w="893" w:type="dxa"/>
            <w:vAlign w:val="top"/>
            <w:tcBorders>
              <w:left w:val="nil"/>
            </w:tcBorders>
          </w:tcPr>
          <w:p>
            <w:pPr>
              <w:ind w:left="226"/>
              <w:spacing w:before="56" w:line="17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PM</w:t>
            </w:r>
            <w:r>
              <w:rPr>
                <w:rFonts w:ascii="Times New Roman" w:hAnsi="Times New Roman" w:eastAsia="Times New Roman" w:cs="Times New Roman"/>
                <w:sz w:val="13"/>
                <w:szCs w:val="13"/>
                <w:spacing w:val="5"/>
                <w:position w:val="-1"/>
              </w:rPr>
              <w:t>10</w:t>
            </w:r>
          </w:p>
        </w:tc>
        <w:tc>
          <w:tcPr>
            <w:tcW w:w="948" w:type="dxa"/>
            <w:vAlign w:val="top"/>
            <w:tcBorders>
              <w:right w:val="single" w:color="000000" w:sz="4" w:space="0"/>
            </w:tcBorders>
          </w:tcPr>
          <w:p>
            <w:pPr>
              <w:ind w:left="222"/>
              <w:spacing w:line="21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µg/m</w:t>
            </w:r>
            <w:r>
              <w:rPr>
                <w:rFonts w:ascii="Times New Roman" w:hAnsi="Times New Roman" w:eastAsia="Times New Roman" w:cs="Times New Roman"/>
                <w:sz w:val="13"/>
                <w:szCs w:val="13"/>
                <w:spacing w:val="-3"/>
                <w:position w:val="9"/>
              </w:rPr>
              <w:t>3</w:t>
            </w:r>
          </w:p>
        </w:tc>
        <w:tc>
          <w:tcPr>
            <w:tcW w:w="1289" w:type="dxa"/>
            <w:vAlign w:val="top"/>
            <w:tcBorders>
              <w:left w:val="single" w:color="000000" w:sz="4" w:space="0"/>
              <w:right w:val="single" w:color="000000" w:sz="4" w:space="0"/>
            </w:tcBorders>
          </w:tcPr>
          <w:p>
            <w:pPr>
              <w:ind w:left="538"/>
              <w:spacing w:before="4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291" w:type="dxa"/>
            <w:vAlign w:val="top"/>
            <w:tcBorders>
              <w:left w:val="single" w:color="000000" w:sz="4" w:space="0"/>
              <w:right w:val="single" w:color="000000" w:sz="4" w:space="0"/>
            </w:tcBorders>
          </w:tcPr>
          <w:p>
            <w:pPr>
              <w:ind w:left="507"/>
              <w:spacing w:before="4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150</w:t>
            </w:r>
          </w:p>
        </w:tc>
        <w:tc>
          <w:tcPr>
            <w:tcW w:w="1289" w:type="dxa"/>
            <w:vAlign w:val="top"/>
            <w:tcBorders>
              <w:left w:val="single" w:color="000000" w:sz="4" w:space="0"/>
            </w:tcBorders>
          </w:tcPr>
          <w:p>
            <w:pPr>
              <w:ind w:left="529"/>
              <w:spacing w:before="141" w:line="9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92" w:type="dxa"/>
            <w:vAlign w:val="top"/>
            <w:tcBorders>
              <w:right w:val="single" w:color="000000" w:sz="4" w:space="0"/>
            </w:tcBorders>
          </w:tcPr>
          <w:p>
            <w:pPr>
              <w:ind w:left="534"/>
              <w:spacing w:before="141" w:line="93"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755" w:type="dxa"/>
            <w:vAlign w:val="top"/>
            <w:vMerge w:val="restart"/>
            <w:tcBorders>
              <w:left w:val="single" w:color="000000" w:sz="4" w:space="0"/>
              <w:bottom w:val="nil"/>
              <w:right w:val="nil"/>
            </w:tcBorders>
          </w:tcPr>
          <w:p>
            <w:pPr>
              <w:spacing w:line="343" w:lineRule="auto"/>
              <w:rPr>
                <w:rFonts w:ascii="Arial"/>
                <w:sz w:val="21"/>
              </w:rPr>
            </w:pPr>
            <w:r/>
          </w:p>
          <w:p>
            <w:pPr>
              <w:pStyle w:val="TableText"/>
              <w:ind w:left="143" w:right="141" w:firstLine="63"/>
              <w:spacing w:before="61" w:line="233" w:lineRule="auto"/>
              <w:jc w:val="both"/>
              <w:rPr/>
            </w:pPr>
            <w:r>
              <w:rPr>
                <w:rFonts w:ascii="Times New Roman" w:hAnsi="Times New Roman" w:eastAsia="Times New Roman" w:cs="Times New Roman"/>
                <w:spacing w:val="-1"/>
              </w:rPr>
              <w:t>GB3095—2012</w:t>
            </w:r>
            <w:r>
              <w:rPr>
                <w:rFonts w:ascii="Times New Roman" w:hAnsi="Times New Roman" w:eastAsia="Times New Roman" w:cs="Times New Roman"/>
                <w:spacing w:val="2"/>
              </w:rPr>
              <w:t xml:space="preserve"> </w:t>
            </w:r>
            <w:r>
              <w:rPr>
                <w:spacing w:val="-1"/>
              </w:rPr>
              <w:t>《环境空气质量</w:t>
            </w:r>
            <w:r>
              <w:rPr>
                <w:spacing w:val="-1"/>
              </w:rPr>
              <w:t>标准》二级标准</w:t>
            </w:r>
          </w:p>
        </w:tc>
      </w:tr>
      <w:tr>
        <w:trPr>
          <w:trHeight w:val="242" w:hRule="atLeast"/>
        </w:trPr>
        <w:tc>
          <w:tcPr>
            <w:tcW w:w="893" w:type="dxa"/>
            <w:vAlign w:val="top"/>
            <w:tcBorders>
              <w:left w:val="nil"/>
            </w:tcBorders>
          </w:tcPr>
          <w:p>
            <w:pPr>
              <w:ind w:left="289"/>
              <w:spacing w:before="56" w:line="17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SO</w:t>
            </w:r>
            <w:r>
              <w:rPr>
                <w:rFonts w:ascii="Times New Roman" w:hAnsi="Times New Roman" w:eastAsia="Times New Roman" w:cs="Times New Roman"/>
                <w:sz w:val="13"/>
                <w:szCs w:val="13"/>
                <w:spacing w:val="-3"/>
                <w:position w:val="-2"/>
              </w:rPr>
              <w:t>2</w:t>
            </w:r>
          </w:p>
        </w:tc>
        <w:tc>
          <w:tcPr>
            <w:tcW w:w="948" w:type="dxa"/>
            <w:vAlign w:val="top"/>
            <w:tcBorders>
              <w:right w:val="single" w:color="000000" w:sz="4" w:space="0"/>
            </w:tcBorders>
          </w:tcPr>
          <w:p>
            <w:pPr>
              <w:ind w:left="222"/>
              <w:spacing w:before="2" w:line="21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µg/m</w:t>
            </w:r>
            <w:r>
              <w:rPr>
                <w:rFonts w:ascii="Times New Roman" w:hAnsi="Times New Roman" w:eastAsia="Times New Roman" w:cs="Times New Roman"/>
                <w:sz w:val="13"/>
                <w:szCs w:val="13"/>
                <w:spacing w:val="-3"/>
                <w:position w:val="9"/>
              </w:rPr>
              <w:t>3</w:t>
            </w:r>
          </w:p>
        </w:tc>
        <w:tc>
          <w:tcPr>
            <w:tcW w:w="1289" w:type="dxa"/>
            <w:vAlign w:val="top"/>
            <w:tcBorders>
              <w:left w:val="single" w:color="000000" w:sz="4" w:space="0"/>
              <w:right w:val="single" w:color="000000" w:sz="4" w:space="0"/>
            </w:tcBorders>
          </w:tcPr>
          <w:p>
            <w:pPr>
              <w:ind w:left="539"/>
              <w:spacing w:before="52"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60</w:t>
            </w:r>
          </w:p>
        </w:tc>
        <w:tc>
          <w:tcPr>
            <w:tcW w:w="1291" w:type="dxa"/>
            <w:vAlign w:val="top"/>
            <w:tcBorders>
              <w:left w:val="single" w:color="000000" w:sz="4" w:space="0"/>
              <w:right w:val="single" w:color="000000" w:sz="4" w:space="0"/>
            </w:tcBorders>
          </w:tcPr>
          <w:p>
            <w:pPr>
              <w:ind w:left="507"/>
              <w:spacing w:before="52"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150</w:t>
            </w:r>
          </w:p>
        </w:tc>
        <w:tc>
          <w:tcPr>
            <w:tcW w:w="1289" w:type="dxa"/>
            <w:vAlign w:val="top"/>
            <w:tcBorders>
              <w:left w:val="single" w:color="000000" w:sz="4" w:space="0"/>
            </w:tcBorders>
          </w:tcPr>
          <w:p>
            <w:pPr>
              <w:ind w:left="490"/>
              <w:spacing w:before="52"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500</w:t>
            </w:r>
          </w:p>
        </w:tc>
        <w:tc>
          <w:tcPr>
            <w:tcW w:w="1292" w:type="dxa"/>
            <w:vAlign w:val="top"/>
            <w:tcBorders>
              <w:right w:val="single" w:color="000000" w:sz="4" w:space="0"/>
            </w:tcBorders>
          </w:tcPr>
          <w:p>
            <w:pPr>
              <w:ind w:left="534"/>
              <w:spacing w:before="144" w:line="87"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755" w:type="dxa"/>
            <w:vAlign w:val="top"/>
            <w:vMerge w:val="continue"/>
            <w:tcBorders>
              <w:left w:val="single" w:color="000000" w:sz="4" w:space="0"/>
              <w:bottom w:val="nil"/>
              <w:right w:val="nil"/>
              <w:top w:val="nil"/>
            </w:tcBorders>
          </w:tcPr>
          <w:p>
            <w:pPr>
              <w:rPr>
                <w:rFonts w:ascii="Arial"/>
                <w:sz w:val="21"/>
              </w:rPr>
            </w:pPr>
            <w:r/>
          </w:p>
        </w:tc>
      </w:tr>
      <w:tr>
        <w:trPr>
          <w:trHeight w:val="244" w:hRule="atLeast"/>
        </w:trPr>
        <w:tc>
          <w:tcPr>
            <w:tcW w:w="893" w:type="dxa"/>
            <w:vAlign w:val="top"/>
            <w:tcBorders>
              <w:left w:val="nil"/>
            </w:tcBorders>
          </w:tcPr>
          <w:p>
            <w:pPr>
              <w:ind w:left="256"/>
              <w:spacing w:before="61" w:line="169"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NO</w:t>
            </w:r>
            <w:r>
              <w:rPr>
                <w:rFonts w:ascii="Times New Roman" w:hAnsi="Times New Roman" w:eastAsia="Times New Roman" w:cs="Times New Roman"/>
                <w:sz w:val="13"/>
                <w:szCs w:val="13"/>
                <w:spacing w:val="8"/>
                <w:position w:val="-2"/>
              </w:rPr>
              <w:t>2</w:t>
            </w:r>
          </w:p>
        </w:tc>
        <w:tc>
          <w:tcPr>
            <w:tcW w:w="948" w:type="dxa"/>
            <w:vAlign w:val="top"/>
            <w:tcBorders>
              <w:right w:val="single" w:color="000000" w:sz="4" w:space="0"/>
            </w:tcBorders>
          </w:tcPr>
          <w:p>
            <w:pPr>
              <w:ind w:left="222"/>
              <w:spacing w:before="7" w:line="21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µg/m</w:t>
            </w:r>
            <w:r>
              <w:rPr>
                <w:rFonts w:ascii="Times New Roman" w:hAnsi="Times New Roman" w:eastAsia="Times New Roman" w:cs="Times New Roman"/>
                <w:sz w:val="13"/>
                <w:szCs w:val="13"/>
                <w:spacing w:val="-3"/>
                <w:position w:val="9"/>
              </w:rPr>
              <w:t>3</w:t>
            </w:r>
          </w:p>
        </w:tc>
        <w:tc>
          <w:tcPr>
            <w:tcW w:w="1289" w:type="dxa"/>
            <w:vAlign w:val="top"/>
            <w:tcBorders>
              <w:left w:val="single" w:color="000000" w:sz="4" w:space="0"/>
              <w:right w:val="single" w:color="000000" w:sz="4" w:space="0"/>
            </w:tcBorders>
          </w:tcPr>
          <w:p>
            <w:pPr>
              <w:ind w:left="533"/>
              <w:spacing w:before="57" w:line="17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291" w:type="dxa"/>
            <w:vAlign w:val="top"/>
            <w:tcBorders>
              <w:left w:val="single" w:color="000000" w:sz="4" w:space="0"/>
              <w:right w:val="single" w:color="000000" w:sz="4" w:space="0"/>
            </w:tcBorders>
          </w:tcPr>
          <w:p>
            <w:pPr>
              <w:ind w:left="545"/>
              <w:spacing w:before="57" w:line="17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289" w:type="dxa"/>
            <w:vAlign w:val="top"/>
            <w:tcBorders>
              <w:left w:val="single" w:color="000000" w:sz="4" w:space="0"/>
            </w:tcBorders>
          </w:tcPr>
          <w:p>
            <w:pPr>
              <w:ind w:left="484"/>
              <w:spacing w:before="57" w:line="17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292" w:type="dxa"/>
            <w:vAlign w:val="top"/>
            <w:tcBorders>
              <w:right w:val="single" w:color="000000" w:sz="4" w:space="0"/>
            </w:tcBorders>
          </w:tcPr>
          <w:p>
            <w:pPr>
              <w:ind w:left="534"/>
              <w:spacing w:before="149" w:line="8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755" w:type="dxa"/>
            <w:vAlign w:val="top"/>
            <w:vMerge w:val="continue"/>
            <w:tcBorders>
              <w:left w:val="single" w:color="000000" w:sz="4" w:space="0"/>
              <w:bottom w:val="nil"/>
              <w:right w:val="nil"/>
              <w:top w:val="nil"/>
            </w:tcBorders>
          </w:tcPr>
          <w:p>
            <w:pPr>
              <w:rPr>
                <w:rFonts w:ascii="Arial"/>
                <w:sz w:val="21"/>
              </w:rPr>
            </w:pPr>
            <w:r/>
          </w:p>
        </w:tc>
      </w:tr>
      <w:tr>
        <w:trPr>
          <w:trHeight w:val="244" w:hRule="atLeast"/>
        </w:trPr>
        <w:tc>
          <w:tcPr>
            <w:tcW w:w="893" w:type="dxa"/>
            <w:vAlign w:val="top"/>
            <w:tcBorders>
              <w:left w:val="nil"/>
            </w:tcBorders>
          </w:tcPr>
          <w:p>
            <w:pPr>
              <w:ind w:left="307"/>
              <w:spacing w:before="61" w:line="17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w:t>
            </w:r>
          </w:p>
        </w:tc>
        <w:tc>
          <w:tcPr>
            <w:tcW w:w="948" w:type="dxa"/>
            <w:vAlign w:val="top"/>
            <w:tcBorders>
              <w:right w:val="single" w:color="000000" w:sz="4" w:space="0"/>
            </w:tcBorders>
          </w:tcPr>
          <w:p>
            <w:pPr>
              <w:ind w:left="190"/>
              <w:spacing w:before="7" w:line="21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mg/m</w:t>
            </w:r>
            <w:r>
              <w:rPr>
                <w:rFonts w:ascii="Times New Roman" w:hAnsi="Times New Roman" w:eastAsia="Times New Roman" w:cs="Times New Roman"/>
                <w:sz w:val="13"/>
                <w:szCs w:val="13"/>
                <w:position w:val="9"/>
              </w:rPr>
              <w:t>3</w:t>
            </w:r>
          </w:p>
        </w:tc>
        <w:tc>
          <w:tcPr>
            <w:tcW w:w="1289" w:type="dxa"/>
            <w:vAlign w:val="top"/>
            <w:tcBorders>
              <w:left w:val="single" w:color="000000" w:sz="4" w:space="0"/>
              <w:right w:val="single" w:color="000000" w:sz="4" w:space="0"/>
            </w:tcBorders>
          </w:tcPr>
          <w:p>
            <w:pPr>
              <w:ind w:left="528"/>
              <w:spacing w:before="149" w:line="8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91" w:type="dxa"/>
            <w:vAlign w:val="top"/>
            <w:tcBorders>
              <w:left w:val="single" w:color="000000" w:sz="4" w:space="0"/>
              <w:right w:val="single" w:color="000000" w:sz="4" w:space="0"/>
            </w:tcBorders>
          </w:tcPr>
          <w:p>
            <w:pPr>
              <w:ind w:left="588"/>
              <w:spacing w:before="58" w:line="17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89" w:type="dxa"/>
            <w:vAlign w:val="top"/>
            <w:tcBorders>
              <w:left w:val="single" w:color="000000" w:sz="4" w:space="0"/>
            </w:tcBorders>
          </w:tcPr>
          <w:p>
            <w:pPr>
              <w:ind w:left="555"/>
              <w:spacing w:before="58" w:line="17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292" w:type="dxa"/>
            <w:vAlign w:val="top"/>
            <w:tcBorders>
              <w:right w:val="single" w:color="000000" w:sz="4" w:space="0"/>
            </w:tcBorders>
          </w:tcPr>
          <w:p>
            <w:pPr>
              <w:ind w:left="534"/>
              <w:spacing w:before="149" w:line="8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755" w:type="dxa"/>
            <w:vAlign w:val="top"/>
            <w:vMerge w:val="continue"/>
            <w:tcBorders>
              <w:left w:val="single" w:color="000000" w:sz="4" w:space="0"/>
              <w:bottom w:val="nil"/>
              <w:right w:val="nil"/>
              <w:top w:val="nil"/>
            </w:tcBorders>
          </w:tcPr>
          <w:p>
            <w:pPr>
              <w:rPr>
                <w:rFonts w:ascii="Arial"/>
                <w:sz w:val="21"/>
              </w:rPr>
            </w:pPr>
            <w:r/>
          </w:p>
        </w:tc>
      </w:tr>
      <w:tr>
        <w:trPr>
          <w:trHeight w:val="244" w:hRule="atLeast"/>
        </w:trPr>
        <w:tc>
          <w:tcPr>
            <w:tcW w:w="893" w:type="dxa"/>
            <w:vAlign w:val="top"/>
            <w:tcBorders>
              <w:left w:val="nil"/>
            </w:tcBorders>
          </w:tcPr>
          <w:p>
            <w:pPr>
              <w:ind w:left="343"/>
              <w:spacing w:before="65" w:line="16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1"/>
              </w:rPr>
              <w:t>O</w:t>
            </w:r>
            <w:r>
              <w:rPr>
                <w:rFonts w:ascii="Times New Roman" w:hAnsi="Times New Roman" w:eastAsia="Times New Roman" w:cs="Times New Roman"/>
                <w:sz w:val="13"/>
                <w:szCs w:val="13"/>
                <w:spacing w:val="-1"/>
                <w:position w:val="-1"/>
              </w:rPr>
              <w:t>3</w:t>
            </w:r>
          </w:p>
        </w:tc>
        <w:tc>
          <w:tcPr>
            <w:tcW w:w="948" w:type="dxa"/>
            <w:vAlign w:val="top"/>
            <w:tcBorders>
              <w:right w:val="single" w:color="000000" w:sz="4" w:space="0"/>
            </w:tcBorders>
          </w:tcPr>
          <w:p>
            <w:pPr>
              <w:ind w:left="222"/>
              <w:spacing w:before="10" w:line="20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µg/m</w:t>
            </w:r>
            <w:r>
              <w:rPr>
                <w:rFonts w:ascii="Times New Roman" w:hAnsi="Times New Roman" w:eastAsia="Times New Roman" w:cs="Times New Roman"/>
                <w:sz w:val="13"/>
                <w:szCs w:val="13"/>
                <w:spacing w:val="-3"/>
                <w:position w:val="9"/>
              </w:rPr>
              <w:t>3</w:t>
            </w:r>
          </w:p>
        </w:tc>
        <w:tc>
          <w:tcPr>
            <w:tcW w:w="1289" w:type="dxa"/>
            <w:vAlign w:val="top"/>
            <w:tcBorders>
              <w:left w:val="single" w:color="000000" w:sz="4" w:space="0"/>
              <w:right w:val="single" w:color="000000" w:sz="4" w:space="0"/>
            </w:tcBorders>
          </w:tcPr>
          <w:p>
            <w:pPr>
              <w:ind w:left="528"/>
              <w:spacing w:before="152" w:line="8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p>
        </w:tc>
        <w:tc>
          <w:tcPr>
            <w:tcW w:w="1291" w:type="dxa"/>
            <w:vAlign w:val="top"/>
            <w:tcBorders>
              <w:left w:val="single" w:color="000000" w:sz="4" w:space="0"/>
              <w:right w:val="single" w:color="000000" w:sz="4" w:space="0"/>
            </w:tcBorders>
          </w:tcPr>
          <w:p>
            <w:pPr>
              <w:ind w:left="531"/>
              <w:spacing w:before="152" w:line="82"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3"/>
              </w:rPr>
              <w:t>—</w:t>
            </w:r>
          </w:p>
        </w:tc>
        <w:tc>
          <w:tcPr>
            <w:tcW w:w="1289" w:type="dxa"/>
            <w:vAlign w:val="top"/>
            <w:tcBorders>
              <w:left w:val="single" w:color="000000" w:sz="4" w:space="0"/>
            </w:tcBorders>
          </w:tcPr>
          <w:p>
            <w:pPr>
              <w:ind w:left="484"/>
              <w:spacing w:before="60" w:line="17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292" w:type="dxa"/>
            <w:vAlign w:val="top"/>
            <w:tcBorders>
              <w:right w:val="single" w:color="000000" w:sz="4" w:space="0"/>
            </w:tcBorders>
          </w:tcPr>
          <w:p>
            <w:pPr>
              <w:ind w:left="510"/>
              <w:spacing w:before="60" w:line="17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160</w:t>
            </w:r>
          </w:p>
        </w:tc>
        <w:tc>
          <w:tcPr>
            <w:tcW w:w="1755" w:type="dxa"/>
            <w:vAlign w:val="top"/>
            <w:vMerge w:val="continue"/>
            <w:tcBorders>
              <w:left w:val="single" w:color="000000" w:sz="4" w:space="0"/>
              <w:bottom w:val="nil"/>
              <w:right w:val="nil"/>
              <w:top w:val="nil"/>
            </w:tcBorders>
          </w:tcPr>
          <w:p>
            <w:pPr>
              <w:rPr>
                <w:rFonts w:ascii="Arial"/>
                <w:sz w:val="21"/>
              </w:rPr>
            </w:pPr>
            <w:r/>
          </w:p>
        </w:tc>
      </w:tr>
      <w:tr>
        <w:trPr>
          <w:trHeight w:val="268" w:hRule="atLeast"/>
        </w:trPr>
        <w:tc>
          <w:tcPr>
            <w:tcW w:w="893" w:type="dxa"/>
            <w:vAlign w:val="top"/>
            <w:tcBorders>
              <w:bottom w:val="single" w:color="000000" w:sz="10" w:space="0"/>
              <w:left w:val="nil"/>
            </w:tcBorders>
          </w:tcPr>
          <w:p>
            <w:pPr>
              <w:ind w:left="209"/>
              <w:spacing w:before="71" w:line="18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PM</w:t>
            </w:r>
            <w:r>
              <w:rPr>
                <w:rFonts w:ascii="Times New Roman" w:hAnsi="Times New Roman" w:eastAsia="Times New Roman" w:cs="Times New Roman"/>
                <w:sz w:val="13"/>
                <w:szCs w:val="13"/>
                <w:spacing w:val="3"/>
                <w:position w:val="-1"/>
              </w:rPr>
              <w:t>2.5</w:t>
            </w:r>
          </w:p>
        </w:tc>
        <w:tc>
          <w:tcPr>
            <w:tcW w:w="948" w:type="dxa"/>
            <w:vAlign w:val="top"/>
            <w:tcBorders>
              <w:right w:val="single" w:color="000000" w:sz="4" w:space="0"/>
              <w:bottom w:val="single" w:color="000000" w:sz="10" w:space="0"/>
            </w:tcBorders>
          </w:tcPr>
          <w:p>
            <w:pPr>
              <w:ind w:left="222"/>
              <w:spacing w:before="13"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µg/m</w:t>
            </w:r>
            <w:r>
              <w:rPr>
                <w:rFonts w:ascii="Times New Roman" w:hAnsi="Times New Roman" w:eastAsia="Times New Roman" w:cs="Times New Roman"/>
                <w:sz w:val="13"/>
                <w:szCs w:val="13"/>
                <w:spacing w:val="-3"/>
                <w:position w:val="9"/>
              </w:rPr>
              <w:t>3</w:t>
            </w:r>
          </w:p>
        </w:tc>
        <w:tc>
          <w:tcPr>
            <w:tcW w:w="1289" w:type="dxa"/>
            <w:vAlign w:val="top"/>
            <w:tcBorders>
              <w:left w:val="single" w:color="000000" w:sz="4" w:space="0"/>
              <w:right w:val="single" w:color="000000" w:sz="4" w:space="0"/>
              <w:bottom w:val="single" w:color="000000" w:sz="10" w:space="0"/>
            </w:tcBorders>
          </w:tcPr>
          <w:p>
            <w:pPr>
              <w:ind w:left="539"/>
              <w:spacing w:before="6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w:t>
            </w:r>
          </w:p>
        </w:tc>
        <w:tc>
          <w:tcPr>
            <w:tcW w:w="1291" w:type="dxa"/>
            <w:vAlign w:val="top"/>
            <w:tcBorders>
              <w:left w:val="single" w:color="000000" w:sz="4" w:space="0"/>
              <w:right w:val="single" w:color="000000" w:sz="4" w:space="0"/>
              <w:bottom w:val="single" w:color="000000" w:sz="10" w:space="0"/>
            </w:tcBorders>
          </w:tcPr>
          <w:p>
            <w:pPr>
              <w:ind w:left="540"/>
              <w:spacing w:before="6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w:t>
            </w:r>
          </w:p>
        </w:tc>
        <w:tc>
          <w:tcPr>
            <w:tcW w:w="1289" w:type="dxa"/>
            <w:vAlign w:val="top"/>
            <w:tcBorders>
              <w:left w:val="single" w:color="000000" w:sz="4" w:space="0"/>
              <w:bottom w:val="single" w:color="000000" w:sz="10" w:space="0"/>
            </w:tcBorders>
          </w:tcPr>
          <w:p>
            <w:pPr>
              <w:ind w:left="529"/>
              <w:spacing w:before="15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92" w:type="dxa"/>
            <w:vAlign w:val="top"/>
            <w:tcBorders>
              <w:right w:val="single" w:color="000000" w:sz="4" w:space="0"/>
              <w:bottom w:val="single" w:color="000000" w:sz="10" w:space="0"/>
            </w:tcBorders>
          </w:tcPr>
          <w:p>
            <w:pPr>
              <w:ind w:left="534"/>
              <w:spacing w:before="15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755" w:type="dxa"/>
            <w:vAlign w:val="top"/>
            <w:vMerge w:val="continue"/>
            <w:tcBorders>
              <w:left w:val="single" w:color="000000" w:sz="4" w:space="0"/>
              <w:bottom w:val="single" w:color="000000" w:sz="10" w:space="0"/>
              <w:right w:val="nil"/>
              <w:top w:val="nil"/>
            </w:tcBorders>
          </w:tcPr>
          <w:p>
            <w:pPr>
              <w:rPr>
                <w:rFonts w:ascii="Arial"/>
                <w:sz w:val="21"/>
              </w:rPr>
            </w:pPr>
            <w:r/>
          </w:p>
        </w:tc>
      </w:tr>
    </w:tbl>
    <w:p>
      <w:pPr>
        <w:ind w:left="139" w:right="34" w:firstLine="458"/>
        <w:spacing w:before="34" w:line="359" w:lineRule="auto"/>
        <w:rPr>
          <w:rFonts w:ascii="SimSun" w:hAnsi="SimSun" w:eastAsia="SimSun" w:cs="SimSun"/>
          <w:sz w:val="24"/>
          <w:szCs w:val="24"/>
        </w:rPr>
      </w:pPr>
      <w:r>
        <w:rPr>
          <w:rFonts w:ascii="SimSun" w:hAnsi="SimSun" w:eastAsia="SimSun" w:cs="SimSun"/>
          <w:sz w:val="24"/>
          <w:szCs w:val="24"/>
          <w:spacing w:val="-3"/>
        </w:rPr>
        <w:t>其他污染物环境质量标准执行</w:t>
      </w:r>
      <w:r>
        <w:rPr>
          <w:rFonts w:ascii="Times New Roman" w:hAnsi="Times New Roman" w:eastAsia="Times New Roman" w:cs="Times New Roman"/>
          <w:sz w:val="24"/>
          <w:szCs w:val="24"/>
          <w:spacing w:val="-3"/>
        </w:rPr>
        <w:t>HJ2.2—2018</w:t>
      </w:r>
      <w:r>
        <w:rPr>
          <w:rFonts w:ascii="SimSun" w:hAnsi="SimSun" w:eastAsia="SimSun" w:cs="SimSun"/>
          <w:sz w:val="24"/>
          <w:szCs w:val="24"/>
          <w:spacing w:val="-3"/>
        </w:rPr>
        <w:t>《环境影响评价导则</w:t>
      </w:r>
      <w:r>
        <w:rPr>
          <w:rFonts w:ascii="SimSun" w:hAnsi="SimSun" w:eastAsia="SimSun" w:cs="SimSun"/>
          <w:sz w:val="24"/>
          <w:szCs w:val="24"/>
          <w:spacing w:val="-4"/>
        </w:rPr>
        <w:t>（大气环境）》</w:t>
      </w:r>
      <w:r>
        <w:rPr>
          <w:rFonts w:ascii="SimSun" w:hAnsi="SimSun" w:eastAsia="SimSun" w:cs="SimSun"/>
          <w:sz w:val="24"/>
          <w:szCs w:val="24"/>
          <w:spacing w:val="-2"/>
        </w:rPr>
        <w:t>中附录</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2"/>
        </w:rPr>
        <w:t>D </w:t>
      </w:r>
      <w:r>
        <w:rPr>
          <w:rFonts w:ascii="SimSun" w:hAnsi="SimSun" w:eastAsia="SimSun" w:cs="SimSun"/>
          <w:sz w:val="24"/>
          <w:szCs w:val="24"/>
          <w:spacing w:val="-2"/>
        </w:rPr>
        <w:t>其他污染物空气质量浓度参考限值，详见表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2-5</w:t>
      </w:r>
      <w:r>
        <w:rPr>
          <w:rFonts w:ascii="SimSun" w:hAnsi="SimSun" w:eastAsia="SimSun" w:cs="SimSun"/>
          <w:sz w:val="24"/>
          <w:szCs w:val="24"/>
          <w:spacing w:val="-2"/>
        </w:rPr>
        <w:t>。</w:t>
      </w:r>
    </w:p>
    <w:p>
      <w:pPr>
        <w:ind w:left="901"/>
        <w:spacing w:line="217" w:lineRule="auto"/>
        <w:rPr>
          <w:rFonts w:ascii="Times New Roman" w:hAnsi="Times New Roman" w:eastAsia="Times New Roman" w:cs="Times New Roman"/>
          <w:sz w:val="13"/>
          <w:szCs w:val="13"/>
        </w:rPr>
      </w:pPr>
      <w:r>
        <w:rPr>
          <w:rFonts w:ascii="SimSun" w:hAnsi="SimSun" w:eastAsia="SimSun" w:cs="SimSun"/>
          <w:sz w:val="24"/>
          <w:szCs w:val="24"/>
          <w:b/>
          <w:bCs/>
          <w:spacing w:val="-1"/>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1"/>
        </w:rPr>
        <w:t>2-5    </w:t>
      </w:r>
      <w:r>
        <w:rPr>
          <w:rFonts w:ascii="SimSun" w:hAnsi="SimSun" w:eastAsia="SimSun" w:cs="SimSun"/>
          <w:sz w:val="24"/>
          <w:szCs w:val="24"/>
          <w:b/>
          <w:bCs/>
          <w:spacing w:val="-1"/>
        </w:rPr>
        <w:t>附录</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1"/>
        </w:rPr>
        <w:t>D </w:t>
      </w:r>
      <w:r>
        <w:rPr>
          <w:rFonts w:ascii="SimSun" w:hAnsi="SimSun" w:eastAsia="SimSun" w:cs="SimSun"/>
          <w:sz w:val="24"/>
          <w:szCs w:val="24"/>
          <w:b/>
          <w:bCs/>
          <w:spacing w:val="-1"/>
        </w:rPr>
        <w:t>其他污染物空气质量浓度参考限值</w:t>
      </w:r>
      <w:r>
        <w:rPr>
          <w:rFonts w:ascii="SimSun" w:hAnsi="SimSun" w:eastAsia="SimSun" w:cs="SimSun"/>
          <w:sz w:val="24"/>
          <w:szCs w:val="24"/>
          <w:spacing w:val="-1"/>
        </w:rPr>
        <w:t xml:space="preserve">           </w:t>
      </w:r>
      <w:r>
        <w:rPr>
          <w:rFonts w:ascii="SimSun" w:hAnsi="SimSun" w:eastAsia="SimSun" w:cs="SimSun"/>
          <w:sz w:val="21"/>
          <w:szCs w:val="21"/>
          <w:spacing w:val="-1"/>
        </w:rPr>
        <w:t>单位：</w:t>
      </w:r>
      <w:r>
        <w:rPr>
          <w:rFonts w:ascii="Times New Roman" w:hAnsi="Times New Roman" w:eastAsia="Times New Roman" w:cs="Times New Roman"/>
          <w:sz w:val="21"/>
          <w:szCs w:val="21"/>
          <w:spacing w:val="-1"/>
        </w:rPr>
        <w:t>μg/m</w:t>
      </w:r>
      <w:r>
        <w:rPr>
          <w:rFonts w:ascii="Times New Roman" w:hAnsi="Times New Roman" w:eastAsia="Times New Roman" w:cs="Times New Roman"/>
          <w:sz w:val="13"/>
          <w:szCs w:val="13"/>
          <w:spacing w:val="-1"/>
          <w:position w:val="9"/>
        </w:rPr>
        <w:t>3</w:t>
      </w:r>
    </w:p>
    <w:p>
      <w:pPr>
        <w:spacing w:line="151" w:lineRule="exact"/>
        <w:rPr/>
      </w:pPr>
      <w:r/>
    </w:p>
    <w:tbl>
      <w:tblPr>
        <w:tblStyle w:val="TableNormal"/>
        <w:tblW w:w="872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8"/>
        <w:gridCol w:w="1844"/>
        <w:gridCol w:w="1844"/>
        <w:gridCol w:w="3757"/>
      </w:tblGrid>
      <w:tr>
        <w:trPr>
          <w:trHeight w:val="273" w:hRule="atLeast"/>
        </w:trPr>
        <w:tc>
          <w:tcPr>
            <w:tcW w:w="1278" w:type="dxa"/>
            <w:vAlign w:val="top"/>
            <w:tcBorders>
              <w:top w:val="single" w:color="000000" w:sz="10" w:space="0"/>
              <w:left w:val="nil"/>
            </w:tcBorders>
          </w:tcPr>
          <w:p>
            <w:pPr>
              <w:pStyle w:val="TableText"/>
              <w:ind w:left="434"/>
              <w:spacing w:before="33" w:line="202" w:lineRule="auto"/>
              <w:rPr/>
            </w:pPr>
            <w:r>
              <w:rPr>
                <w:b/>
                <w:bCs/>
                <w:spacing w:val="-4"/>
              </w:rPr>
              <w:t>序号</w:t>
            </w:r>
          </w:p>
        </w:tc>
        <w:tc>
          <w:tcPr>
            <w:tcW w:w="1844" w:type="dxa"/>
            <w:vAlign w:val="top"/>
            <w:tcBorders>
              <w:top w:val="single" w:color="000000" w:sz="10" w:space="0"/>
            </w:tcBorders>
          </w:tcPr>
          <w:p>
            <w:pPr>
              <w:pStyle w:val="TableText"/>
              <w:ind w:left="402"/>
              <w:spacing w:before="33" w:line="202" w:lineRule="auto"/>
              <w:rPr/>
            </w:pPr>
            <w:r>
              <w:rPr>
                <w:b/>
                <w:bCs/>
                <w:spacing w:val="-3"/>
              </w:rPr>
              <w:t>污染物名称</w:t>
            </w:r>
          </w:p>
        </w:tc>
        <w:tc>
          <w:tcPr>
            <w:tcW w:w="1844" w:type="dxa"/>
            <w:vAlign w:val="top"/>
            <w:tcBorders>
              <w:top w:val="single" w:color="000000" w:sz="10" w:space="0"/>
            </w:tcBorders>
          </w:tcPr>
          <w:p>
            <w:pPr>
              <w:pStyle w:val="TableText"/>
              <w:ind w:left="585"/>
              <w:spacing w:before="33" w:line="202" w:lineRule="auto"/>
              <w:rPr/>
            </w:pPr>
            <w:r>
              <w:rPr>
                <w:rFonts w:ascii="Times New Roman" w:hAnsi="Times New Roman" w:eastAsia="Times New Roman" w:cs="Times New Roman"/>
                <w:b/>
                <w:bCs/>
                <w:spacing w:val="-5"/>
              </w:rPr>
              <w:t>1h</w:t>
            </w:r>
            <w:r>
              <w:rPr>
                <w:rFonts w:ascii="Times New Roman" w:hAnsi="Times New Roman" w:eastAsia="Times New Roman" w:cs="Times New Roman"/>
                <w:b/>
                <w:bCs/>
                <w:spacing w:val="5"/>
              </w:rPr>
              <w:t xml:space="preserve"> </w:t>
            </w:r>
            <w:r>
              <w:rPr>
                <w:b/>
                <w:bCs/>
                <w:spacing w:val="-5"/>
              </w:rPr>
              <w:t>平均</w:t>
            </w:r>
          </w:p>
        </w:tc>
        <w:tc>
          <w:tcPr>
            <w:tcW w:w="3757" w:type="dxa"/>
            <w:vAlign w:val="top"/>
            <w:tcBorders>
              <w:top w:val="single" w:color="000000" w:sz="10" w:space="0"/>
              <w:right w:val="nil"/>
            </w:tcBorders>
          </w:tcPr>
          <w:p>
            <w:pPr>
              <w:pStyle w:val="TableText"/>
              <w:ind w:left="1461"/>
              <w:spacing w:before="33" w:line="202" w:lineRule="auto"/>
              <w:rPr/>
            </w:pPr>
            <w:r>
              <w:rPr>
                <w:b/>
                <w:bCs/>
                <w:spacing w:val="-4"/>
              </w:rPr>
              <w:t>执行标准</w:t>
            </w:r>
          </w:p>
        </w:tc>
      </w:tr>
      <w:tr>
        <w:trPr>
          <w:trHeight w:val="238" w:hRule="atLeast"/>
        </w:trPr>
        <w:tc>
          <w:tcPr>
            <w:tcW w:w="1278" w:type="dxa"/>
            <w:vAlign w:val="top"/>
            <w:tcBorders>
              <w:left w:val="nil"/>
            </w:tcBorders>
          </w:tcPr>
          <w:p>
            <w:pPr>
              <w:ind w:left="610"/>
              <w:spacing w:before="51" w:line="17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4" w:type="dxa"/>
            <w:vAlign w:val="top"/>
          </w:tcPr>
          <w:p>
            <w:pPr>
              <w:ind w:left="728"/>
              <w:spacing w:before="59" w:line="16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844" w:type="dxa"/>
            <w:vAlign w:val="top"/>
          </w:tcPr>
          <w:p>
            <w:pPr>
              <w:ind w:left="768"/>
              <w:spacing w:before="51" w:line="17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3757" w:type="dxa"/>
            <w:vAlign w:val="top"/>
            <w:vMerge w:val="restart"/>
            <w:tcBorders>
              <w:bottom w:val="nil"/>
              <w:right w:val="nil"/>
            </w:tcBorders>
          </w:tcPr>
          <w:p>
            <w:pPr>
              <w:pStyle w:val="TableText"/>
              <w:ind w:left="160"/>
              <w:spacing w:before="38" w:line="233" w:lineRule="auto"/>
              <w:rPr/>
            </w:pPr>
            <w:r>
              <w:rPr>
                <w:rFonts w:ascii="Times New Roman" w:hAnsi="Times New Roman" w:eastAsia="Times New Roman" w:cs="Times New Roman"/>
                <w:spacing w:val="-1"/>
              </w:rPr>
              <w:t>HJ2.2—2018</w:t>
            </w:r>
            <w:r>
              <w:rPr>
                <w:spacing w:val="-1"/>
              </w:rPr>
              <w:t>《环境影响评价导则（大</w:t>
            </w:r>
          </w:p>
          <w:p>
            <w:pPr>
              <w:pStyle w:val="TableText"/>
              <w:ind w:left="1358"/>
              <w:spacing w:before="6" w:line="208" w:lineRule="auto"/>
              <w:rPr/>
            </w:pPr>
            <w:r>
              <w:rPr>
                <w:spacing w:val="-2"/>
              </w:rPr>
              <w:t>气环境）》</w:t>
            </w:r>
          </w:p>
        </w:tc>
      </w:tr>
      <w:tr>
        <w:trPr>
          <w:trHeight w:val="314" w:hRule="atLeast"/>
        </w:trPr>
        <w:tc>
          <w:tcPr>
            <w:tcW w:w="1278" w:type="dxa"/>
            <w:vAlign w:val="top"/>
            <w:tcBorders>
              <w:bottom w:val="single" w:color="000000" w:sz="10" w:space="0"/>
              <w:left w:val="nil"/>
            </w:tcBorders>
          </w:tcPr>
          <w:p>
            <w:pPr>
              <w:ind w:left="589"/>
              <w:spacing w:before="85"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4" w:type="dxa"/>
            <w:vAlign w:val="top"/>
            <w:tcBorders>
              <w:bottom w:val="single" w:color="000000" w:sz="10" w:space="0"/>
            </w:tcBorders>
          </w:tcPr>
          <w:p>
            <w:pPr>
              <w:ind w:left="754"/>
              <w:spacing w:before="89"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844" w:type="dxa"/>
            <w:vAlign w:val="top"/>
            <w:tcBorders>
              <w:bottom w:val="single" w:color="000000" w:sz="10" w:space="0"/>
            </w:tcBorders>
          </w:tcPr>
          <w:p>
            <w:pPr>
              <w:ind w:left="839"/>
              <w:spacing w:before="85"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757" w:type="dxa"/>
            <w:vAlign w:val="top"/>
            <w:vMerge w:val="continue"/>
            <w:tcBorders>
              <w:bottom w:val="single" w:color="000000" w:sz="10" w:space="0"/>
              <w:right w:val="nil"/>
              <w:top w:val="nil"/>
            </w:tcBorders>
          </w:tcPr>
          <w:p>
            <w:pPr>
              <w:rPr>
                <w:rFonts w:ascii="Arial"/>
                <w:sz w:val="21"/>
              </w:rPr>
            </w:pPr>
            <w:r/>
          </w:p>
        </w:tc>
      </w:tr>
    </w:tbl>
    <w:p>
      <w:pPr>
        <w:ind w:left="606"/>
        <w:spacing w:before="3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）声环境</w:t>
      </w:r>
    </w:p>
    <w:p>
      <w:pPr>
        <w:ind w:left="116" w:right="142" w:firstLine="484"/>
        <w:spacing w:before="164" w:line="359" w:lineRule="auto"/>
        <w:rPr>
          <w:rFonts w:ascii="SimSun" w:hAnsi="SimSun" w:eastAsia="SimSun" w:cs="SimSun"/>
          <w:sz w:val="24"/>
          <w:szCs w:val="24"/>
        </w:rPr>
      </w:pPr>
      <w:r>
        <w:rPr>
          <w:rFonts w:ascii="SimSun" w:hAnsi="SimSun" w:eastAsia="SimSun" w:cs="SimSun"/>
          <w:sz w:val="24"/>
          <w:szCs w:val="24"/>
          <w:spacing w:val="2"/>
        </w:rPr>
        <w:t>项目位于锡林郭勒盟锡林浩特市额尔顿街道办事处新兴社区沃源奶牛场，属</w:t>
      </w:r>
      <w:r>
        <w:rPr>
          <w:rFonts w:ascii="SimSun" w:hAnsi="SimSun" w:eastAsia="SimSun" w:cs="SimSun"/>
          <w:sz w:val="24"/>
          <w:szCs w:val="24"/>
        </w:rPr>
        <w:t>于声环境功能 </w:t>
      </w:r>
      <w:r>
        <w:rPr>
          <w:rFonts w:ascii="Times New Roman" w:hAnsi="Times New Roman" w:eastAsia="Times New Roman" w:cs="Times New Roman"/>
          <w:sz w:val="24"/>
          <w:szCs w:val="24"/>
        </w:rPr>
        <w:t>1  </w:t>
      </w:r>
      <w:r>
        <w:rPr>
          <w:rFonts w:ascii="SimSun" w:hAnsi="SimSun" w:eastAsia="SimSun" w:cs="SimSun"/>
          <w:sz w:val="24"/>
          <w:szCs w:val="24"/>
        </w:rPr>
        <w:t>类区，本项目西侧约 </w:t>
      </w:r>
      <w:r>
        <w:rPr>
          <w:rFonts w:ascii="Times New Roman" w:hAnsi="Times New Roman" w:eastAsia="Times New Roman" w:cs="Times New Roman"/>
          <w:sz w:val="24"/>
          <w:szCs w:val="24"/>
        </w:rPr>
        <w:t>40m</w:t>
      </w:r>
      <w:r>
        <w:rPr>
          <w:rFonts w:ascii="Times New Roman" w:hAnsi="Times New Roman" w:eastAsia="Times New Roman" w:cs="Times New Roman"/>
          <w:sz w:val="24"/>
          <w:szCs w:val="24"/>
          <w:spacing w:val="13"/>
        </w:rPr>
        <w:t xml:space="preserve">  </w:t>
      </w:r>
      <w:r>
        <w:rPr>
          <w:rFonts w:ascii="SimSun" w:hAnsi="SimSun" w:eastAsia="SimSun" w:cs="SimSun"/>
          <w:sz w:val="24"/>
          <w:szCs w:val="24"/>
        </w:rPr>
        <w:t>为乌海线公路，属于二级公路，根据</w:t>
      </w:r>
      <w:r>
        <w:rPr>
          <w:rFonts w:ascii="Times New Roman" w:hAnsi="Times New Roman" w:eastAsia="Times New Roman" w:cs="Times New Roman"/>
          <w:sz w:val="24"/>
          <w:szCs w:val="24"/>
          <w:spacing w:val="-1"/>
        </w:rPr>
        <w:t>GB15190-2014</w:t>
      </w:r>
      <w:r>
        <w:rPr>
          <w:rFonts w:ascii="SimSun" w:hAnsi="SimSun" w:eastAsia="SimSun" w:cs="SimSun"/>
          <w:sz w:val="24"/>
          <w:szCs w:val="24"/>
          <w:spacing w:val="-1"/>
        </w:rPr>
        <w:t>《城市区域环境噪声适用区划分技术规范》中</w:t>
      </w:r>
      <w:r>
        <w:rPr>
          <w:rFonts w:ascii="SimSun" w:hAnsi="SimSun" w:eastAsia="SimSun" w:cs="SimSun"/>
          <w:sz w:val="24"/>
          <w:szCs w:val="24"/>
          <w:spacing w:val="-30"/>
        </w:rPr>
        <w:t xml:space="preserve"> </w:t>
      </w:r>
      <w:hyperlink w:history="true" r:id="rId47">
        <w:r>
          <w:rPr>
            <w:rFonts w:ascii="Times New Roman" w:hAnsi="Times New Roman" w:eastAsia="Times New Roman" w:cs="Times New Roman"/>
            <w:sz w:val="24"/>
            <w:szCs w:val="24"/>
            <w:spacing w:val="-1"/>
          </w:rPr>
          <w:t>8.3.1.1</w:t>
        </w:r>
      </w:hyperlink>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相关内容，将</w:t>
      </w:r>
      <w:r>
        <w:rPr>
          <w:rFonts w:ascii="SimSun" w:hAnsi="SimSun" w:eastAsia="SimSun" w:cs="SimSun"/>
          <w:sz w:val="24"/>
          <w:szCs w:val="24"/>
          <w:spacing w:val="-1"/>
        </w:rPr>
        <w:t>交通干线边界线外一定距离内的区域划分为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4a </w:t>
      </w:r>
      <w:r>
        <w:rPr>
          <w:rFonts w:ascii="SimSun" w:hAnsi="SimSun" w:eastAsia="SimSun" w:cs="SimSun"/>
          <w:sz w:val="24"/>
          <w:szCs w:val="24"/>
          <w:spacing w:val="-1"/>
        </w:rPr>
        <w:t>类声环境功能区，相</w:t>
      </w:r>
      <w:r>
        <w:rPr>
          <w:rFonts w:ascii="SimSun" w:hAnsi="SimSun" w:eastAsia="SimSun" w:cs="SimSun"/>
          <w:sz w:val="24"/>
          <w:szCs w:val="24"/>
          <w:spacing w:val="-2"/>
        </w:rPr>
        <w:t>邻区域为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类</w:t>
      </w:r>
      <w:r>
        <w:rPr>
          <w:rFonts w:ascii="SimSun" w:hAnsi="SimSun" w:eastAsia="SimSun" w:cs="SimSun"/>
          <w:sz w:val="24"/>
          <w:szCs w:val="24"/>
          <w:spacing w:val="-2"/>
        </w:rPr>
        <w:t>声环境功能区，距离为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50m±5m</w:t>
      </w:r>
      <w:r>
        <w:rPr>
          <w:rFonts w:ascii="Times New Roman" w:hAnsi="Times New Roman" w:eastAsia="Times New Roman" w:cs="Times New Roman"/>
          <w:sz w:val="24"/>
          <w:szCs w:val="24"/>
          <w:spacing w:val="27"/>
          <w:w w:val="101"/>
        </w:rPr>
        <w:t xml:space="preserve"> </w:t>
      </w:r>
      <w:r>
        <w:rPr>
          <w:rFonts w:ascii="SimSun" w:hAnsi="SimSun" w:eastAsia="SimSun" w:cs="SimSun"/>
          <w:sz w:val="24"/>
          <w:szCs w:val="24"/>
          <w:spacing w:val="-2"/>
        </w:rPr>
        <w:t>区域执行</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4a </w:t>
      </w:r>
      <w:r>
        <w:rPr>
          <w:rFonts w:ascii="SimSun" w:hAnsi="SimSun" w:eastAsia="SimSun" w:cs="SimSun"/>
          <w:sz w:val="24"/>
          <w:szCs w:val="24"/>
          <w:spacing w:val="-2"/>
        </w:rPr>
        <w:t>类声环境功能区，声环境质量</w:t>
      </w:r>
      <w:r>
        <w:rPr>
          <w:rFonts w:ascii="SimSun" w:hAnsi="SimSun" w:eastAsia="SimSun" w:cs="SimSun"/>
          <w:sz w:val="24"/>
          <w:szCs w:val="24"/>
          <w:spacing w:val="-3"/>
        </w:rPr>
        <w:t>标准详</w:t>
      </w:r>
      <w:r>
        <w:rPr>
          <w:rFonts w:ascii="SimSun" w:hAnsi="SimSun" w:eastAsia="SimSun" w:cs="SimSun"/>
          <w:sz w:val="24"/>
          <w:szCs w:val="24"/>
          <w:spacing w:val="-3"/>
        </w:rPr>
        <w:t>见表</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3"/>
        </w:rPr>
        <w:t>2-6</w:t>
      </w:r>
      <w:r>
        <w:rPr>
          <w:rFonts w:ascii="SimSun" w:hAnsi="SimSun" w:eastAsia="SimSun" w:cs="SimSun"/>
          <w:sz w:val="24"/>
          <w:szCs w:val="24"/>
          <w:spacing w:val="-3"/>
        </w:rPr>
        <w:t>。</w:t>
      </w:r>
    </w:p>
    <w:p>
      <w:pPr>
        <w:ind w:left="3176"/>
        <w:spacing w:line="234" w:lineRule="auto"/>
        <w:rPr>
          <w:rFonts w:ascii="SimSun" w:hAnsi="SimSun" w:eastAsia="SimSun" w:cs="SimSun"/>
          <w:sz w:val="21"/>
          <w:szCs w:val="21"/>
        </w:rPr>
      </w:pPr>
      <w:r>
        <w:rPr>
          <w:rFonts w:ascii="SimSun" w:hAnsi="SimSun" w:eastAsia="SimSun" w:cs="SimSun"/>
          <w:sz w:val="24"/>
          <w:szCs w:val="24"/>
          <w:b/>
          <w:bCs/>
          <w:spacing w:val="-1"/>
        </w:rPr>
        <w:t>表</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1"/>
        </w:rPr>
        <w:t>2-6    </w:t>
      </w:r>
      <w:r>
        <w:rPr>
          <w:rFonts w:ascii="SimSun" w:hAnsi="SimSun" w:eastAsia="SimSun" w:cs="SimSun"/>
          <w:sz w:val="24"/>
          <w:szCs w:val="24"/>
          <w:b/>
          <w:bCs/>
          <w:spacing w:val="-1"/>
        </w:rPr>
        <w:t>声环境质量标准</w:t>
      </w:r>
      <w:r>
        <w:rPr>
          <w:rFonts w:ascii="SimSun" w:hAnsi="SimSun" w:eastAsia="SimSun" w:cs="SimSun"/>
          <w:sz w:val="24"/>
          <w:szCs w:val="24"/>
          <w:spacing w:val="-1"/>
        </w:rPr>
        <w:t xml:space="preserve">            </w:t>
      </w:r>
      <w:r>
        <w:rPr>
          <w:rFonts w:ascii="SimSun" w:hAnsi="SimSun" w:eastAsia="SimSun" w:cs="SimSun"/>
          <w:sz w:val="21"/>
          <w:szCs w:val="21"/>
          <w:spacing w:val="-1"/>
        </w:rPr>
        <w:t>单位：</w:t>
      </w:r>
      <w:r>
        <w:rPr>
          <w:rFonts w:ascii="Times New Roman" w:hAnsi="Times New Roman" w:eastAsia="Times New Roman" w:cs="Times New Roman"/>
          <w:sz w:val="21"/>
          <w:szCs w:val="21"/>
          <w:spacing w:val="-1"/>
        </w:rPr>
        <w:t>dB</w:t>
      </w:r>
      <w:r>
        <w:rPr>
          <w:rFonts w:ascii="SimSun" w:hAnsi="SimSun" w:eastAsia="SimSun" w:cs="SimSun"/>
          <w:sz w:val="21"/>
          <w:szCs w:val="21"/>
          <w:spacing w:val="-1"/>
        </w:rPr>
        <w:t>（</w:t>
      </w:r>
      <w:r>
        <w:rPr>
          <w:rFonts w:ascii="Times New Roman" w:hAnsi="Times New Roman" w:eastAsia="Times New Roman" w:cs="Times New Roman"/>
          <w:sz w:val="21"/>
          <w:szCs w:val="21"/>
          <w:spacing w:val="-1"/>
        </w:rPr>
        <w:t>A</w:t>
      </w:r>
      <w:r>
        <w:rPr>
          <w:rFonts w:ascii="SimSun" w:hAnsi="SimSun" w:eastAsia="SimSun" w:cs="SimSun"/>
          <w:sz w:val="21"/>
          <w:szCs w:val="21"/>
          <w:spacing w:val="-1"/>
        </w:rPr>
        <w:t>）</w:t>
      </w:r>
    </w:p>
    <w:p>
      <w:pPr>
        <w:spacing w:line="128" w:lineRule="exact"/>
        <w:rPr/>
      </w:pPr>
      <w:r/>
    </w:p>
    <w:tbl>
      <w:tblPr>
        <w:tblStyle w:val="TableNormal"/>
        <w:tblW w:w="8569"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4"/>
        <w:gridCol w:w="1134"/>
        <w:gridCol w:w="1187"/>
        <w:gridCol w:w="1192"/>
        <w:gridCol w:w="3962"/>
      </w:tblGrid>
      <w:tr>
        <w:trPr>
          <w:trHeight w:val="275" w:hRule="atLeast"/>
        </w:trPr>
        <w:tc>
          <w:tcPr>
            <w:tcW w:w="1094" w:type="dxa"/>
            <w:vAlign w:val="top"/>
            <w:vMerge w:val="restart"/>
            <w:tcBorders>
              <w:top w:val="single" w:color="000000" w:sz="10" w:space="0"/>
              <w:left w:val="nil"/>
              <w:bottom w:val="nil"/>
            </w:tcBorders>
          </w:tcPr>
          <w:p>
            <w:pPr>
              <w:pStyle w:val="TableText"/>
              <w:ind w:left="148"/>
              <w:spacing w:before="177" w:line="221" w:lineRule="auto"/>
              <w:rPr/>
            </w:pPr>
            <w:r>
              <w:rPr>
                <w:b/>
                <w:bCs/>
                <w:spacing w:val="-6"/>
              </w:rPr>
              <w:t>区域名称</w:t>
            </w:r>
          </w:p>
        </w:tc>
        <w:tc>
          <w:tcPr>
            <w:tcW w:w="1134" w:type="dxa"/>
            <w:vAlign w:val="top"/>
            <w:vMerge w:val="restart"/>
            <w:tcBorders>
              <w:top w:val="single" w:color="000000" w:sz="10" w:space="0"/>
              <w:bottom w:val="nil"/>
            </w:tcBorders>
          </w:tcPr>
          <w:p>
            <w:pPr>
              <w:pStyle w:val="TableText"/>
              <w:ind w:left="149"/>
              <w:spacing w:before="177" w:line="220" w:lineRule="auto"/>
              <w:rPr/>
            </w:pPr>
            <w:r>
              <w:rPr>
                <w:b/>
                <w:bCs/>
                <w:spacing w:val="-3"/>
              </w:rPr>
              <w:t>采用级别</w:t>
            </w:r>
          </w:p>
        </w:tc>
        <w:tc>
          <w:tcPr>
            <w:tcW w:w="2379" w:type="dxa"/>
            <w:vAlign w:val="top"/>
            <w:gridSpan w:val="2"/>
            <w:tcBorders>
              <w:top w:val="single" w:color="000000" w:sz="10" w:space="0"/>
            </w:tcBorders>
          </w:tcPr>
          <w:p>
            <w:pPr>
              <w:pStyle w:val="TableText"/>
              <w:ind w:left="877"/>
              <w:spacing w:before="36" w:line="201" w:lineRule="auto"/>
              <w:rPr/>
            </w:pPr>
            <w:r>
              <w:rPr>
                <w:b/>
                <w:bCs/>
                <w:spacing w:val="-4"/>
              </w:rPr>
              <w:t>标准值</w:t>
            </w:r>
          </w:p>
        </w:tc>
        <w:tc>
          <w:tcPr>
            <w:tcW w:w="3962" w:type="dxa"/>
            <w:vAlign w:val="top"/>
            <w:vMerge w:val="restart"/>
            <w:tcBorders>
              <w:top w:val="single" w:color="000000" w:sz="10" w:space="0"/>
              <w:right w:val="nil"/>
              <w:bottom w:val="nil"/>
            </w:tcBorders>
          </w:tcPr>
          <w:p>
            <w:pPr>
              <w:pStyle w:val="TableText"/>
              <w:ind w:left="1565"/>
              <w:spacing w:before="177" w:line="221" w:lineRule="auto"/>
              <w:rPr/>
            </w:pPr>
            <w:r>
              <w:rPr>
                <w:b/>
                <w:bCs/>
                <w:spacing w:val="-4"/>
              </w:rPr>
              <w:t>执行标准</w:t>
            </w:r>
          </w:p>
        </w:tc>
      </w:tr>
      <w:tr>
        <w:trPr>
          <w:trHeight w:val="272" w:hRule="atLeast"/>
        </w:trPr>
        <w:tc>
          <w:tcPr>
            <w:tcW w:w="1094" w:type="dxa"/>
            <w:vAlign w:val="top"/>
            <w:vMerge w:val="continue"/>
            <w:tcBorders>
              <w:top w:val="nil"/>
              <w:left w:val="nil"/>
            </w:tcBorders>
          </w:tcPr>
          <w:p>
            <w:pPr>
              <w:rPr>
                <w:rFonts w:ascii="Arial"/>
                <w:sz w:val="21"/>
              </w:rPr>
            </w:pPr>
            <w:r/>
          </w:p>
        </w:tc>
        <w:tc>
          <w:tcPr>
            <w:tcW w:w="1134" w:type="dxa"/>
            <w:vAlign w:val="top"/>
            <w:vMerge w:val="continue"/>
            <w:tcBorders>
              <w:top w:val="nil"/>
            </w:tcBorders>
          </w:tcPr>
          <w:p>
            <w:pPr>
              <w:rPr>
                <w:rFonts w:ascii="Arial"/>
                <w:sz w:val="21"/>
              </w:rPr>
            </w:pPr>
            <w:r/>
          </w:p>
        </w:tc>
        <w:tc>
          <w:tcPr>
            <w:tcW w:w="1187" w:type="dxa"/>
            <w:vAlign w:val="top"/>
          </w:tcPr>
          <w:p>
            <w:pPr>
              <w:pStyle w:val="TableText"/>
              <w:ind w:left="386"/>
              <w:spacing w:before="39" w:line="196" w:lineRule="auto"/>
              <w:rPr/>
            </w:pPr>
            <w:r>
              <w:rPr>
                <w:b/>
                <w:bCs/>
                <w:spacing w:val="-4"/>
              </w:rPr>
              <w:t>昼间</w:t>
            </w:r>
          </w:p>
        </w:tc>
        <w:tc>
          <w:tcPr>
            <w:tcW w:w="1192" w:type="dxa"/>
            <w:vAlign w:val="top"/>
          </w:tcPr>
          <w:p>
            <w:pPr>
              <w:pStyle w:val="TableText"/>
              <w:ind w:left="393"/>
              <w:spacing w:before="39" w:line="196" w:lineRule="auto"/>
              <w:rPr/>
            </w:pPr>
            <w:r>
              <w:rPr>
                <w:b/>
                <w:bCs/>
                <w:spacing w:val="-5"/>
              </w:rPr>
              <w:t>夜间</w:t>
            </w:r>
          </w:p>
        </w:tc>
        <w:tc>
          <w:tcPr>
            <w:tcW w:w="3962" w:type="dxa"/>
            <w:vAlign w:val="top"/>
            <w:vMerge w:val="continue"/>
            <w:tcBorders>
              <w:top w:val="nil"/>
              <w:right w:val="nil"/>
            </w:tcBorders>
          </w:tcPr>
          <w:p>
            <w:pPr>
              <w:rPr>
                <w:rFonts w:ascii="Arial"/>
                <w:sz w:val="21"/>
              </w:rPr>
            </w:pPr>
            <w:r/>
          </w:p>
        </w:tc>
      </w:tr>
      <w:tr>
        <w:trPr>
          <w:trHeight w:val="273" w:hRule="atLeast"/>
        </w:trPr>
        <w:tc>
          <w:tcPr>
            <w:tcW w:w="1094" w:type="dxa"/>
            <w:vAlign w:val="top"/>
            <w:vMerge w:val="restart"/>
            <w:tcBorders>
              <w:bottom w:val="nil"/>
              <w:left w:val="nil"/>
            </w:tcBorders>
          </w:tcPr>
          <w:p>
            <w:pPr>
              <w:pStyle w:val="TableText"/>
              <w:ind w:left="135"/>
              <w:spacing w:before="185" w:line="220" w:lineRule="auto"/>
              <w:rPr/>
            </w:pPr>
            <w:r>
              <w:rPr>
                <w:spacing w:val="-2"/>
              </w:rPr>
              <w:t>农村环境</w:t>
            </w:r>
          </w:p>
        </w:tc>
        <w:tc>
          <w:tcPr>
            <w:tcW w:w="1134" w:type="dxa"/>
            <w:vAlign w:val="top"/>
          </w:tcPr>
          <w:p>
            <w:pPr>
              <w:pStyle w:val="TableText"/>
              <w:ind w:left="298"/>
              <w:spacing w:before="43" w:line="193" w:lineRule="auto"/>
              <w:rPr/>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类区</w:t>
            </w:r>
          </w:p>
        </w:tc>
        <w:tc>
          <w:tcPr>
            <w:tcW w:w="1187" w:type="dxa"/>
            <w:vAlign w:val="top"/>
          </w:tcPr>
          <w:p>
            <w:pPr>
              <w:ind w:left="494"/>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192" w:type="dxa"/>
            <w:vAlign w:val="top"/>
          </w:tcPr>
          <w:p>
            <w:pPr>
              <w:ind w:left="491"/>
              <w:spacing w:before="7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3962" w:type="dxa"/>
            <w:vAlign w:val="top"/>
            <w:vMerge w:val="restart"/>
            <w:tcBorders>
              <w:bottom w:val="nil"/>
              <w:right w:val="nil"/>
            </w:tcBorders>
          </w:tcPr>
          <w:p>
            <w:pPr>
              <w:pStyle w:val="TableText"/>
              <w:ind w:left="441"/>
              <w:spacing w:before="185" w:line="235" w:lineRule="auto"/>
              <w:rPr/>
            </w:pPr>
            <w:r>
              <w:rPr>
                <w:rFonts w:ascii="Times New Roman" w:hAnsi="Times New Roman" w:eastAsia="Times New Roman" w:cs="Times New Roman"/>
                <w:spacing w:val="-1"/>
              </w:rPr>
              <w:t>GB3096-2008</w:t>
            </w:r>
            <w:r>
              <w:rPr>
                <w:spacing w:val="-1"/>
              </w:rPr>
              <w:t>《声环境质量标准》</w:t>
            </w:r>
          </w:p>
        </w:tc>
      </w:tr>
      <w:tr>
        <w:trPr>
          <w:trHeight w:val="296" w:hRule="atLeast"/>
        </w:trPr>
        <w:tc>
          <w:tcPr>
            <w:tcW w:w="1094" w:type="dxa"/>
            <w:vAlign w:val="top"/>
            <w:vMerge w:val="continue"/>
            <w:tcBorders>
              <w:bottom w:val="single" w:color="000000" w:sz="10" w:space="0"/>
              <w:left w:val="nil"/>
              <w:top w:val="nil"/>
            </w:tcBorders>
          </w:tcPr>
          <w:p>
            <w:pPr>
              <w:rPr>
                <w:rFonts w:ascii="Arial"/>
                <w:sz w:val="21"/>
              </w:rPr>
            </w:pPr>
            <w:r/>
          </w:p>
        </w:tc>
        <w:tc>
          <w:tcPr>
            <w:tcW w:w="1134" w:type="dxa"/>
            <w:vAlign w:val="top"/>
            <w:tcBorders>
              <w:bottom w:val="single" w:color="000000" w:sz="10" w:space="0"/>
            </w:tcBorders>
          </w:tcPr>
          <w:p>
            <w:pPr>
              <w:pStyle w:val="TableText"/>
              <w:ind w:left="231"/>
              <w:spacing w:before="48" w:line="209" w:lineRule="auto"/>
              <w:rPr/>
            </w:pPr>
            <w:r>
              <w:rPr>
                <w:rFonts w:ascii="Times New Roman" w:hAnsi="Times New Roman" w:eastAsia="Times New Roman" w:cs="Times New Roman"/>
                <w:spacing w:val="-2"/>
              </w:rPr>
              <w:t>4a</w:t>
            </w:r>
            <w:r>
              <w:rPr>
                <w:rFonts w:ascii="Times New Roman" w:hAnsi="Times New Roman" w:eastAsia="Times New Roman" w:cs="Times New Roman"/>
                <w:spacing w:val="9"/>
              </w:rPr>
              <w:t xml:space="preserve"> </w:t>
            </w:r>
            <w:r>
              <w:rPr>
                <w:spacing w:val="-2"/>
              </w:rPr>
              <w:t>类区</w:t>
            </w:r>
          </w:p>
        </w:tc>
        <w:tc>
          <w:tcPr>
            <w:tcW w:w="1187" w:type="dxa"/>
            <w:vAlign w:val="top"/>
            <w:tcBorders>
              <w:bottom w:val="single" w:color="000000" w:sz="10" w:space="0"/>
            </w:tcBorders>
          </w:tcPr>
          <w:p>
            <w:pPr>
              <w:ind w:left="492"/>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192" w:type="dxa"/>
            <w:vAlign w:val="top"/>
            <w:tcBorders>
              <w:bottom w:val="single" w:color="000000" w:sz="10" w:space="0"/>
            </w:tcBorders>
          </w:tcPr>
          <w:p>
            <w:pPr>
              <w:ind w:left="498"/>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3962" w:type="dxa"/>
            <w:vAlign w:val="top"/>
            <w:vMerge w:val="continue"/>
            <w:tcBorders>
              <w:bottom w:val="single" w:color="000000" w:sz="10" w:space="0"/>
              <w:right w:val="nil"/>
              <w:top w:val="nil"/>
            </w:tcBorders>
          </w:tcPr>
          <w:p>
            <w:pPr>
              <w:rPr>
                <w:rFonts w:ascii="Arial"/>
                <w:sz w:val="21"/>
              </w:rPr>
            </w:pPr>
            <w:r/>
          </w:p>
        </w:tc>
      </w:tr>
    </w:tbl>
    <w:p>
      <w:pPr>
        <w:pStyle w:val="BodyText"/>
        <w:spacing w:line="366" w:lineRule="auto"/>
        <w:rPr/>
      </w:pPr>
      <w:r/>
    </w:p>
    <w:p>
      <w:pPr>
        <w:ind w:left="603"/>
        <w:spacing w:before="78"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）土壤环境</w:t>
      </w:r>
    </w:p>
    <w:p>
      <w:pPr>
        <w:ind w:left="139" w:right="34" w:firstLine="458"/>
        <w:spacing w:before="164" w:line="359" w:lineRule="auto"/>
        <w:rPr>
          <w:rFonts w:ascii="SimSun" w:hAnsi="SimSun" w:eastAsia="SimSun" w:cs="SimSun"/>
          <w:sz w:val="24"/>
          <w:szCs w:val="24"/>
        </w:rPr>
      </w:pPr>
      <w:r>
        <w:pict>
          <v:shape id="_x0000_s86" style="position:absolute;margin-left:5.64601pt;margin-top:101.731pt;mso-position-vertical-relative:text;mso-position-horizontal-relative:text;width:425.7pt;height:0.6pt;z-index:251684864;" filled="false" strokecolor="#808080" strokeweight="0.50pt" coordsize="8514,12" coordorigin="0,0" path="m5,5l8508,6e">
            <v:stroke endcap="round" miterlimit="10"/>
          </v:shape>
        </w:pict>
      </w:r>
      <w:r>
        <w:rPr>
          <w:rFonts w:ascii="SimSun" w:hAnsi="SimSun" w:eastAsia="SimSun" w:cs="SimSun"/>
          <w:sz w:val="24"/>
          <w:szCs w:val="24"/>
          <w:spacing w:val="-4"/>
        </w:rPr>
        <w:t>土壤评价采用</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4"/>
        </w:rPr>
        <w:t>GB15618-2018</w:t>
      </w:r>
      <w:r>
        <w:rPr>
          <w:rFonts w:ascii="SimSun" w:hAnsi="SimSun" w:eastAsia="SimSun" w:cs="SimSun"/>
          <w:sz w:val="24"/>
          <w:szCs w:val="24"/>
          <w:spacing w:val="-4"/>
        </w:rPr>
        <w:t>《土壤环境质量  农用地土壤污染风险管控标准》</w:t>
      </w:r>
      <w:r>
        <w:rPr>
          <w:rFonts w:ascii="SimSun" w:hAnsi="SimSun" w:eastAsia="SimSun" w:cs="SimSun"/>
          <w:sz w:val="24"/>
          <w:szCs w:val="24"/>
          <w:spacing w:val="-4"/>
        </w:rPr>
        <w:t>中表</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4"/>
        </w:rPr>
        <w:t>中农用地土壤污染风险筛选值要求，详见表</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4"/>
        </w:rPr>
        <w:t>2-7</w:t>
      </w:r>
      <w:r>
        <w:rPr>
          <w:rFonts w:ascii="SimSun" w:hAnsi="SimSun" w:eastAsia="SimSun" w:cs="SimSun"/>
          <w:sz w:val="24"/>
          <w:szCs w:val="24"/>
          <w:spacing w:val="-4"/>
        </w:rPr>
        <w:t>。</w:t>
      </w:r>
    </w:p>
    <w:p>
      <w:pPr>
        <w:spacing w:line="359" w:lineRule="auto"/>
        <w:sectPr>
          <w:headerReference w:type="default" r:id="rId45"/>
          <w:footerReference w:type="default" r:id="rId46"/>
          <w:pgSz w:w="11907" w:h="16839"/>
          <w:pgMar w:top="1422" w:right="1555" w:bottom="1618" w:left="1594" w:header="1033" w:footer="1417" w:gutter="0"/>
        </w:sectPr>
        <w:rPr>
          <w:rFonts w:ascii="SimSun" w:hAnsi="SimSun" w:eastAsia="SimSun" w:cs="SimSun"/>
          <w:sz w:val="24"/>
          <w:szCs w:val="24"/>
        </w:rPr>
      </w:pPr>
    </w:p>
    <w:p>
      <w:pPr>
        <w:ind w:left="1438"/>
        <w:spacing w:before="313" w:line="217" w:lineRule="auto"/>
        <w:rPr>
          <w:rFonts w:ascii="Times New Roman" w:hAnsi="Times New Roman" w:eastAsia="Times New Roman" w:cs="Times New Roman"/>
          <w:sz w:val="21"/>
          <w:szCs w:val="21"/>
        </w:rPr>
      </w:pPr>
      <w:r>
        <w:rPr>
          <w:rFonts w:ascii="SimSun" w:hAnsi="SimSun" w:eastAsia="SimSun" w:cs="SimSun"/>
          <w:sz w:val="24"/>
          <w:szCs w:val="24"/>
          <w:b/>
          <w:bCs/>
          <w:spacing w:val="-1"/>
        </w:rPr>
        <w:t>表</w:t>
      </w:r>
      <w:r>
        <w:rPr>
          <w:rFonts w:ascii="SimSun" w:hAnsi="SimSun" w:eastAsia="SimSun" w:cs="SimSun"/>
          <w:sz w:val="24"/>
          <w:szCs w:val="24"/>
          <w:spacing w:val="-41"/>
        </w:rPr>
        <w:t xml:space="preserve"> </w:t>
      </w:r>
      <w:r>
        <w:rPr>
          <w:rFonts w:ascii="Times New Roman" w:hAnsi="Times New Roman" w:eastAsia="Times New Roman" w:cs="Times New Roman"/>
          <w:sz w:val="24"/>
          <w:szCs w:val="24"/>
          <w:b/>
          <w:bCs/>
          <w:spacing w:val="-1"/>
        </w:rPr>
        <w:t>2-7      </w:t>
      </w:r>
      <w:r>
        <w:rPr>
          <w:rFonts w:ascii="SimSun" w:hAnsi="SimSun" w:eastAsia="SimSun" w:cs="SimSun"/>
          <w:sz w:val="24"/>
          <w:szCs w:val="24"/>
          <w:b/>
          <w:bCs/>
          <w:spacing w:val="-1"/>
        </w:rPr>
        <w:t>农用地土壤污染风险筛选值</w:t>
      </w:r>
      <w:r>
        <w:rPr>
          <w:rFonts w:ascii="SimSun" w:hAnsi="SimSun" w:eastAsia="SimSun" w:cs="SimSun"/>
          <w:sz w:val="24"/>
          <w:szCs w:val="24"/>
          <w:spacing w:val="-1"/>
        </w:rPr>
        <w:t xml:space="preserve">         </w:t>
      </w:r>
      <w:r>
        <w:rPr>
          <w:rFonts w:ascii="SimSun" w:hAnsi="SimSun" w:eastAsia="SimSun" w:cs="SimSun"/>
          <w:sz w:val="21"/>
          <w:szCs w:val="21"/>
          <w:spacing w:val="-1"/>
        </w:rPr>
        <w:t>单位：</w:t>
      </w:r>
      <w:r>
        <w:rPr>
          <w:rFonts w:ascii="Times New Roman" w:hAnsi="Times New Roman" w:eastAsia="Times New Roman" w:cs="Times New Roman"/>
          <w:sz w:val="21"/>
          <w:szCs w:val="21"/>
          <w:spacing w:val="-1"/>
        </w:rPr>
        <w:t>mg/kg</w:t>
      </w:r>
    </w:p>
    <w:p>
      <w:pPr>
        <w:spacing w:line="149" w:lineRule="exact"/>
        <w:rPr/>
      </w:pPr>
      <w:r/>
    </w:p>
    <w:tbl>
      <w:tblPr>
        <w:tblStyle w:val="TableNormal"/>
        <w:tblW w:w="873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25"/>
        <w:gridCol w:w="1697"/>
        <w:gridCol w:w="1560"/>
        <w:gridCol w:w="1458"/>
        <w:gridCol w:w="1493"/>
      </w:tblGrid>
      <w:tr>
        <w:trPr>
          <w:trHeight w:val="296" w:hRule="atLeast"/>
        </w:trPr>
        <w:tc>
          <w:tcPr>
            <w:tcW w:w="2525" w:type="dxa"/>
            <w:vAlign w:val="top"/>
            <w:vMerge w:val="restart"/>
            <w:tcBorders>
              <w:left w:val="nil"/>
              <w:top w:val="single" w:color="000000" w:sz="10" w:space="0"/>
              <w:bottom w:val="nil"/>
            </w:tcBorders>
          </w:tcPr>
          <w:p>
            <w:pPr>
              <w:pStyle w:val="TableText"/>
              <w:ind w:left="561"/>
              <w:spacing w:before="192" w:line="219" w:lineRule="auto"/>
              <w:rPr/>
            </w:pPr>
            <w:r>
              <w:rPr>
                <w:b/>
                <w:bCs/>
                <w:spacing w:val="-27"/>
              </w:rPr>
              <w:t>评价项目（其他）</w:t>
            </w:r>
          </w:p>
        </w:tc>
        <w:tc>
          <w:tcPr>
            <w:tcW w:w="6208" w:type="dxa"/>
            <w:vAlign w:val="top"/>
            <w:gridSpan w:val="4"/>
            <w:tcBorders>
              <w:right w:val="nil"/>
              <w:top w:val="single" w:color="000000" w:sz="10" w:space="0"/>
            </w:tcBorders>
          </w:tcPr>
          <w:p>
            <w:pPr>
              <w:pStyle w:val="TableText"/>
              <w:ind w:left="2661"/>
              <w:spacing w:before="43" w:line="213" w:lineRule="auto"/>
              <w:rPr/>
            </w:pPr>
            <w:r>
              <w:rPr>
                <w:b/>
                <w:bCs/>
                <w:spacing w:val="-16"/>
                <w:w w:val="97"/>
              </w:rPr>
              <w:t>风险筛选值</w:t>
            </w:r>
          </w:p>
        </w:tc>
      </w:tr>
      <w:tr>
        <w:trPr>
          <w:trHeight w:val="290" w:hRule="atLeast"/>
        </w:trPr>
        <w:tc>
          <w:tcPr>
            <w:tcW w:w="2525" w:type="dxa"/>
            <w:vAlign w:val="top"/>
            <w:vMerge w:val="continue"/>
            <w:tcBorders>
              <w:left w:val="nil"/>
              <w:top w:val="nil"/>
            </w:tcBorders>
          </w:tcPr>
          <w:p>
            <w:pPr>
              <w:rPr>
                <w:rFonts w:ascii="Arial"/>
                <w:sz w:val="21"/>
              </w:rPr>
            </w:pPr>
            <w:r/>
          </w:p>
        </w:tc>
        <w:tc>
          <w:tcPr>
            <w:tcW w:w="1697" w:type="dxa"/>
            <w:vAlign w:val="top"/>
          </w:tcPr>
          <w:p>
            <w:pPr>
              <w:ind w:left="568"/>
              <w:spacing w:before="7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2"/>
              </w:rPr>
              <w:t>pH≤5.5</w:t>
            </w:r>
          </w:p>
        </w:tc>
        <w:tc>
          <w:tcPr>
            <w:tcW w:w="1560" w:type="dxa"/>
            <w:vAlign w:val="top"/>
          </w:tcPr>
          <w:p>
            <w:pPr>
              <w:pStyle w:val="TableText"/>
              <w:ind w:left="307"/>
              <w:spacing w:before="39" w:line="211" w:lineRule="auto"/>
              <w:rPr>
                <w:rFonts w:ascii="Times New Roman" w:hAnsi="Times New Roman" w:eastAsia="Times New Roman" w:cs="Times New Roman"/>
              </w:rPr>
            </w:pPr>
            <w:r>
              <w:rPr>
                <w:rFonts w:ascii="Times New Roman" w:hAnsi="Times New Roman" w:eastAsia="Times New Roman" w:cs="Times New Roman"/>
                <w:b/>
                <w:bCs/>
                <w:spacing w:val="-16"/>
              </w:rPr>
              <w:t>5.5</w:t>
            </w:r>
            <w:r>
              <w:rPr>
                <w:b/>
                <w:bCs/>
                <w:spacing w:val="-16"/>
              </w:rPr>
              <w:t>＜</w:t>
            </w:r>
            <w:r>
              <w:rPr>
                <w:rFonts w:ascii="Times New Roman" w:hAnsi="Times New Roman" w:eastAsia="Times New Roman" w:cs="Times New Roman"/>
                <w:b/>
                <w:bCs/>
                <w:spacing w:val="-16"/>
              </w:rPr>
              <w:t>pH≤6.5</w:t>
            </w:r>
          </w:p>
        </w:tc>
        <w:tc>
          <w:tcPr>
            <w:tcW w:w="1458" w:type="dxa"/>
            <w:vAlign w:val="top"/>
          </w:tcPr>
          <w:p>
            <w:pPr>
              <w:pStyle w:val="TableText"/>
              <w:ind w:left="256"/>
              <w:spacing w:before="39" w:line="211" w:lineRule="auto"/>
              <w:rPr>
                <w:rFonts w:ascii="Times New Roman" w:hAnsi="Times New Roman" w:eastAsia="Times New Roman" w:cs="Times New Roman"/>
              </w:rPr>
            </w:pPr>
            <w:r>
              <w:rPr>
                <w:rFonts w:ascii="Times New Roman" w:hAnsi="Times New Roman" w:eastAsia="Times New Roman" w:cs="Times New Roman"/>
                <w:b/>
                <w:bCs/>
                <w:spacing w:val="-16"/>
              </w:rPr>
              <w:t>6.5</w:t>
            </w:r>
            <w:r>
              <w:rPr>
                <w:b/>
                <w:bCs/>
                <w:spacing w:val="-16"/>
              </w:rPr>
              <w:t>＜</w:t>
            </w:r>
            <w:r>
              <w:rPr>
                <w:rFonts w:ascii="Times New Roman" w:hAnsi="Times New Roman" w:eastAsia="Times New Roman" w:cs="Times New Roman"/>
                <w:b/>
                <w:bCs/>
                <w:spacing w:val="-16"/>
              </w:rPr>
              <w:t>pH≤7.5</w:t>
            </w:r>
          </w:p>
        </w:tc>
        <w:tc>
          <w:tcPr>
            <w:tcW w:w="1493" w:type="dxa"/>
            <w:vAlign w:val="top"/>
            <w:tcBorders>
              <w:right w:val="nil"/>
            </w:tcBorders>
          </w:tcPr>
          <w:p>
            <w:pPr>
              <w:pStyle w:val="TableText"/>
              <w:ind w:left="423"/>
              <w:spacing w:before="39" w:line="211" w:lineRule="auto"/>
              <w:rPr>
                <w:rFonts w:ascii="Times New Roman" w:hAnsi="Times New Roman" w:eastAsia="Times New Roman" w:cs="Times New Roman"/>
              </w:rPr>
            </w:pPr>
            <w:r>
              <w:rPr>
                <w:rFonts w:ascii="Times New Roman" w:hAnsi="Times New Roman" w:eastAsia="Times New Roman" w:cs="Times New Roman"/>
                <w:b/>
                <w:bCs/>
                <w:spacing w:val="-15"/>
              </w:rPr>
              <w:t>pH</w:t>
            </w:r>
            <w:r>
              <w:rPr>
                <w:b/>
                <w:bCs/>
                <w:spacing w:val="-15"/>
              </w:rPr>
              <w:t>＞</w:t>
            </w:r>
            <w:r>
              <w:rPr>
                <w:rFonts w:ascii="Times New Roman" w:hAnsi="Times New Roman" w:eastAsia="Times New Roman" w:cs="Times New Roman"/>
                <w:b/>
                <w:bCs/>
                <w:spacing w:val="-15"/>
              </w:rPr>
              <w:t>7.5</w:t>
            </w:r>
          </w:p>
        </w:tc>
      </w:tr>
      <w:tr>
        <w:trPr>
          <w:trHeight w:val="290" w:hRule="atLeast"/>
        </w:trPr>
        <w:tc>
          <w:tcPr>
            <w:tcW w:w="2525" w:type="dxa"/>
            <w:vAlign w:val="top"/>
            <w:tcBorders>
              <w:left w:val="nil"/>
            </w:tcBorders>
          </w:tcPr>
          <w:p>
            <w:pPr>
              <w:pStyle w:val="TableText"/>
              <w:ind w:left="1188"/>
              <w:spacing w:before="42" w:line="209" w:lineRule="auto"/>
              <w:rPr/>
            </w:pPr>
            <w:r>
              <w:rPr/>
              <w:t>砷</w:t>
            </w:r>
          </w:p>
        </w:tc>
        <w:tc>
          <w:tcPr>
            <w:tcW w:w="1697" w:type="dxa"/>
            <w:vAlign w:val="top"/>
          </w:tcPr>
          <w:p>
            <w:pPr>
              <w:ind w:left="759"/>
              <w:spacing w:before="7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40</w:t>
            </w:r>
          </w:p>
        </w:tc>
        <w:tc>
          <w:tcPr>
            <w:tcW w:w="1560" w:type="dxa"/>
            <w:vAlign w:val="top"/>
          </w:tcPr>
          <w:p>
            <w:pPr>
              <w:ind w:left="692"/>
              <w:spacing w:before="7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40</w:t>
            </w:r>
          </w:p>
        </w:tc>
        <w:tc>
          <w:tcPr>
            <w:tcW w:w="1458" w:type="dxa"/>
            <w:vAlign w:val="top"/>
          </w:tcPr>
          <w:p>
            <w:pPr>
              <w:ind w:left="645"/>
              <w:spacing w:before="7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30</w:t>
            </w:r>
          </w:p>
        </w:tc>
        <w:tc>
          <w:tcPr>
            <w:tcW w:w="1493" w:type="dxa"/>
            <w:vAlign w:val="top"/>
            <w:tcBorders>
              <w:right w:val="nil"/>
            </w:tcBorders>
          </w:tcPr>
          <w:p>
            <w:pPr>
              <w:ind w:left="657"/>
              <w:spacing w:before="7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25</w:t>
            </w:r>
          </w:p>
        </w:tc>
      </w:tr>
      <w:tr>
        <w:trPr>
          <w:trHeight w:val="276" w:hRule="atLeast"/>
        </w:trPr>
        <w:tc>
          <w:tcPr>
            <w:tcW w:w="2525" w:type="dxa"/>
            <w:vAlign w:val="top"/>
            <w:tcBorders>
              <w:left w:val="nil"/>
            </w:tcBorders>
          </w:tcPr>
          <w:p>
            <w:pPr>
              <w:pStyle w:val="TableText"/>
              <w:ind w:left="1187"/>
              <w:spacing w:before="37" w:line="201" w:lineRule="auto"/>
              <w:rPr/>
            </w:pPr>
            <w:r>
              <w:rPr/>
              <w:t>镉</w:t>
            </w:r>
          </w:p>
        </w:tc>
        <w:tc>
          <w:tcPr>
            <w:tcW w:w="1697" w:type="dxa"/>
            <w:vAlign w:val="top"/>
          </w:tcPr>
          <w:p>
            <w:pPr>
              <w:ind w:left="747"/>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0.3</w:t>
            </w:r>
          </w:p>
        </w:tc>
        <w:tc>
          <w:tcPr>
            <w:tcW w:w="1560" w:type="dxa"/>
            <w:vAlign w:val="top"/>
          </w:tcPr>
          <w:p>
            <w:pPr>
              <w:ind w:left="677"/>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0.3</w:t>
            </w:r>
          </w:p>
        </w:tc>
        <w:tc>
          <w:tcPr>
            <w:tcW w:w="1458" w:type="dxa"/>
            <w:vAlign w:val="top"/>
          </w:tcPr>
          <w:p>
            <w:pPr>
              <w:ind w:left="627"/>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0.3</w:t>
            </w:r>
          </w:p>
        </w:tc>
        <w:tc>
          <w:tcPr>
            <w:tcW w:w="1493" w:type="dxa"/>
            <w:vAlign w:val="top"/>
            <w:tcBorders>
              <w:right w:val="nil"/>
            </w:tcBorders>
          </w:tcPr>
          <w:p>
            <w:pPr>
              <w:ind w:left="641"/>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0.6</w:t>
            </w:r>
          </w:p>
        </w:tc>
      </w:tr>
      <w:tr>
        <w:trPr>
          <w:trHeight w:val="290" w:hRule="atLeast"/>
        </w:trPr>
        <w:tc>
          <w:tcPr>
            <w:tcW w:w="2525" w:type="dxa"/>
            <w:vAlign w:val="top"/>
            <w:tcBorders>
              <w:left w:val="nil"/>
            </w:tcBorders>
          </w:tcPr>
          <w:p>
            <w:pPr>
              <w:pStyle w:val="TableText"/>
              <w:ind w:left="1188"/>
              <w:spacing w:before="46" w:line="205" w:lineRule="auto"/>
              <w:rPr/>
            </w:pPr>
            <w:r>
              <w:rPr/>
              <w:t>铜</w:t>
            </w:r>
          </w:p>
        </w:tc>
        <w:tc>
          <w:tcPr>
            <w:tcW w:w="1697" w:type="dxa"/>
            <w:vAlign w:val="top"/>
          </w:tcPr>
          <w:p>
            <w:pPr>
              <w:ind w:left="766"/>
              <w:spacing w:before="7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50</w:t>
            </w:r>
          </w:p>
        </w:tc>
        <w:tc>
          <w:tcPr>
            <w:tcW w:w="1560" w:type="dxa"/>
            <w:vAlign w:val="top"/>
          </w:tcPr>
          <w:p>
            <w:pPr>
              <w:ind w:left="699"/>
              <w:spacing w:before="7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50</w:t>
            </w:r>
          </w:p>
        </w:tc>
        <w:tc>
          <w:tcPr>
            <w:tcW w:w="1458" w:type="dxa"/>
            <w:vAlign w:val="top"/>
          </w:tcPr>
          <w:p>
            <w:pPr>
              <w:ind w:left="618"/>
              <w:spacing w:before="7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100</w:t>
            </w:r>
          </w:p>
        </w:tc>
        <w:tc>
          <w:tcPr>
            <w:tcW w:w="1493" w:type="dxa"/>
            <w:vAlign w:val="top"/>
            <w:tcBorders>
              <w:right w:val="nil"/>
            </w:tcBorders>
          </w:tcPr>
          <w:p>
            <w:pPr>
              <w:ind w:left="631"/>
              <w:spacing w:before="77"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100</w:t>
            </w:r>
          </w:p>
        </w:tc>
      </w:tr>
      <w:tr>
        <w:trPr>
          <w:trHeight w:val="290" w:hRule="atLeast"/>
        </w:trPr>
        <w:tc>
          <w:tcPr>
            <w:tcW w:w="2525" w:type="dxa"/>
            <w:vAlign w:val="top"/>
            <w:tcBorders>
              <w:left w:val="nil"/>
            </w:tcBorders>
          </w:tcPr>
          <w:p>
            <w:pPr>
              <w:pStyle w:val="TableText"/>
              <w:ind w:left="1188"/>
              <w:spacing w:before="50" w:line="202" w:lineRule="auto"/>
              <w:rPr/>
            </w:pPr>
            <w:r>
              <w:rPr/>
              <w:t>铅</w:t>
            </w:r>
          </w:p>
        </w:tc>
        <w:tc>
          <w:tcPr>
            <w:tcW w:w="1697" w:type="dxa"/>
            <w:vAlign w:val="top"/>
          </w:tcPr>
          <w:p>
            <w:pPr>
              <w:ind w:left="764"/>
              <w:spacing w:before="79"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70</w:t>
            </w:r>
          </w:p>
        </w:tc>
        <w:tc>
          <w:tcPr>
            <w:tcW w:w="1560" w:type="dxa"/>
            <w:vAlign w:val="top"/>
          </w:tcPr>
          <w:p>
            <w:pPr>
              <w:ind w:left="697"/>
              <w:spacing w:before="79"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90</w:t>
            </w:r>
          </w:p>
        </w:tc>
        <w:tc>
          <w:tcPr>
            <w:tcW w:w="1458" w:type="dxa"/>
            <w:vAlign w:val="top"/>
          </w:tcPr>
          <w:p>
            <w:pPr>
              <w:ind w:left="618"/>
              <w:spacing w:before="79"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4"/>
              </w:rPr>
              <w:t>120</w:t>
            </w:r>
          </w:p>
        </w:tc>
        <w:tc>
          <w:tcPr>
            <w:tcW w:w="1493" w:type="dxa"/>
            <w:vAlign w:val="top"/>
            <w:tcBorders>
              <w:right w:val="nil"/>
            </w:tcBorders>
          </w:tcPr>
          <w:p>
            <w:pPr>
              <w:ind w:left="631"/>
              <w:spacing w:before="79"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170</w:t>
            </w:r>
          </w:p>
        </w:tc>
      </w:tr>
      <w:tr>
        <w:trPr>
          <w:trHeight w:val="290" w:hRule="atLeast"/>
        </w:trPr>
        <w:tc>
          <w:tcPr>
            <w:tcW w:w="2525" w:type="dxa"/>
            <w:vAlign w:val="top"/>
            <w:tcBorders>
              <w:left w:val="nil"/>
            </w:tcBorders>
          </w:tcPr>
          <w:p>
            <w:pPr>
              <w:pStyle w:val="TableText"/>
              <w:ind w:left="1189"/>
              <w:spacing w:before="54" w:line="198" w:lineRule="auto"/>
              <w:rPr/>
            </w:pPr>
            <w:r>
              <w:rPr/>
              <w:t>汞</w:t>
            </w:r>
          </w:p>
        </w:tc>
        <w:tc>
          <w:tcPr>
            <w:tcW w:w="1697" w:type="dxa"/>
            <w:vAlign w:val="top"/>
          </w:tcPr>
          <w:p>
            <w:pPr>
              <w:ind w:left="764"/>
              <w:spacing w:before="82"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1.3</w:t>
            </w:r>
          </w:p>
        </w:tc>
        <w:tc>
          <w:tcPr>
            <w:tcW w:w="1560" w:type="dxa"/>
            <w:vAlign w:val="top"/>
          </w:tcPr>
          <w:p>
            <w:pPr>
              <w:ind w:left="694"/>
              <w:spacing w:before="82"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1.8</w:t>
            </w:r>
          </w:p>
        </w:tc>
        <w:tc>
          <w:tcPr>
            <w:tcW w:w="1458" w:type="dxa"/>
            <w:vAlign w:val="top"/>
          </w:tcPr>
          <w:p>
            <w:pPr>
              <w:ind w:left="624"/>
              <w:spacing w:before="82"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2.4</w:t>
            </w:r>
          </w:p>
        </w:tc>
        <w:tc>
          <w:tcPr>
            <w:tcW w:w="1493" w:type="dxa"/>
            <w:vAlign w:val="top"/>
            <w:tcBorders>
              <w:right w:val="nil"/>
            </w:tcBorders>
          </w:tcPr>
          <w:p>
            <w:pPr>
              <w:ind w:left="642"/>
              <w:spacing w:before="82"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3.4</w:t>
            </w:r>
          </w:p>
        </w:tc>
      </w:tr>
      <w:tr>
        <w:trPr>
          <w:trHeight w:val="290" w:hRule="atLeast"/>
        </w:trPr>
        <w:tc>
          <w:tcPr>
            <w:tcW w:w="2525" w:type="dxa"/>
            <w:vAlign w:val="top"/>
            <w:tcBorders>
              <w:left w:val="nil"/>
            </w:tcBorders>
          </w:tcPr>
          <w:p>
            <w:pPr>
              <w:pStyle w:val="TableText"/>
              <w:ind w:left="1188"/>
              <w:spacing w:before="57" w:line="196" w:lineRule="auto"/>
              <w:rPr/>
            </w:pPr>
            <w:r>
              <w:rPr/>
              <w:t>镍</w:t>
            </w:r>
          </w:p>
        </w:tc>
        <w:tc>
          <w:tcPr>
            <w:tcW w:w="1697" w:type="dxa"/>
            <w:vAlign w:val="top"/>
          </w:tcPr>
          <w:p>
            <w:pPr>
              <w:ind w:left="765"/>
              <w:spacing w:before="84"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60</w:t>
            </w:r>
          </w:p>
        </w:tc>
        <w:tc>
          <w:tcPr>
            <w:tcW w:w="1560" w:type="dxa"/>
            <w:vAlign w:val="top"/>
          </w:tcPr>
          <w:p>
            <w:pPr>
              <w:ind w:left="697"/>
              <w:spacing w:before="84"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70</w:t>
            </w:r>
          </w:p>
        </w:tc>
        <w:tc>
          <w:tcPr>
            <w:tcW w:w="1458" w:type="dxa"/>
            <w:vAlign w:val="top"/>
          </w:tcPr>
          <w:p>
            <w:pPr>
              <w:ind w:left="618"/>
              <w:spacing w:before="84"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100</w:t>
            </w:r>
          </w:p>
        </w:tc>
        <w:tc>
          <w:tcPr>
            <w:tcW w:w="1493" w:type="dxa"/>
            <w:vAlign w:val="top"/>
            <w:tcBorders>
              <w:right w:val="nil"/>
            </w:tcBorders>
          </w:tcPr>
          <w:p>
            <w:pPr>
              <w:ind w:left="631"/>
              <w:spacing w:before="84"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190</w:t>
            </w:r>
          </w:p>
        </w:tc>
      </w:tr>
      <w:tr>
        <w:trPr>
          <w:trHeight w:val="292" w:hRule="atLeast"/>
        </w:trPr>
        <w:tc>
          <w:tcPr>
            <w:tcW w:w="2525" w:type="dxa"/>
            <w:vAlign w:val="top"/>
            <w:tcBorders>
              <w:left w:val="nil"/>
            </w:tcBorders>
          </w:tcPr>
          <w:p>
            <w:pPr>
              <w:pStyle w:val="TableText"/>
              <w:ind w:left="1188"/>
              <w:spacing w:before="60" w:line="195" w:lineRule="auto"/>
              <w:rPr/>
            </w:pPr>
            <w:r>
              <w:rPr/>
              <w:t>锌</w:t>
            </w:r>
          </w:p>
        </w:tc>
        <w:tc>
          <w:tcPr>
            <w:tcW w:w="1697" w:type="dxa"/>
            <w:vAlign w:val="top"/>
          </w:tcPr>
          <w:p>
            <w:pPr>
              <w:ind w:left="717"/>
              <w:spacing w:before="8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200</w:t>
            </w:r>
          </w:p>
        </w:tc>
        <w:tc>
          <w:tcPr>
            <w:tcW w:w="1560" w:type="dxa"/>
            <w:vAlign w:val="top"/>
          </w:tcPr>
          <w:p>
            <w:pPr>
              <w:ind w:left="648"/>
              <w:spacing w:before="8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200</w:t>
            </w:r>
          </w:p>
        </w:tc>
        <w:tc>
          <w:tcPr>
            <w:tcW w:w="1458" w:type="dxa"/>
            <w:vAlign w:val="top"/>
          </w:tcPr>
          <w:p>
            <w:pPr>
              <w:ind w:left="598"/>
              <w:spacing w:before="8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250</w:t>
            </w:r>
          </w:p>
        </w:tc>
        <w:tc>
          <w:tcPr>
            <w:tcW w:w="1493" w:type="dxa"/>
            <w:vAlign w:val="top"/>
            <w:tcBorders>
              <w:right w:val="nil"/>
            </w:tcBorders>
          </w:tcPr>
          <w:p>
            <w:pPr>
              <w:ind w:left="615"/>
              <w:spacing w:before="8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300</w:t>
            </w:r>
          </w:p>
        </w:tc>
      </w:tr>
      <w:tr>
        <w:trPr>
          <w:trHeight w:val="315" w:hRule="atLeast"/>
        </w:trPr>
        <w:tc>
          <w:tcPr>
            <w:tcW w:w="2525" w:type="dxa"/>
            <w:vAlign w:val="top"/>
            <w:tcBorders>
              <w:left w:val="nil"/>
              <w:bottom w:val="single" w:color="000000" w:sz="10" w:space="0"/>
            </w:tcBorders>
          </w:tcPr>
          <w:p>
            <w:pPr>
              <w:pStyle w:val="TableText"/>
              <w:ind w:left="1188"/>
              <w:spacing w:before="60" w:line="215" w:lineRule="auto"/>
              <w:rPr/>
            </w:pPr>
            <w:r>
              <w:rPr/>
              <w:t>铬</w:t>
            </w:r>
          </w:p>
        </w:tc>
        <w:tc>
          <w:tcPr>
            <w:tcW w:w="1697" w:type="dxa"/>
            <w:vAlign w:val="top"/>
            <w:tcBorders>
              <w:bottom w:val="single" w:color="000000" w:sz="10" w:space="0"/>
            </w:tcBorders>
          </w:tcPr>
          <w:p>
            <w:pPr>
              <w:ind w:left="737"/>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150</w:t>
            </w:r>
          </w:p>
        </w:tc>
        <w:tc>
          <w:tcPr>
            <w:tcW w:w="1560" w:type="dxa"/>
            <w:vAlign w:val="top"/>
            <w:tcBorders>
              <w:bottom w:val="single" w:color="000000" w:sz="10" w:space="0"/>
            </w:tcBorders>
          </w:tcPr>
          <w:p>
            <w:pPr>
              <w:ind w:left="668"/>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150</w:t>
            </w:r>
          </w:p>
        </w:tc>
        <w:tc>
          <w:tcPr>
            <w:tcW w:w="1458" w:type="dxa"/>
            <w:vAlign w:val="top"/>
            <w:tcBorders>
              <w:bottom w:val="single" w:color="000000" w:sz="10" w:space="0"/>
            </w:tcBorders>
          </w:tcPr>
          <w:p>
            <w:pPr>
              <w:ind w:left="598"/>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200</w:t>
            </w:r>
          </w:p>
        </w:tc>
        <w:tc>
          <w:tcPr>
            <w:tcW w:w="1493" w:type="dxa"/>
            <w:vAlign w:val="top"/>
            <w:tcBorders>
              <w:right w:val="nil"/>
              <w:bottom w:val="single" w:color="000000" w:sz="10" w:space="0"/>
            </w:tcBorders>
          </w:tcPr>
          <w:p>
            <w:pPr>
              <w:ind w:left="611"/>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250</w:t>
            </w:r>
          </w:p>
        </w:tc>
      </w:tr>
    </w:tbl>
    <w:p>
      <w:pPr>
        <w:ind w:left="128"/>
        <w:spacing w:before="295"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2.6.1 </w:t>
      </w:r>
      <w:r>
        <w:rPr>
          <w:rFonts w:ascii="SimSun" w:hAnsi="SimSun" w:eastAsia="SimSun" w:cs="SimSun"/>
          <w:sz w:val="24"/>
          <w:szCs w:val="24"/>
          <w:b/>
          <w:bCs/>
          <w:spacing w:val="-2"/>
        </w:rPr>
        <w:t>污染物排放标准</w:t>
      </w:r>
    </w:p>
    <w:p>
      <w:pPr>
        <w:pStyle w:val="BodyText"/>
        <w:spacing w:line="339" w:lineRule="auto"/>
        <w:rPr/>
      </w:pPr>
      <w:r/>
    </w:p>
    <w:p>
      <w:pPr>
        <w:ind w:left="618"/>
        <w:spacing w:before="78" w:line="233"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1</w:t>
      </w:r>
      <w:r>
        <w:rPr>
          <w:rFonts w:ascii="SimSun" w:hAnsi="SimSun" w:eastAsia="SimSun" w:cs="SimSun"/>
          <w:sz w:val="24"/>
          <w:szCs w:val="24"/>
          <w:spacing w:val="-6"/>
        </w:rPr>
        <w:t>）废气</w:t>
      </w:r>
    </w:p>
    <w:p>
      <w:pPr>
        <w:ind w:left="610"/>
        <w:spacing w:before="165" w:line="217" w:lineRule="auto"/>
        <w:rPr>
          <w:rFonts w:ascii="SimSun" w:hAnsi="SimSun" w:eastAsia="SimSun" w:cs="SimSun"/>
          <w:sz w:val="24"/>
          <w:szCs w:val="24"/>
        </w:rPr>
      </w:pPr>
      <w:r>
        <w:rPr>
          <w:rFonts w:ascii="SimSun" w:hAnsi="SimSun" w:eastAsia="SimSun" w:cs="SimSun"/>
          <w:sz w:val="24"/>
          <w:szCs w:val="24"/>
          <w:spacing w:val="-1"/>
        </w:rPr>
        <w:t>施工期污染物主要为扬尘，营运期废气主要恶臭</w:t>
      </w:r>
      <w:r>
        <w:rPr>
          <w:rFonts w:ascii="SimSun" w:hAnsi="SimSun" w:eastAsia="SimSun" w:cs="SimSun"/>
          <w:sz w:val="24"/>
          <w:szCs w:val="24"/>
          <w:spacing w:val="-2"/>
        </w:rPr>
        <w:t>气体及食堂油烟。</w:t>
      </w:r>
    </w:p>
    <w:p>
      <w:pPr>
        <w:ind w:left="610"/>
        <w:spacing w:before="187" w:line="217" w:lineRule="auto"/>
        <w:rPr>
          <w:rFonts w:ascii="SimSun" w:hAnsi="SimSun" w:eastAsia="SimSun" w:cs="SimSun"/>
          <w:sz w:val="24"/>
          <w:szCs w:val="24"/>
        </w:rPr>
      </w:pPr>
      <w:r>
        <w:rPr>
          <w:rFonts w:ascii="SimSun" w:hAnsi="SimSun" w:eastAsia="SimSun" w:cs="SimSun"/>
          <w:sz w:val="24"/>
          <w:szCs w:val="24"/>
          <w:spacing w:val="-2"/>
        </w:rPr>
        <w:t>①恶臭气体</w:t>
      </w:r>
    </w:p>
    <w:p>
      <w:pPr>
        <w:ind w:left="132" w:right="41" w:firstLine="482"/>
        <w:spacing w:before="182" w:line="358" w:lineRule="auto"/>
        <w:rPr>
          <w:rFonts w:ascii="SimSun" w:hAnsi="SimSun" w:eastAsia="SimSun" w:cs="SimSun"/>
          <w:sz w:val="24"/>
          <w:szCs w:val="24"/>
        </w:rPr>
      </w:pPr>
      <w:r>
        <w:rPr>
          <w:rFonts w:ascii="SimSun" w:hAnsi="SimSun" w:eastAsia="SimSun" w:cs="SimSun"/>
          <w:sz w:val="24"/>
          <w:szCs w:val="24"/>
          <w:spacing w:val="-3"/>
        </w:rPr>
        <w:t>项目恶臭气体（</w:t>
      </w:r>
      <w:r>
        <w:rPr>
          <w:rFonts w:ascii="Times New Roman" w:hAnsi="Times New Roman" w:eastAsia="Times New Roman" w:cs="Times New Roman"/>
          <w:sz w:val="24"/>
          <w:szCs w:val="24"/>
          <w:spacing w:val="-3"/>
        </w:rPr>
        <w:t>H</w:t>
      </w:r>
      <w:r>
        <w:rPr>
          <w:rFonts w:ascii="Times New Roman" w:hAnsi="Times New Roman" w:eastAsia="Times New Roman" w:cs="Times New Roman"/>
          <w:sz w:val="16"/>
          <w:szCs w:val="16"/>
          <w:spacing w:val="-3"/>
          <w:position w:val="-3"/>
        </w:rPr>
        <w:t>2</w:t>
      </w:r>
      <w:r>
        <w:rPr>
          <w:rFonts w:ascii="Times New Roman" w:hAnsi="Times New Roman" w:eastAsia="Times New Roman" w:cs="Times New Roman"/>
          <w:sz w:val="16"/>
          <w:szCs w:val="16"/>
          <w:spacing w:val="-23"/>
          <w:position w:val="-3"/>
        </w:rPr>
        <w:t xml:space="preserve"> </w:t>
      </w:r>
      <w:r>
        <w:rPr>
          <w:rFonts w:ascii="Times New Roman" w:hAnsi="Times New Roman" w:eastAsia="Times New Roman" w:cs="Times New Roman"/>
          <w:sz w:val="24"/>
          <w:szCs w:val="24"/>
          <w:spacing w:val="-3"/>
        </w:rPr>
        <w:t>S</w:t>
      </w:r>
      <w:r>
        <w:rPr>
          <w:rFonts w:ascii="SimSun" w:hAnsi="SimSun" w:eastAsia="SimSun" w:cs="SimSun"/>
          <w:sz w:val="24"/>
          <w:szCs w:val="24"/>
          <w:spacing w:val="-3"/>
        </w:rPr>
        <w:t>、</w:t>
      </w:r>
      <w:r>
        <w:rPr>
          <w:rFonts w:ascii="Times New Roman" w:hAnsi="Times New Roman" w:eastAsia="Times New Roman" w:cs="Times New Roman"/>
          <w:sz w:val="24"/>
          <w:szCs w:val="24"/>
          <w:spacing w:val="-3"/>
        </w:rPr>
        <w:t>NH</w:t>
      </w:r>
      <w:r>
        <w:rPr>
          <w:rFonts w:ascii="Times New Roman" w:hAnsi="Times New Roman" w:eastAsia="Times New Roman" w:cs="Times New Roman"/>
          <w:sz w:val="16"/>
          <w:szCs w:val="16"/>
          <w:spacing w:val="-3"/>
          <w:position w:val="-3"/>
        </w:rPr>
        <w:t>3</w:t>
      </w:r>
      <w:r>
        <w:rPr>
          <w:rFonts w:ascii="SimSun" w:hAnsi="SimSun" w:eastAsia="SimSun" w:cs="SimSun"/>
          <w:sz w:val="24"/>
          <w:szCs w:val="24"/>
          <w:spacing w:val="-3"/>
        </w:rPr>
        <w:t>）执行</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GB14</w:t>
      </w:r>
      <w:r>
        <w:rPr>
          <w:rFonts w:ascii="Times New Roman" w:hAnsi="Times New Roman" w:eastAsia="Times New Roman" w:cs="Times New Roman"/>
          <w:sz w:val="24"/>
          <w:szCs w:val="24"/>
          <w:spacing w:val="-4"/>
        </w:rPr>
        <w:t>554-93</w:t>
      </w:r>
      <w:r>
        <w:rPr>
          <w:rFonts w:ascii="SimSun" w:hAnsi="SimSun" w:eastAsia="SimSun" w:cs="SimSun"/>
          <w:sz w:val="24"/>
          <w:szCs w:val="24"/>
          <w:spacing w:val="-4"/>
        </w:rPr>
        <w:t>《恶臭污染物排放标准》中厂界</w:t>
      </w:r>
      <w:r>
        <w:rPr>
          <w:rFonts w:ascii="SimSun" w:hAnsi="SimSun" w:eastAsia="SimSun" w:cs="SimSun"/>
          <w:sz w:val="24"/>
          <w:szCs w:val="24"/>
          <w:spacing w:val="-10"/>
        </w:rPr>
        <w:t>标准值二级标准要求，臭气浓度执行</w:t>
      </w:r>
      <w:r>
        <w:rPr>
          <w:rFonts w:ascii="SimSun" w:hAnsi="SimSun" w:eastAsia="SimSun" w:cs="SimSun"/>
          <w:sz w:val="24"/>
          <w:szCs w:val="24"/>
          <w:spacing w:val="-61"/>
        </w:rPr>
        <w:t xml:space="preserve"> </w:t>
      </w:r>
      <w:r>
        <w:rPr>
          <w:rFonts w:ascii="Times New Roman" w:hAnsi="Times New Roman" w:eastAsia="Times New Roman" w:cs="Times New Roman"/>
          <w:sz w:val="24"/>
          <w:szCs w:val="24"/>
          <w:spacing w:val="-10"/>
        </w:rPr>
        <w:t>GB18596-2001</w:t>
      </w:r>
      <w:r>
        <w:rPr>
          <w:rFonts w:ascii="SimSun" w:hAnsi="SimSun" w:eastAsia="SimSun" w:cs="SimSun"/>
          <w:sz w:val="24"/>
          <w:szCs w:val="24"/>
          <w:spacing w:val="-10"/>
        </w:rPr>
        <w:t>《畜禽养殖业污染物排放标</w:t>
      </w:r>
      <w:r>
        <w:rPr>
          <w:rFonts w:ascii="SimSun" w:hAnsi="SimSun" w:eastAsia="SimSun" w:cs="SimSun"/>
          <w:sz w:val="24"/>
          <w:szCs w:val="24"/>
          <w:spacing w:val="-11"/>
        </w:rPr>
        <w:t>准》，</w:t>
      </w:r>
      <w:r>
        <w:rPr>
          <w:rFonts w:ascii="SimSun" w:hAnsi="SimSun" w:eastAsia="SimSun" w:cs="SimSun"/>
          <w:sz w:val="24"/>
          <w:szCs w:val="24"/>
          <w:spacing w:val="-3"/>
        </w:rPr>
        <w:t>详见表</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2-8</w:t>
      </w:r>
      <w:r>
        <w:rPr>
          <w:rFonts w:ascii="SimSun" w:hAnsi="SimSun" w:eastAsia="SimSun" w:cs="SimSun"/>
          <w:sz w:val="24"/>
          <w:szCs w:val="24"/>
          <w:spacing w:val="-3"/>
        </w:rPr>
        <w:t>。</w:t>
      </w:r>
    </w:p>
    <w:p>
      <w:pPr>
        <w:ind w:left="2324"/>
        <w:spacing w:before="7" w:line="233"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33"/>
        </w:rPr>
        <w:t xml:space="preserve"> </w:t>
      </w:r>
      <w:r>
        <w:rPr>
          <w:rFonts w:ascii="Times New Roman" w:hAnsi="Times New Roman" w:eastAsia="Times New Roman" w:cs="Times New Roman"/>
          <w:sz w:val="24"/>
          <w:szCs w:val="24"/>
          <w:b/>
          <w:bCs/>
          <w:spacing w:val="-3"/>
        </w:rPr>
        <w:t>2-8      </w:t>
      </w:r>
      <w:r>
        <w:rPr>
          <w:rFonts w:ascii="SimSun" w:hAnsi="SimSun" w:eastAsia="SimSun" w:cs="SimSun"/>
          <w:sz w:val="24"/>
          <w:szCs w:val="24"/>
          <w:b/>
          <w:bCs/>
          <w:spacing w:val="-3"/>
        </w:rPr>
        <w:t>恶臭污染物排放标准（摘录）</w:t>
      </w:r>
    </w:p>
    <w:p>
      <w:pPr>
        <w:spacing w:line="129" w:lineRule="exact"/>
        <w:rPr/>
      </w:pPr>
      <w:r/>
    </w:p>
    <w:tbl>
      <w:tblPr>
        <w:tblStyle w:val="TableNormal"/>
        <w:tblW w:w="8718"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0"/>
        <w:gridCol w:w="1232"/>
        <w:gridCol w:w="1752"/>
        <w:gridCol w:w="1546"/>
        <w:gridCol w:w="3668"/>
      </w:tblGrid>
      <w:tr>
        <w:trPr>
          <w:trHeight w:val="547" w:hRule="atLeast"/>
        </w:trPr>
        <w:tc>
          <w:tcPr>
            <w:tcW w:w="1752" w:type="dxa"/>
            <w:vAlign w:val="top"/>
            <w:gridSpan w:val="2"/>
            <w:tcBorders>
              <w:top w:val="single" w:color="000000" w:sz="10" w:space="0"/>
              <w:left w:val="nil"/>
            </w:tcBorders>
          </w:tcPr>
          <w:p>
            <w:pPr>
              <w:pStyle w:val="TableText"/>
              <w:ind w:left="460"/>
              <w:spacing w:before="170" w:line="221" w:lineRule="auto"/>
              <w:rPr/>
            </w:pPr>
            <w:r>
              <w:rPr>
                <w:b/>
                <w:bCs/>
                <w:spacing w:val="-3"/>
              </w:rPr>
              <w:t>控制项目</w:t>
            </w:r>
          </w:p>
        </w:tc>
        <w:tc>
          <w:tcPr>
            <w:tcW w:w="1752" w:type="dxa"/>
            <w:vAlign w:val="top"/>
            <w:tcBorders>
              <w:top w:val="single" w:color="000000" w:sz="10" w:space="0"/>
            </w:tcBorders>
          </w:tcPr>
          <w:p>
            <w:pPr>
              <w:pStyle w:val="TableText"/>
              <w:ind w:left="457"/>
              <w:spacing w:before="170" w:line="222" w:lineRule="auto"/>
              <w:rPr/>
            </w:pPr>
            <w:r>
              <w:rPr>
                <w:b/>
                <w:bCs/>
                <w:spacing w:val="-4"/>
              </w:rPr>
              <w:t>排放方式</w:t>
            </w:r>
          </w:p>
        </w:tc>
        <w:tc>
          <w:tcPr>
            <w:tcW w:w="1546" w:type="dxa"/>
            <w:vAlign w:val="top"/>
            <w:tcBorders>
              <w:top w:val="single" w:color="000000" w:sz="10" w:space="0"/>
            </w:tcBorders>
          </w:tcPr>
          <w:p>
            <w:pPr>
              <w:pStyle w:val="TableText"/>
              <w:ind w:left="278" w:right="287" w:firstLine="75"/>
              <w:spacing w:before="36" w:line="220" w:lineRule="auto"/>
              <w:rPr/>
            </w:pPr>
            <w:r>
              <w:rPr>
                <w:b/>
                <w:bCs/>
                <w:spacing w:val="-4"/>
              </w:rPr>
              <w:t>排放浓度</w:t>
            </w:r>
            <w:r>
              <w:rPr>
                <w:b/>
                <w:bCs/>
                <w:spacing w:val="-5"/>
              </w:rPr>
              <w:t>（</w:t>
            </w:r>
            <w:r>
              <w:rPr>
                <w:rFonts w:ascii="Times New Roman" w:hAnsi="Times New Roman" w:eastAsia="Times New Roman" w:cs="Times New Roman"/>
                <w:b/>
                <w:bCs/>
                <w:spacing w:val="-5"/>
              </w:rPr>
              <w:t>mg/m</w:t>
            </w:r>
            <w:r>
              <w:rPr>
                <w:rFonts w:ascii="Times New Roman" w:hAnsi="Times New Roman" w:eastAsia="Times New Roman" w:cs="Times New Roman"/>
                <w:sz w:val="13"/>
                <w:szCs w:val="13"/>
                <w:b/>
                <w:bCs/>
                <w:spacing w:val="-5"/>
                <w:position w:val="9"/>
              </w:rPr>
              <w:t>3</w:t>
            </w:r>
            <w:r>
              <w:rPr>
                <w:b/>
                <w:bCs/>
                <w:spacing w:val="-5"/>
              </w:rPr>
              <w:t>）</w:t>
            </w:r>
          </w:p>
        </w:tc>
        <w:tc>
          <w:tcPr>
            <w:tcW w:w="3668" w:type="dxa"/>
            <w:vAlign w:val="top"/>
            <w:tcBorders>
              <w:top w:val="single" w:color="000000" w:sz="10" w:space="0"/>
              <w:right w:val="nil"/>
            </w:tcBorders>
          </w:tcPr>
          <w:p>
            <w:pPr>
              <w:pStyle w:val="TableText"/>
              <w:ind w:left="1418"/>
              <w:spacing w:before="169" w:line="221" w:lineRule="auto"/>
              <w:rPr/>
            </w:pPr>
            <w:r>
              <w:rPr>
                <w:b/>
                <w:bCs/>
                <w:spacing w:val="-4"/>
              </w:rPr>
              <w:t>执行标准</w:t>
            </w:r>
          </w:p>
        </w:tc>
      </w:tr>
      <w:tr>
        <w:trPr>
          <w:trHeight w:val="241" w:hRule="atLeast"/>
        </w:trPr>
        <w:tc>
          <w:tcPr>
            <w:tcW w:w="520" w:type="dxa"/>
            <w:vAlign w:val="top"/>
            <w:vMerge w:val="restart"/>
            <w:textDirection w:val="tbRlV"/>
            <w:tcBorders>
              <w:bottom w:val="nil"/>
              <w:left w:val="nil"/>
            </w:tcBorders>
          </w:tcPr>
          <w:p>
            <w:pPr>
              <w:pStyle w:val="TableText"/>
              <w:ind w:left="179"/>
              <w:spacing w:before="152" w:line="208" w:lineRule="auto"/>
              <w:rPr/>
            </w:pPr>
            <w:r>
              <w:rPr>
                <w:spacing w:val="42"/>
              </w:rPr>
              <w:t>无组织</w:t>
            </w:r>
          </w:p>
        </w:tc>
        <w:tc>
          <w:tcPr>
            <w:tcW w:w="1232" w:type="dxa"/>
            <w:vAlign w:val="top"/>
          </w:tcPr>
          <w:p>
            <w:pPr>
              <w:ind w:left="445"/>
              <w:spacing w:before="55" w:line="17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752" w:type="dxa"/>
            <w:vAlign w:val="top"/>
            <w:vMerge w:val="restart"/>
            <w:tcBorders>
              <w:bottom w:val="nil"/>
            </w:tcBorders>
          </w:tcPr>
          <w:p>
            <w:pPr>
              <w:pStyle w:val="TableText"/>
              <w:ind w:left="564"/>
              <w:spacing w:before="175" w:line="221" w:lineRule="auto"/>
              <w:rPr/>
            </w:pPr>
            <w:r>
              <w:rPr>
                <w:spacing w:val="-2"/>
              </w:rPr>
              <w:t>无组织</w:t>
            </w:r>
          </w:p>
        </w:tc>
        <w:tc>
          <w:tcPr>
            <w:tcW w:w="1546" w:type="dxa"/>
            <w:vAlign w:val="top"/>
          </w:tcPr>
          <w:p>
            <w:pPr>
              <w:ind w:left="591"/>
              <w:spacing w:before="51"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3668" w:type="dxa"/>
            <w:vAlign w:val="top"/>
            <w:vMerge w:val="restart"/>
            <w:tcBorders>
              <w:right w:val="nil"/>
              <w:bottom w:val="nil"/>
            </w:tcBorders>
          </w:tcPr>
          <w:p>
            <w:pPr>
              <w:pStyle w:val="TableText"/>
              <w:ind w:left="578" w:right="135" w:hanging="443"/>
              <w:spacing w:before="37" w:line="217" w:lineRule="auto"/>
              <w:rPr/>
            </w:pPr>
            <w:r>
              <w:rPr>
                <w:rFonts w:ascii="Times New Roman" w:hAnsi="Times New Roman" w:eastAsia="Times New Roman" w:cs="Times New Roman"/>
                <w:spacing w:val="-1"/>
              </w:rPr>
              <w:t>GB14554-93</w:t>
            </w:r>
            <w:r>
              <w:rPr>
                <w:spacing w:val="-1"/>
              </w:rPr>
              <w:t>《恶臭污染物排放标准》</w:t>
            </w:r>
            <w:r>
              <w:rPr>
                <w:spacing w:val="-1"/>
              </w:rPr>
              <w:t>恶臭污染物厂界标准值二级</w:t>
            </w:r>
          </w:p>
        </w:tc>
      </w:tr>
      <w:tr>
        <w:trPr>
          <w:trHeight w:val="295" w:hRule="atLeast"/>
        </w:trPr>
        <w:tc>
          <w:tcPr>
            <w:tcW w:w="520" w:type="dxa"/>
            <w:vAlign w:val="top"/>
            <w:vMerge w:val="continue"/>
            <w:textDirection w:val="tbRlV"/>
            <w:tcBorders>
              <w:bottom w:val="nil"/>
              <w:left w:val="nil"/>
              <w:top w:val="nil"/>
            </w:tcBorders>
          </w:tcPr>
          <w:p>
            <w:pPr>
              <w:rPr>
                <w:rFonts w:ascii="Arial"/>
                <w:sz w:val="21"/>
              </w:rPr>
            </w:pPr>
            <w:r/>
          </w:p>
        </w:tc>
        <w:tc>
          <w:tcPr>
            <w:tcW w:w="1232" w:type="dxa"/>
            <w:vAlign w:val="top"/>
          </w:tcPr>
          <w:p>
            <w:pPr>
              <w:ind w:left="422"/>
              <w:spacing w:before="88" w:line="19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752" w:type="dxa"/>
            <w:vAlign w:val="top"/>
            <w:vMerge w:val="continue"/>
            <w:tcBorders>
              <w:top w:val="nil"/>
            </w:tcBorders>
          </w:tcPr>
          <w:p>
            <w:pPr>
              <w:rPr>
                <w:rFonts w:ascii="Arial"/>
                <w:sz w:val="21"/>
              </w:rPr>
            </w:pPr>
            <w:r/>
          </w:p>
        </w:tc>
        <w:tc>
          <w:tcPr>
            <w:tcW w:w="1546" w:type="dxa"/>
            <w:vAlign w:val="top"/>
          </w:tcPr>
          <w:p>
            <w:pPr>
              <w:ind w:left="661"/>
              <w:spacing w:before="8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3668" w:type="dxa"/>
            <w:vAlign w:val="top"/>
            <w:vMerge w:val="continue"/>
            <w:tcBorders>
              <w:right w:val="nil"/>
              <w:top w:val="nil"/>
            </w:tcBorders>
          </w:tcPr>
          <w:p>
            <w:pPr>
              <w:rPr>
                <w:rFonts w:ascii="Arial"/>
                <w:sz w:val="21"/>
              </w:rPr>
            </w:pPr>
            <w:r/>
          </w:p>
        </w:tc>
      </w:tr>
      <w:tr>
        <w:trPr>
          <w:trHeight w:val="565" w:hRule="atLeast"/>
        </w:trPr>
        <w:tc>
          <w:tcPr>
            <w:tcW w:w="520" w:type="dxa"/>
            <w:vAlign w:val="top"/>
            <w:vMerge w:val="continue"/>
            <w:textDirection w:val="tbRlV"/>
            <w:tcBorders>
              <w:bottom w:val="single" w:color="000000" w:sz="10" w:space="0"/>
              <w:left w:val="nil"/>
              <w:top w:val="nil"/>
            </w:tcBorders>
          </w:tcPr>
          <w:p>
            <w:pPr>
              <w:rPr>
                <w:rFonts w:ascii="Arial"/>
                <w:sz w:val="21"/>
              </w:rPr>
            </w:pPr>
            <w:r/>
          </w:p>
        </w:tc>
        <w:tc>
          <w:tcPr>
            <w:tcW w:w="1232" w:type="dxa"/>
            <w:vAlign w:val="top"/>
            <w:tcBorders>
              <w:bottom w:val="single" w:color="000000" w:sz="10" w:space="0"/>
            </w:tcBorders>
          </w:tcPr>
          <w:p>
            <w:pPr>
              <w:pStyle w:val="TableText"/>
              <w:ind w:left="120" w:right="83" w:firstLine="80"/>
              <w:spacing w:before="47" w:line="223" w:lineRule="auto"/>
              <w:rPr/>
            </w:pPr>
            <w:r>
              <w:rPr>
                <w:spacing w:val="-2"/>
              </w:rPr>
              <w:t>臭气浓度</w:t>
            </w:r>
            <w:r>
              <w:rPr>
                <w:spacing w:val="-6"/>
              </w:rPr>
              <w:t>（无量纲）</w:t>
            </w:r>
          </w:p>
        </w:tc>
        <w:tc>
          <w:tcPr>
            <w:tcW w:w="3298" w:type="dxa"/>
            <w:vAlign w:val="top"/>
            <w:gridSpan w:val="2"/>
            <w:tcBorders>
              <w:bottom w:val="single" w:color="000000" w:sz="10" w:space="0"/>
            </w:tcBorders>
          </w:tcPr>
          <w:p>
            <w:pPr>
              <w:ind w:left="1546"/>
              <w:spacing w:before="21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3668" w:type="dxa"/>
            <w:vAlign w:val="top"/>
            <w:tcBorders>
              <w:bottom w:val="single" w:color="000000" w:sz="10" w:space="0"/>
              <w:right w:val="nil"/>
            </w:tcBorders>
          </w:tcPr>
          <w:p>
            <w:pPr>
              <w:pStyle w:val="TableText"/>
              <w:ind w:left="135"/>
              <w:spacing w:before="47" w:line="234" w:lineRule="auto"/>
              <w:rPr/>
            </w:pPr>
            <w:r>
              <w:rPr>
                <w:rFonts w:ascii="Times New Roman" w:hAnsi="Times New Roman" w:eastAsia="Times New Roman" w:cs="Times New Roman"/>
                <w:spacing w:val="-1"/>
              </w:rPr>
              <w:t>GB18596-2001</w:t>
            </w:r>
            <w:r>
              <w:rPr>
                <w:spacing w:val="-1"/>
              </w:rPr>
              <w:t>《畜禽养殖业污染物排</w:t>
            </w:r>
          </w:p>
          <w:p>
            <w:pPr>
              <w:pStyle w:val="TableText"/>
              <w:ind w:left="1130"/>
              <w:spacing w:before="4" w:line="208" w:lineRule="auto"/>
              <w:rPr>
                <w:rFonts w:ascii="Times New Roman" w:hAnsi="Times New Roman" w:eastAsia="Times New Roman" w:cs="Times New Roman"/>
              </w:rPr>
            </w:pPr>
            <w:r>
              <w:rPr>
                <w:spacing w:val="-1"/>
              </w:rPr>
              <w:t>放标准》中表</w:t>
            </w:r>
            <w:r>
              <w:rPr>
                <w:spacing w:val="-45"/>
              </w:rPr>
              <w:t xml:space="preserve"> </w:t>
            </w:r>
            <w:r>
              <w:rPr>
                <w:rFonts w:ascii="Times New Roman" w:hAnsi="Times New Roman" w:eastAsia="Times New Roman" w:cs="Times New Roman"/>
                <w:spacing w:val="-1"/>
              </w:rPr>
              <w:t>7</w:t>
            </w:r>
          </w:p>
        </w:tc>
      </w:tr>
    </w:tbl>
    <w:p>
      <w:pPr>
        <w:ind w:left="609"/>
        <w:spacing w:before="33" w:line="217" w:lineRule="auto"/>
        <w:rPr>
          <w:rFonts w:ascii="SimSun" w:hAnsi="SimSun" w:eastAsia="SimSun" w:cs="SimSun"/>
          <w:sz w:val="24"/>
          <w:szCs w:val="24"/>
        </w:rPr>
      </w:pPr>
      <w:r>
        <w:rPr>
          <w:rFonts w:ascii="SimSun" w:hAnsi="SimSun" w:eastAsia="SimSun" w:cs="SimSun"/>
          <w:sz w:val="24"/>
          <w:szCs w:val="24"/>
          <w:spacing w:val="-2"/>
        </w:rPr>
        <w:t>②食堂油烟</w:t>
      </w:r>
    </w:p>
    <w:p>
      <w:pPr>
        <w:ind w:left="130" w:right="121" w:firstLine="480"/>
        <w:spacing w:before="185" w:line="342" w:lineRule="auto"/>
        <w:rPr>
          <w:rFonts w:ascii="SimSun" w:hAnsi="SimSun" w:eastAsia="SimSun" w:cs="SimSun"/>
          <w:sz w:val="24"/>
          <w:szCs w:val="24"/>
        </w:rPr>
      </w:pPr>
      <w:r>
        <w:rPr>
          <w:rFonts w:ascii="SimSun" w:hAnsi="SimSun" w:eastAsia="SimSun" w:cs="SimSun"/>
          <w:sz w:val="24"/>
          <w:szCs w:val="24"/>
        </w:rPr>
        <w:t>食堂油烟执行 </w:t>
      </w:r>
      <w:r>
        <w:rPr>
          <w:rFonts w:ascii="Times New Roman" w:hAnsi="Times New Roman" w:eastAsia="Times New Roman" w:cs="Times New Roman"/>
          <w:sz w:val="24"/>
          <w:szCs w:val="24"/>
        </w:rPr>
        <w:t>GB18483—2001</w:t>
      </w:r>
      <w:r>
        <w:rPr>
          <w:rFonts w:ascii="SimSun" w:hAnsi="SimSun" w:eastAsia="SimSun" w:cs="SimSun"/>
          <w:sz w:val="24"/>
          <w:szCs w:val="24"/>
        </w:rPr>
        <w:t>《饮食业油烟排放</w:t>
      </w:r>
      <w:r>
        <w:rPr>
          <w:rFonts w:ascii="SimSun" w:hAnsi="SimSun" w:eastAsia="SimSun" w:cs="SimSun"/>
          <w:sz w:val="24"/>
          <w:szCs w:val="24"/>
          <w:spacing w:val="-1"/>
        </w:rPr>
        <w:t>标准》中的最高允许排放浓</w:t>
      </w:r>
      <w:r>
        <w:rPr>
          <w:rFonts w:ascii="SimSun" w:hAnsi="SimSun" w:eastAsia="SimSun" w:cs="SimSun"/>
          <w:sz w:val="24"/>
          <w:szCs w:val="24"/>
          <w:spacing w:val="-3"/>
        </w:rPr>
        <w:t>度</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3"/>
        </w:rPr>
        <w:t>2mg/m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16"/>
          <w:szCs w:val="16"/>
          <w:spacing w:val="28"/>
          <w:w w:val="102"/>
          <w:position w:val="10"/>
        </w:rPr>
        <w:t xml:space="preserve"> </w:t>
      </w:r>
      <w:r>
        <w:rPr>
          <w:rFonts w:ascii="SimSun" w:hAnsi="SimSun" w:eastAsia="SimSun" w:cs="SimSun"/>
          <w:sz w:val="24"/>
          <w:szCs w:val="24"/>
          <w:spacing w:val="-3"/>
        </w:rPr>
        <w:t>限值要求，详见表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2-9</w:t>
      </w:r>
      <w:r>
        <w:rPr>
          <w:rFonts w:ascii="SimSun" w:hAnsi="SimSun" w:eastAsia="SimSun" w:cs="SimSun"/>
          <w:sz w:val="24"/>
          <w:szCs w:val="24"/>
          <w:spacing w:val="-3"/>
        </w:rPr>
        <w:t>。</w:t>
      </w:r>
    </w:p>
    <w:p>
      <w:pPr>
        <w:ind w:left="2898"/>
        <w:spacing w:before="39" w:line="234"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2-9    </w:t>
      </w:r>
      <w:r>
        <w:rPr>
          <w:rFonts w:ascii="SimSun" w:hAnsi="SimSun" w:eastAsia="SimSun" w:cs="SimSun"/>
          <w:sz w:val="24"/>
          <w:szCs w:val="24"/>
          <w:b/>
          <w:bCs/>
          <w:spacing w:val="-2"/>
        </w:rPr>
        <w:t>大气污染物排放标准</w:t>
      </w:r>
    </w:p>
    <w:p>
      <w:pPr>
        <w:spacing w:line="128"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5"/>
        <w:gridCol w:w="2143"/>
        <w:gridCol w:w="516"/>
        <w:gridCol w:w="2176"/>
        <w:gridCol w:w="2915"/>
      </w:tblGrid>
      <w:tr>
        <w:trPr>
          <w:trHeight w:val="228" w:hRule="atLeast"/>
        </w:trPr>
        <w:tc>
          <w:tcPr>
            <w:tcW w:w="985" w:type="dxa"/>
            <w:vAlign w:val="top"/>
            <w:vMerge w:val="restart"/>
            <w:tcBorders>
              <w:left w:val="nil"/>
              <w:top w:val="single" w:color="000000" w:sz="10" w:space="0"/>
              <w:bottom w:val="nil"/>
            </w:tcBorders>
          </w:tcPr>
          <w:p>
            <w:pPr>
              <w:pStyle w:val="TableText"/>
              <w:ind w:left="299" w:right="166" w:hanging="107"/>
              <w:spacing w:before="19" w:line="198" w:lineRule="auto"/>
              <w:rPr/>
            </w:pPr>
            <w:r>
              <w:rPr>
                <w:b/>
                <w:bCs/>
                <w:spacing w:val="-5"/>
              </w:rPr>
              <w:t>污染物</w:t>
            </w:r>
            <w:r>
              <w:rPr>
                <w:b/>
                <w:bCs/>
                <w:spacing w:val="-5"/>
              </w:rPr>
              <w:t>项目</w:t>
            </w:r>
          </w:p>
        </w:tc>
        <w:tc>
          <w:tcPr>
            <w:tcW w:w="2143" w:type="dxa"/>
            <w:vAlign w:val="top"/>
            <w:tcBorders>
              <w:bottom w:val="nil"/>
              <w:top w:val="single" w:color="000000" w:sz="10" w:space="0"/>
            </w:tcBorders>
          </w:tcPr>
          <w:p>
            <w:pPr>
              <w:pStyle w:val="TableText"/>
              <w:ind w:left="131"/>
              <w:spacing w:before="18" w:line="175" w:lineRule="auto"/>
              <w:rPr/>
            </w:pPr>
            <w:r>
              <w:rPr>
                <w:b/>
                <w:bCs/>
                <w:spacing w:val="5"/>
              </w:rPr>
              <w:t>最高允许排放浓度(</w:t>
            </w:r>
          </w:p>
        </w:tc>
        <w:tc>
          <w:tcPr>
            <w:tcW w:w="516" w:type="dxa"/>
            <w:vAlign w:val="top"/>
            <w:tcBorders>
              <w:bottom w:val="nil"/>
              <w:top w:val="single" w:color="000000" w:sz="10" w:space="0"/>
            </w:tcBorders>
          </w:tcPr>
          <w:p>
            <w:pPr>
              <w:pStyle w:val="TableText"/>
              <w:ind w:left="159"/>
              <w:spacing w:before="18" w:line="175" w:lineRule="auto"/>
              <w:rPr/>
            </w:pPr>
            <w:r>
              <w:rPr>
                <w:b/>
                <w:bCs/>
                <w:spacing w:val="-3"/>
              </w:rPr>
              <w:t>规</w:t>
            </w:r>
          </w:p>
        </w:tc>
        <w:tc>
          <w:tcPr>
            <w:tcW w:w="2176" w:type="dxa"/>
            <w:vAlign w:val="top"/>
            <w:tcBorders>
              <w:bottom w:val="nil"/>
              <w:top w:val="single" w:color="000000" w:sz="10" w:space="0"/>
            </w:tcBorders>
          </w:tcPr>
          <w:p>
            <w:pPr>
              <w:pStyle w:val="TableText"/>
              <w:ind w:left="151"/>
              <w:spacing w:before="18" w:line="175" w:lineRule="auto"/>
              <w:rPr/>
            </w:pPr>
            <w:r>
              <w:rPr>
                <w:b/>
                <w:bCs/>
                <w:spacing w:val="-3"/>
              </w:rPr>
              <w:t>净化设施最大处理效</w:t>
            </w:r>
          </w:p>
        </w:tc>
        <w:tc>
          <w:tcPr>
            <w:tcW w:w="2915" w:type="dxa"/>
            <w:vAlign w:val="top"/>
            <w:vMerge w:val="restart"/>
            <w:tcBorders>
              <w:right w:val="nil"/>
              <w:top w:val="single" w:color="000000" w:sz="10" w:space="0"/>
              <w:bottom w:val="nil"/>
            </w:tcBorders>
          </w:tcPr>
          <w:p>
            <w:pPr>
              <w:pStyle w:val="TableText"/>
              <w:ind w:left="1044"/>
              <w:spacing w:before="141" w:line="221" w:lineRule="auto"/>
              <w:rPr/>
            </w:pPr>
            <w:r>
              <w:rPr>
                <w:b/>
                <w:bCs/>
                <w:spacing w:val="-4"/>
              </w:rPr>
              <w:t>执行标准</w:t>
            </w:r>
          </w:p>
        </w:tc>
      </w:tr>
      <w:tr>
        <w:trPr>
          <w:trHeight w:val="252" w:hRule="atLeast"/>
        </w:trPr>
        <w:tc>
          <w:tcPr>
            <w:tcW w:w="985" w:type="dxa"/>
            <w:vAlign w:val="top"/>
            <w:vMerge w:val="continue"/>
            <w:tcBorders>
              <w:left w:val="nil"/>
              <w:top w:val="nil"/>
            </w:tcBorders>
          </w:tcPr>
          <w:p>
            <w:pPr>
              <w:rPr>
                <w:rFonts w:ascii="Arial"/>
                <w:sz w:val="21"/>
              </w:rPr>
            </w:pPr>
            <w:r/>
          </w:p>
        </w:tc>
        <w:tc>
          <w:tcPr>
            <w:tcW w:w="2143" w:type="dxa"/>
            <w:vAlign w:val="top"/>
            <w:tcBorders>
              <w:top w:val="nil"/>
            </w:tcBorders>
          </w:tcPr>
          <w:p>
            <w:pPr>
              <w:pStyle w:val="TableText"/>
              <w:ind w:left="678"/>
              <w:spacing w:before="20" w:line="195" w:lineRule="auto"/>
              <w:rPr/>
            </w:pPr>
            <w:r>
              <w:rPr>
                <w:rFonts w:ascii="Times New Roman" w:hAnsi="Times New Roman" w:eastAsia="Times New Roman" w:cs="Times New Roman"/>
                <w:b/>
                <w:bCs/>
                <w:spacing w:val="-2"/>
              </w:rPr>
              <w:t>mg/m</w:t>
            </w:r>
            <w:r>
              <w:rPr>
                <w:rFonts w:ascii="Times New Roman" w:hAnsi="Times New Roman" w:eastAsia="Times New Roman" w:cs="Times New Roman"/>
                <w:sz w:val="13"/>
                <w:szCs w:val="13"/>
                <w:b/>
                <w:bCs/>
                <w:spacing w:val="-2"/>
                <w:position w:val="9"/>
              </w:rPr>
              <w:t>3</w:t>
            </w:r>
            <w:r>
              <w:rPr>
                <w:b/>
                <w:bCs/>
                <w:spacing w:val="-2"/>
              </w:rPr>
              <w:t>）</w:t>
            </w:r>
          </w:p>
        </w:tc>
        <w:tc>
          <w:tcPr>
            <w:tcW w:w="516" w:type="dxa"/>
            <w:vAlign w:val="top"/>
            <w:tcBorders>
              <w:top w:val="nil"/>
            </w:tcBorders>
          </w:tcPr>
          <w:p>
            <w:pPr>
              <w:pStyle w:val="TableText"/>
              <w:ind w:left="158"/>
              <w:spacing w:before="33" w:line="183" w:lineRule="auto"/>
              <w:rPr/>
            </w:pPr>
            <w:r>
              <w:rPr>
                <w:b/>
                <w:bCs/>
                <w:spacing w:val="-3"/>
              </w:rPr>
              <w:t>模</w:t>
            </w:r>
          </w:p>
        </w:tc>
        <w:tc>
          <w:tcPr>
            <w:tcW w:w="2176" w:type="dxa"/>
            <w:vAlign w:val="top"/>
            <w:tcBorders>
              <w:top w:val="nil"/>
            </w:tcBorders>
          </w:tcPr>
          <w:p>
            <w:pPr>
              <w:pStyle w:val="TableText"/>
              <w:ind w:left="677"/>
              <w:spacing w:before="33" w:line="183" w:lineRule="auto"/>
              <w:rPr/>
            </w:pPr>
            <w:r>
              <w:rPr>
                <w:b/>
                <w:bCs/>
                <w:spacing w:val="-4"/>
              </w:rPr>
              <w:t>率（</w:t>
            </w:r>
            <w:r>
              <w:rPr>
                <w:rFonts w:ascii="Times New Roman" w:hAnsi="Times New Roman" w:eastAsia="Times New Roman" w:cs="Times New Roman"/>
                <w:b/>
                <w:bCs/>
                <w:spacing w:val="-4"/>
              </w:rPr>
              <w:t>%</w:t>
            </w:r>
            <w:r>
              <w:rPr>
                <w:b/>
                <w:bCs/>
                <w:spacing w:val="-4"/>
              </w:rPr>
              <w:t>）</w:t>
            </w:r>
          </w:p>
        </w:tc>
        <w:tc>
          <w:tcPr>
            <w:tcW w:w="2915" w:type="dxa"/>
            <w:vAlign w:val="top"/>
            <w:vMerge w:val="continue"/>
            <w:tcBorders>
              <w:right w:val="nil"/>
              <w:top w:val="nil"/>
            </w:tcBorders>
          </w:tcPr>
          <w:p>
            <w:pPr>
              <w:rPr>
                <w:rFonts w:ascii="Arial"/>
                <w:sz w:val="21"/>
              </w:rPr>
            </w:pPr>
            <w:r/>
          </w:p>
        </w:tc>
      </w:tr>
      <w:tr>
        <w:trPr>
          <w:trHeight w:val="501" w:hRule="atLeast"/>
        </w:trPr>
        <w:tc>
          <w:tcPr>
            <w:tcW w:w="985" w:type="dxa"/>
            <w:vAlign w:val="top"/>
            <w:tcBorders>
              <w:left w:val="nil"/>
              <w:bottom w:val="single" w:color="000000" w:sz="10" w:space="0"/>
            </w:tcBorders>
          </w:tcPr>
          <w:p>
            <w:pPr>
              <w:pStyle w:val="TableText"/>
              <w:ind w:left="402" w:right="166" w:hanging="212"/>
              <w:spacing w:before="22" w:line="206" w:lineRule="auto"/>
              <w:rPr/>
            </w:pPr>
            <w:r>
              <w:rPr>
                <w:spacing w:val="-2"/>
              </w:rPr>
              <w:t>食堂油</w:t>
            </w:r>
            <w:r>
              <w:rPr/>
              <w:t>烟</w:t>
            </w:r>
          </w:p>
        </w:tc>
        <w:tc>
          <w:tcPr>
            <w:tcW w:w="2143" w:type="dxa"/>
            <w:vAlign w:val="top"/>
            <w:tcBorders>
              <w:bottom w:val="single" w:color="000000" w:sz="10" w:space="0"/>
            </w:tcBorders>
          </w:tcPr>
          <w:p>
            <w:pPr>
              <w:ind w:left="942"/>
              <w:spacing w:before="17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516" w:type="dxa"/>
            <w:vAlign w:val="top"/>
            <w:tcBorders>
              <w:bottom w:val="single" w:color="000000" w:sz="10" w:space="0"/>
            </w:tcBorders>
          </w:tcPr>
          <w:p>
            <w:pPr>
              <w:pStyle w:val="TableText"/>
              <w:ind w:left="178"/>
              <w:spacing w:before="21" w:line="213" w:lineRule="auto"/>
              <w:rPr/>
            </w:pPr>
            <w:r>
              <w:rPr/>
              <w:t>中</w:t>
            </w:r>
          </w:p>
          <w:p>
            <w:pPr>
              <w:pStyle w:val="TableText"/>
              <w:ind w:left="165"/>
              <w:spacing w:line="199" w:lineRule="auto"/>
              <w:rPr/>
            </w:pPr>
            <w:r>
              <w:rPr/>
              <w:t>型</w:t>
            </w:r>
          </w:p>
        </w:tc>
        <w:tc>
          <w:tcPr>
            <w:tcW w:w="2176" w:type="dxa"/>
            <w:vAlign w:val="top"/>
            <w:tcBorders>
              <w:bottom w:val="single" w:color="000000" w:sz="10" w:space="0"/>
            </w:tcBorders>
          </w:tcPr>
          <w:p>
            <w:pPr>
              <w:ind w:left="990"/>
              <w:spacing w:before="17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2915" w:type="dxa"/>
            <w:vAlign w:val="top"/>
            <w:tcBorders>
              <w:right w:val="nil"/>
              <w:bottom w:val="single" w:color="000000" w:sz="10" w:space="0"/>
            </w:tcBorders>
          </w:tcPr>
          <w:p>
            <w:pPr>
              <w:pStyle w:val="TableText"/>
              <w:ind w:left="835" w:right="228" w:hanging="620"/>
              <w:spacing w:before="22" w:line="206" w:lineRule="auto"/>
              <w:rPr/>
            </w:pPr>
            <w:r>
              <w:rPr>
                <w:rFonts w:ascii="Times New Roman" w:hAnsi="Times New Roman" w:eastAsia="Times New Roman" w:cs="Times New Roman"/>
                <w:spacing w:val="-2"/>
              </w:rPr>
              <w:t>GB18483—2001</w:t>
            </w:r>
            <w:r>
              <w:rPr>
                <w:spacing w:val="-2"/>
              </w:rPr>
              <w:t>《饮食业油</w:t>
            </w:r>
            <w:r>
              <w:rPr>
                <w:spacing w:val="-1"/>
              </w:rPr>
              <w:t>烟排放标准》</w:t>
            </w:r>
          </w:p>
        </w:tc>
      </w:tr>
    </w:tbl>
    <w:p>
      <w:pPr>
        <w:ind w:left="609"/>
        <w:spacing w:before="34" w:line="217" w:lineRule="auto"/>
        <w:rPr>
          <w:rFonts w:ascii="SimSun" w:hAnsi="SimSun" w:eastAsia="SimSun" w:cs="SimSun"/>
          <w:sz w:val="24"/>
          <w:szCs w:val="24"/>
        </w:rPr>
      </w:pPr>
      <w:r>
        <w:rPr>
          <w:rFonts w:ascii="SimSun" w:hAnsi="SimSun" w:eastAsia="SimSun" w:cs="SimSun"/>
          <w:sz w:val="24"/>
          <w:szCs w:val="24"/>
          <w:spacing w:val="-2"/>
        </w:rPr>
        <w:t>③施工期扬尘</w:t>
      </w:r>
    </w:p>
    <w:p>
      <w:pPr>
        <w:ind w:left="610"/>
        <w:spacing w:before="185" w:line="233" w:lineRule="auto"/>
        <w:rPr>
          <w:rFonts w:ascii="SimSun" w:hAnsi="SimSun" w:eastAsia="SimSun" w:cs="SimSun"/>
          <w:sz w:val="24"/>
          <w:szCs w:val="24"/>
        </w:rPr>
      </w:pPr>
      <w:r>
        <w:pict>
          <v:shape id="_x0000_s90" style="position:absolute;margin-left:6.36601pt;margin-top:41.5867pt;mso-position-vertical-relative:text;mso-position-horizontal-relative:text;width:425.7pt;height:0.6pt;z-index:251685888;" filled="false" strokecolor="#808080" strokeweight="0.50pt" coordsize="8514,12" coordorigin="0,0" path="m5,5l8508,6e">
            <v:stroke endcap="round" miterlimit="10"/>
          </v:shape>
        </w:pict>
      </w:r>
      <w:r>
        <w:rPr>
          <w:rFonts w:ascii="SimSun" w:hAnsi="SimSun" w:eastAsia="SimSun" w:cs="SimSun"/>
          <w:sz w:val="24"/>
          <w:szCs w:val="24"/>
        </w:rPr>
        <w:t>施工期颗粒物采用《大气污染物综合排放标准》（</w:t>
      </w:r>
      <w:r>
        <w:rPr>
          <w:rFonts w:ascii="Times New Roman" w:hAnsi="Times New Roman" w:eastAsia="Times New Roman" w:cs="Times New Roman"/>
          <w:sz w:val="24"/>
          <w:szCs w:val="24"/>
        </w:rPr>
        <w:t>GB1</w:t>
      </w:r>
      <w:r>
        <w:rPr>
          <w:rFonts w:ascii="Times New Roman" w:hAnsi="Times New Roman" w:eastAsia="Times New Roman" w:cs="Times New Roman"/>
          <w:sz w:val="24"/>
          <w:szCs w:val="24"/>
          <w:spacing w:val="-1"/>
        </w:rPr>
        <w:t>6297-1996</w:t>
      </w:r>
      <w:r>
        <w:rPr>
          <w:rFonts w:ascii="SimSun" w:hAnsi="SimSun" w:eastAsia="SimSun" w:cs="SimSun"/>
          <w:sz w:val="24"/>
          <w:szCs w:val="24"/>
          <w:spacing w:val="-1"/>
        </w:rPr>
        <w:t>）中表</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58"/>
          <w:w w:val="101"/>
        </w:rPr>
        <w:t xml:space="preserve"> </w:t>
      </w:r>
      <w:r>
        <w:rPr>
          <w:rFonts w:ascii="SimSun" w:hAnsi="SimSun" w:eastAsia="SimSun" w:cs="SimSun"/>
          <w:sz w:val="24"/>
          <w:szCs w:val="24"/>
          <w:spacing w:val="-1"/>
        </w:rPr>
        <w:t>中</w:t>
      </w:r>
    </w:p>
    <w:p>
      <w:pPr>
        <w:spacing w:line="233" w:lineRule="auto"/>
        <w:sectPr>
          <w:headerReference w:type="default" r:id="rId48"/>
          <w:footerReference w:type="default" r:id="rId49"/>
          <w:pgSz w:w="11907" w:h="16839"/>
          <w:pgMar w:top="1422" w:right="1591" w:bottom="1618" w:left="1579" w:header="1033" w:footer="1417" w:gutter="0"/>
        </w:sectPr>
        <w:rPr>
          <w:rFonts w:ascii="SimSun" w:hAnsi="SimSun" w:eastAsia="SimSun" w:cs="SimSun"/>
          <w:sz w:val="24"/>
          <w:szCs w:val="24"/>
        </w:rPr>
      </w:pPr>
    </w:p>
    <w:p>
      <w:pPr>
        <w:ind w:left="132"/>
        <w:spacing w:before="313" w:line="233" w:lineRule="auto"/>
        <w:rPr>
          <w:rFonts w:ascii="SimSun" w:hAnsi="SimSun" w:eastAsia="SimSun" w:cs="SimSun"/>
          <w:sz w:val="24"/>
          <w:szCs w:val="24"/>
        </w:rPr>
      </w:pPr>
      <w:r>
        <w:rPr>
          <w:rFonts w:ascii="SimSun" w:hAnsi="SimSun" w:eastAsia="SimSun" w:cs="SimSun"/>
          <w:sz w:val="24"/>
          <w:szCs w:val="24"/>
          <w:spacing w:val="-3"/>
        </w:rPr>
        <w:t>标准限值，详见表</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3"/>
        </w:rPr>
        <w:t>2-10</w:t>
      </w:r>
      <w:r>
        <w:rPr>
          <w:rFonts w:ascii="SimSun" w:hAnsi="SimSun" w:eastAsia="SimSun" w:cs="SimSun"/>
          <w:sz w:val="24"/>
          <w:szCs w:val="24"/>
          <w:spacing w:val="-3"/>
        </w:rPr>
        <w:t>。</w:t>
      </w:r>
    </w:p>
    <w:p>
      <w:pPr>
        <w:ind w:left="2204"/>
        <w:spacing w:before="162"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2"/>
        </w:rPr>
        <w:t>2-10    </w:t>
      </w:r>
      <w:r>
        <w:rPr>
          <w:rFonts w:ascii="SimSun" w:hAnsi="SimSun" w:eastAsia="SimSun" w:cs="SimSun"/>
          <w:sz w:val="24"/>
          <w:szCs w:val="24"/>
          <w:b/>
          <w:bCs/>
          <w:spacing w:val="-2"/>
        </w:rPr>
        <w:t>建筑施工场界环境噪声排放标准</w:t>
      </w:r>
    </w:p>
    <w:p>
      <w:pPr>
        <w:spacing w:line="129" w:lineRule="exact"/>
        <w:rPr/>
      </w:pPr>
      <w:r/>
    </w:p>
    <w:tbl>
      <w:tblPr>
        <w:tblStyle w:val="TableNormal"/>
        <w:tblW w:w="866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2"/>
        <w:gridCol w:w="3867"/>
        <w:gridCol w:w="2674"/>
      </w:tblGrid>
      <w:tr>
        <w:trPr>
          <w:trHeight w:val="281" w:hRule="atLeast"/>
        </w:trPr>
        <w:tc>
          <w:tcPr>
            <w:tcW w:w="2122" w:type="dxa"/>
            <w:vAlign w:val="top"/>
            <w:tcBorders>
              <w:top w:val="single" w:color="000000" w:sz="10" w:space="0"/>
              <w:left w:val="nil"/>
            </w:tcBorders>
          </w:tcPr>
          <w:p>
            <w:pPr>
              <w:pStyle w:val="TableText"/>
              <w:ind w:left="761"/>
              <w:spacing w:before="37" w:line="205" w:lineRule="auto"/>
              <w:rPr/>
            </w:pPr>
            <w:r>
              <w:rPr>
                <w:b/>
                <w:bCs/>
                <w:spacing w:val="-4"/>
              </w:rPr>
              <w:t>污染物</w:t>
            </w:r>
          </w:p>
        </w:tc>
        <w:tc>
          <w:tcPr>
            <w:tcW w:w="3867" w:type="dxa"/>
            <w:vAlign w:val="top"/>
            <w:tcBorders>
              <w:top w:val="single" w:color="000000" w:sz="10" w:space="0"/>
            </w:tcBorders>
          </w:tcPr>
          <w:p>
            <w:pPr>
              <w:pStyle w:val="TableText"/>
              <w:ind w:left="1621"/>
              <w:spacing w:before="37" w:line="205" w:lineRule="auto"/>
              <w:rPr/>
            </w:pPr>
            <w:r>
              <w:rPr>
                <w:b/>
                <w:bCs/>
                <w:spacing w:val="-4"/>
              </w:rPr>
              <w:t>标准值</w:t>
            </w:r>
          </w:p>
        </w:tc>
        <w:tc>
          <w:tcPr>
            <w:tcW w:w="2674" w:type="dxa"/>
            <w:vAlign w:val="top"/>
            <w:tcBorders>
              <w:top w:val="single" w:color="000000" w:sz="10" w:space="0"/>
              <w:right w:val="nil"/>
            </w:tcBorders>
          </w:tcPr>
          <w:p>
            <w:pPr>
              <w:pStyle w:val="TableText"/>
              <w:ind w:left="920"/>
              <w:spacing w:before="37" w:line="205" w:lineRule="auto"/>
              <w:rPr/>
            </w:pPr>
            <w:r>
              <w:rPr>
                <w:b/>
                <w:bCs/>
                <w:spacing w:val="-4"/>
              </w:rPr>
              <w:t>执行标准</w:t>
            </w:r>
          </w:p>
        </w:tc>
      </w:tr>
      <w:tr>
        <w:trPr>
          <w:trHeight w:val="559" w:hRule="atLeast"/>
        </w:trPr>
        <w:tc>
          <w:tcPr>
            <w:tcW w:w="2122" w:type="dxa"/>
            <w:vAlign w:val="top"/>
            <w:tcBorders>
              <w:bottom w:val="single" w:color="000000" w:sz="10" w:space="0"/>
              <w:left w:val="nil"/>
            </w:tcBorders>
          </w:tcPr>
          <w:p>
            <w:pPr>
              <w:pStyle w:val="TableText"/>
              <w:ind w:left="758"/>
              <w:spacing w:before="175" w:line="221" w:lineRule="auto"/>
              <w:rPr/>
            </w:pPr>
            <w:r>
              <w:rPr>
                <w:spacing w:val="-1"/>
              </w:rPr>
              <w:t>颗粒物</w:t>
            </w:r>
          </w:p>
        </w:tc>
        <w:tc>
          <w:tcPr>
            <w:tcW w:w="3867" w:type="dxa"/>
            <w:vAlign w:val="top"/>
            <w:tcBorders>
              <w:bottom w:val="single" w:color="000000" w:sz="10" w:space="0"/>
            </w:tcBorders>
          </w:tcPr>
          <w:p>
            <w:pPr>
              <w:ind w:left="1541"/>
              <w:spacing w:before="152"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3"/>
              </w:rPr>
              <w:t>1.0mg/m</w:t>
            </w:r>
            <w:r>
              <w:rPr>
                <w:rFonts w:ascii="Times New Roman" w:hAnsi="Times New Roman" w:eastAsia="Times New Roman" w:cs="Times New Roman"/>
                <w:sz w:val="13"/>
                <w:szCs w:val="13"/>
                <w:spacing w:val="-3"/>
                <w:position w:val="9"/>
              </w:rPr>
              <w:t>3</w:t>
            </w:r>
          </w:p>
        </w:tc>
        <w:tc>
          <w:tcPr>
            <w:tcW w:w="2674" w:type="dxa"/>
            <w:vAlign w:val="top"/>
            <w:tcBorders>
              <w:bottom w:val="single" w:color="000000" w:sz="10" w:space="0"/>
              <w:right w:val="nil"/>
            </w:tcBorders>
          </w:tcPr>
          <w:p>
            <w:pPr>
              <w:pStyle w:val="TableText"/>
              <w:ind w:left="502" w:right="155" w:hanging="339"/>
              <w:spacing w:before="37" w:line="225" w:lineRule="auto"/>
              <w:rPr/>
            </w:pPr>
            <w:r>
              <w:rPr>
                <w:rFonts w:ascii="Times New Roman" w:hAnsi="Times New Roman" w:eastAsia="Times New Roman" w:cs="Times New Roman"/>
                <w:spacing w:val="-1"/>
              </w:rPr>
              <w:t>GB16297-1996</w:t>
            </w:r>
            <w:r>
              <w:rPr>
                <w:spacing w:val="-1"/>
              </w:rPr>
              <w:t>《大气污染</w:t>
            </w:r>
            <w:r>
              <w:rPr>
                <w:spacing w:val="-1"/>
              </w:rPr>
              <w:t>物综合排放标准》</w:t>
            </w:r>
          </w:p>
        </w:tc>
      </w:tr>
    </w:tbl>
    <w:p>
      <w:pPr>
        <w:ind w:left="618"/>
        <w:spacing w:before="33" w:line="234"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）噪声</w:t>
      </w:r>
    </w:p>
    <w:p>
      <w:pPr>
        <w:ind w:left="133" w:right="43" w:firstLine="477"/>
        <w:spacing w:before="160" w:line="360" w:lineRule="auto"/>
        <w:rPr>
          <w:rFonts w:ascii="SimSun" w:hAnsi="SimSun" w:eastAsia="SimSun" w:cs="SimSun"/>
          <w:sz w:val="24"/>
          <w:szCs w:val="24"/>
        </w:rPr>
      </w:pPr>
      <w:r>
        <w:rPr>
          <w:rFonts w:ascii="SimSun" w:hAnsi="SimSun" w:eastAsia="SimSun" w:cs="SimSun"/>
          <w:sz w:val="24"/>
          <w:szCs w:val="24"/>
          <w:spacing w:val="-5"/>
        </w:rPr>
        <w:t>施工期噪声采用</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5"/>
        </w:rPr>
        <w:t>GB12523-2011</w:t>
      </w:r>
      <w:r>
        <w:rPr>
          <w:rFonts w:ascii="SimSun" w:hAnsi="SimSun" w:eastAsia="SimSun" w:cs="SimSun"/>
          <w:sz w:val="24"/>
          <w:szCs w:val="24"/>
          <w:spacing w:val="-5"/>
        </w:rPr>
        <w:t>《建筑施工场界环境噪声排放标准》进行评价，</w:t>
      </w:r>
      <w:r>
        <w:rPr>
          <w:rFonts w:ascii="SimSun" w:hAnsi="SimSun" w:eastAsia="SimSun" w:cs="SimSun"/>
          <w:sz w:val="24"/>
          <w:szCs w:val="24"/>
          <w:spacing w:val="-1"/>
        </w:rPr>
        <w:t>详见表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2-11</w:t>
      </w:r>
      <w:r>
        <w:rPr>
          <w:rFonts w:ascii="SimSun" w:hAnsi="SimSun" w:eastAsia="SimSun" w:cs="SimSun"/>
          <w:sz w:val="24"/>
          <w:szCs w:val="24"/>
          <w:spacing w:val="-1"/>
        </w:rPr>
        <w:t>；运营期场界噪声执行</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GB12348-2008</w:t>
      </w:r>
      <w:r>
        <w:rPr>
          <w:rFonts w:ascii="SimSun" w:hAnsi="SimSun" w:eastAsia="SimSun" w:cs="SimSun"/>
          <w:sz w:val="24"/>
          <w:szCs w:val="24"/>
          <w:spacing w:val="-1"/>
        </w:rPr>
        <w:t>《工</w:t>
      </w:r>
      <w:r>
        <w:rPr>
          <w:rFonts w:ascii="SimSun" w:hAnsi="SimSun" w:eastAsia="SimSun" w:cs="SimSun"/>
          <w:sz w:val="24"/>
          <w:szCs w:val="24"/>
          <w:spacing w:val="-2"/>
        </w:rPr>
        <w:t>业企业厂界环境噪声排放标</w:t>
      </w:r>
      <w:r>
        <w:rPr>
          <w:rFonts w:ascii="SimSun" w:hAnsi="SimSun" w:eastAsia="SimSun" w:cs="SimSun"/>
          <w:sz w:val="24"/>
          <w:szCs w:val="24"/>
        </w:rPr>
        <w:t>准》中的</w:t>
      </w:r>
      <w:r>
        <w:rPr>
          <w:rFonts w:ascii="SimSun" w:hAnsi="SimSun" w:eastAsia="SimSun" w:cs="SimSun"/>
          <w:sz w:val="24"/>
          <w:szCs w:val="24"/>
          <w:spacing w:val="-16"/>
        </w:rPr>
        <w:t xml:space="preserve"> </w:t>
      </w:r>
      <w:r>
        <w:rPr>
          <w:rFonts w:ascii="Times New Roman" w:hAnsi="Times New Roman" w:eastAsia="Times New Roman" w:cs="Times New Roman"/>
          <w:sz w:val="24"/>
          <w:szCs w:val="24"/>
        </w:rPr>
        <w:t>1 </w:t>
      </w:r>
      <w:r>
        <w:rPr>
          <w:rFonts w:ascii="SimSun" w:hAnsi="SimSun" w:eastAsia="SimSun" w:cs="SimSun"/>
          <w:sz w:val="24"/>
          <w:szCs w:val="24"/>
        </w:rPr>
        <w:t>类区及</w:t>
      </w:r>
      <w:r>
        <w:rPr>
          <w:rFonts w:ascii="SimSun" w:hAnsi="SimSun" w:eastAsia="SimSun" w:cs="SimSun"/>
          <w:sz w:val="24"/>
          <w:szCs w:val="24"/>
          <w:spacing w:val="-57"/>
        </w:rPr>
        <w:t xml:space="preserve"> </w:t>
      </w:r>
      <w:r>
        <w:rPr>
          <w:rFonts w:ascii="Times New Roman" w:hAnsi="Times New Roman" w:eastAsia="Times New Roman" w:cs="Times New Roman"/>
          <w:sz w:val="24"/>
          <w:szCs w:val="24"/>
        </w:rPr>
        <w:t>4 </w:t>
      </w:r>
      <w:r>
        <w:rPr>
          <w:rFonts w:ascii="SimSun" w:hAnsi="SimSun" w:eastAsia="SimSun" w:cs="SimSun"/>
          <w:sz w:val="24"/>
          <w:szCs w:val="24"/>
        </w:rPr>
        <w:t>类区标准，详见表</w:t>
      </w:r>
      <w:r>
        <w:rPr>
          <w:rFonts w:ascii="Times New Roman" w:hAnsi="Times New Roman" w:eastAsia="Times New Roman" w:cs="Times New Roman"/>
          <w:sz w:val="24"/>
          <w:szCs w:val="24"/>
        </w:rPr>
        <w:t>2-12</w:t>
      </w:r>
      <w:r>
        <w:rPr>
          <w:rFonts w:ascii="SimSun" w:hAnsi="SimSun" w:eastAsia="SimSun" w:cs="SimSun"/>
          <w:sz w:val="24"/>
          <w:szCs w:val="24"/>
        </w:rPr>
        <w:t>。</w:t>
      </w:r>
    </w:p>
    <w:p>
      <w:pPr>
        <w:ind w:left="2212"/>
        <w:spacing w:line="234"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38"/>
        </w:rPr>
        <w:t xml:space="preserve"> </w:t>
      </w:r>
      <w:r>
        <w:rPr>
          <w:rFonts w:ascii="Times New Roman" w:hAnsi="Times New Roman" w:eastAsia="Times New Roman" w:cs="Times New Roman"/>
          <w:sz w:val="24"/>
          <w:szCs w:val="24"/>
          <w:b/>
          <w:bCs/>
          <w:spacing w:val="-3"/>
        </w:rPr>
        <w:t>2-11    </w:t>
      </w:r>
      <w:r>
        <w:rPr>
          <w:rFonts w:ascii="SimSun" w:hAnsi="SimSun" w:eastAsia="SimSun" w:cs="SimSun"/>
          <w:sz w:val="24"/>
          <w:szCs w:val="24"/>
          <w:b/>
          <w:bCs/>
          <w:spacing w:val="-3"/>
        </w:rPr>
        <w:t>建筑施工场界环境噪声排放标准</w:t>
      </w:r>
    </w:p>
    <w:p>
      <w:pPr>
        <w:spacing w:line="128" w:lineRule="exact"/>
        <w:rPr/>
      </w:pPr>
      <w:r/>
    </w:p>
    <w:tbl>
      <w:tblPr>
        <w:tblStyle w:val="TableNormal"/>
        <w:tblW w:w="866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23"/>
        <w:gridCol w:w="1928"/>
        <w:gridCol w:w="1937"/>
        <w:gridCol w:w="2675"/>
      </w:tblGrid>
      <w:tr>
        <w:trPr>
          <w:trHeight w:val="283" w:hRule="atLeast"/>
        </w:trPr>
        <w:tc>
          <w:tcPr>
            <w:tcW w:w="2123" w:type="dxa"/>
            <w:vAlign w:val="top"/>
            <w:vMerge w:val="restart"/>
            <w:tcBorders>
              <w:top w:val="single" w:color="000000" w:sz="10" w:space="0"/>
              <w:left w:val="nil"/>
              <w:bottom w:val="nil"/>
            </w:tcBorders>
          </w:tcPr>
          <w:p>
            <w:pPr>
              <w:pStyle w:val="TableText"/>
              <w:ind w:left="864"/>
              <w:spacing w:before="184" w:line="221" w:lineRule="auto"/>
              <w:rPr/>
            </w:pPr>
            <w:r>
              <w:rPr>
                <w:b/>
                <w:bCs/>
                <w:spacing w:val="-4"/>
              </w:rPr>
              <w:t>类别</w:t>
            </w:r>
          </w:p>
        </w:tc>
        <w:tc>
          <w:tcPr>
            <w:tcW w:w="3865" w:type="dxa"/>
            <w:vAlign w:val="top"/>
            <w:gridSpan w:val="2"/>
            <w:tcBorders>
              <w:top w:val="single" w:color="000000" w:sz="10" w:space="0"/>
            </w:tcBorders>
          </w:tcPr>
          <w:p>
            <w:pPr>
              <w:pStyle w:val="TableText"/>
              <w:ind w:left="1620"/>
              <w:spacing w:before="38" w:line="206" w:lineRule="auto"/>
              <w:rPr/>
            </w:pPr>
            <w:r>
              <w:rPr>
                <w:b/>
                <w:bCs/>
                <w:spacing w:val="-4"/>
              </w:rPr>
              <w:t>标准值</w:t>
            </w:r>
          </w:p>
        </w:tc>
        <w:tc>
          <w:tcPr>
            <w:tcW w:w="2675" w:type="dxa"/>
            <w:vAlign w:val="top"/>
            <w:vMerge w:val="restart"/>
            <w:tcBorders>
              <w:top w:val="single" w:color="000000" w:sz="10" w:space="0"/>
              <w:right w:val="nil"/>
              <w:bottom w:val="nil"/>
            </w:tcBorders>
          </w:tcPr>
          <w:p>
            <w:pPr>
              <w:pStyle w:val="TableText"/>
              <w:ind w:left="921"/>
              <w:spacing w:before="184" w:line="221" w:lineRule="auto"/>
              <w:rPr/>
            </w:pPr>
            <w:r>
              <w:rPr>
                <w:b/>
                <w:bCs/>
                <w:spacing w:val="-4"/>
              </w:rPr>
              <w:t>执行标准</w:t>
            </w:r>
          </w:p>
        </w:tc>
      </w:tr>
      <w:tr>
        <w:trPr>
          <w:trHeight w:val="279" w:hRule="atLeast"/>
        </w:trPr>
        <w:tc>
          <w:tcPr>
            <w:tcW w:w="2123" w:type="dxa"/>
            <w:vAlign w:val="top"/>
            <w:vMerge w:val="continue"/>
            <w:tcBorders>
              <w:top w:val="nil"/>
              <w:left w:val="nil"/>
            </w:tcBorders>
          </w:tcPr>
          <w:p>
            <w:pPr>
              <w:rPr>
                <w:rFonts w:ascii="Arial"/>
                <w:sz w:val="21"/>
              </w:rPr>
            </w:pPr>
            <w:r/>
          </w:p>
        </w:tc>
        <w:tc>
          <w:tcPr>
            <w:tcW w:w="1928" w:type="dxa"/>
            <w:vAlign w:val="top"/>
          </w:tcPr>
          <w:p>
            <w:pPr>
              <w:pStyle w:val="TableText"/>
              <w:ind w:left="757"/>
              <w:spacing w:before="40" w:line="201" w:lineRule="auto"/>
              <w:rPr/>
            </w:pPr>
            <w:r>
              <w:rPr>
                <w:b/>
                <w:bCs/>
                <w:spacing w:val="-4"/>
              </w:rPr>
              <w:t>昼间</w:t>
            </w:r>
          </w:p>
        </w:tc>
        <w:tc>
          <w:tcPr>
            <w:tcW w:w="1937" w:type="dxa"/>
            <w:vAlign w:val="top"/>
          </w:tcPr>
          <w:p>
            <w:pPr>
              <w:pStyle w:val="TableText"/>
              <w:ind w:left="768"/>
              <w:spacing w:before="40" w:line="201" w:lineRule="auto"/>
              <w:rPr/>
            </w:pPr>
            <w:r>
              <w:rPr>
                <w:b/>
                <w:bCs/>
                <w:spacing w:val="-5"/>
              </w:rPr>
              <w:t>夜间</w:t>
            </w:r>
          </w:p>
        </w:tc>
        <w:tc>
          <w:tcPr>
            <w:tcW w:w="2675" w:type="dxa"/>
            <w:vAlign w:val="top"/>
            <w:vMerge w:val="continue"/>
            <w:tcBorders>
              <w:top w:val="nil"/>
              <w:right w:val="nil"/>
            </w:tcBorders>
          </w:tcPr>
          <w:p>
            <w:pPr>
              <w:rPr>
                <w:rFonts w:ascii="Arial"/>
                <w:sz w:val="21"/>
              </w:rPr>
            </w:pPr>
            <w:r/>
          </w:p>
        </w:tc>
      </w:tr>
      <w:tr>
        <w:trPr>
          <w:trHeight w:val="563" w:hRule="atLeast"/>
        </w:trPr>
        <w:tc>
          <w:tcPr>
            <w:tcW w:w="2123" w:type="dxa"/>
            <w:vAlign w:val="top"/>
            <w:tcBorders>
              <w:bottom w:val="single" w:color="000000" w:sz="10" w:space="0"/>
              <w:left w:val="nil"/>
            </w:tcBorders>
          </w:tcPr>
          <w:p>
            <w:pPr>
              <w:pStyle w:val="TableText"/>
              <w:ind w:left="231"/>
              <w:spacing w:before="178" w:line="221" w:lineRule="auto"/>
              <w:rPr/>
            </w:pPr>
            <w:r>
              <w:rPr>
                <w:spacing w:val="-3"/>
              </w:rPr>
              <w:t>噪声限值</w:t>
            </w:r>
            <w:r>
              <w:rPr>
                <w:spacing w:val="-43"/>
              </w:rPr>
              <w:t xml:space="preserve"> </w:t>
            </w:r>
            <w:r>
              <w:rPr>
                <w:rFonts w:ascii="Times New Roman" w:hAnsi="Times New Roman" w:eastAsia="Times New Roman" w:cs="Times New Roman"/>
                <w:spacing w:val="-3"/>
              </w:rPr>
              <w:t>dB</w:t>
            </w:r>
            <w:r>
              <w:rPr>
                <w:spacing w:val="-3"/>
              </w:rPr>
              <w:t>（</w:t>
            </w:r>
            <w:r>
              <w:rPr>
                <w:rFonts w:ascii="Times New Roman" w:hAnsi="Times New Roman" w:eastAsia="Times New Roman" w:cs="Times New Roman"/>
                <w:spacing w:val="-3"/>
              </w:rPr>
              <w:t>A</w:t>
            </w:r>
            <w:r>
              <w:rPr>
                <w:spacing w:val="-3"/>
              </w:rPr>
              <w:t>）</w:t>
            </w:r>
          </w:p>
        </w:tc>
        <w:tc>
          <w:tcPr>
            <w:tcW w:w="1928" w:type="dxa"/>
            <w:vAlign w:val="top"/>
            <w:tcBorders>
              <w:bottom w:val="single" w:color="000000" w:sz="10" w:space="0"/>
            </w:tcBorders>
          </w:tcPr>
          <w:p>
            <w:pPr>
              <w:ind w:left="863"/>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937" w:type="dxa"/>
            <w:vAlign w:val="top"/>
            <w:tcBorders>
              <w:bottom w:val="single" w:color="000000" w:sz="10" w:space="0"/>
            </w:tcBorders>
          </w:tcPr>
          <w:p>
            <w:pPr>
              <w:ind w:left="872"/>
              <w:spacing w:before="20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2675" w:type="dxa"/>
            <w:vAlign w:val="top"/>
            <w:tcBorders>
              <w:bottom w:val="single" w:color="000000" w:sz="10" w:space="0"/>
              <w:right w:val="nil"/>
            </w:tcBorders>
          </w:tcPr>
          <w:p>
            <w:pPr>
              <w:pStyle w:val="TableText"/>
              <w:ind w:left="297" w:right="118" w:hanging="183"/>
              <w:spacing w:before="43" w:line="224" w:lineRule="auto"/>
              <w:rPr/>
            </w:pPr>
            <w:r>
              <w:rPr>
                <w:rFonts w:ascii="Times New Roman" w:hAnsi="Times New Roman" w:eastAsia="Times New Roman" w:cs="Times New Roman"/>
                <w:spacing w:val="-8"/>
              </w:rPr>
              <w:t>GB12523-2011</w:t>
            </w:r>
            <w:r>
              <w:rPr>
                <w:spacing w:val="-8"/>
              </w:rPr>
              <w:t>《建筑施工场</w:t>
            </w:r>
            <w:r>
              <w:rPr>
                <w:spacing w:val="-1"/>
              </w:rPr>
              <w:t>界环境噪声排放标准》</w:t>
            </w:r>
          </w:p>
        </w:tc>
      </w:tr>
    </w:tbl>
    <w:p>
      <w:pPr>
        <w:pStyle w:val="BodyText"/>
        <w:spacing w:line="366" w:lineRule="auto"/>
        <w:rPr/>
      </w:pPr>
      <w:r/>
    </w:p>
    <w:p>
      <w:pPr>
        <w:ind w:left="1594"/>
        <w:spacing w:before="78" w:line="234" w:lineRule="auto"/>
        <w:rPr>
          <w:rFonts w:ascii="SimSun" w:hAnsi="SimSun" w:eastAsia="SimSun" w:cs="SimSun"/>
          <w:sz w:val="21"/>
          <w:szCs w:val="21"/>
        </w:rPr>
      </w:pPr>
      <w:r>
        <w:rPr>
          <w:rFonts w:ascii="SimSun" w:hAnsi="SimSun" w:eastAsia="SimSun" w:cs="SimSun"/>
          <w:sz w:val="24"/>
          <w:szCs w:val="24"/>
          <w:b/>
          <w:bCs/>
          <w:spacing w:val="-1"/>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1"/>
        </w:rPr>
        <w:t>2-12    </w:t>
      </w:r>
      <w:r>
        <w:rPr>
          <w:rFonts w:ascii="SimSun" w:hAnsi="SimSun" w:eastAsia="SimSun" w:cs="SimSun"/>
          <w:sz w:val="24"/>
          <w:szCs w:val="24"/>
          <w:b/>
          <w:bCs/>
          <w:spacing w:val="-1"/>
        </w:rPr>
        <w:t>工业企业厂界环境噪声排放标准</w:t>
      </w:r>
      <w:r>
        <w:rPr>
          <w:rFonts w:ascii="SimSun" w:hAnsi="SimSun" w:eastAsia="SimSun" w:cs="SimSun"/>
          <w:sz w:val="24"/>
          <w:szCs w:val="24"/>
          <w:spacing w:val="-1"/>
        </w:rPr>
        <w:t xml:space="preserve">      </w:t>
      </w:r>
      <w:r>
        <w:rPr>
          <w:rFonts w:ascii="SimSun" w:hAnsi="SimSun" w:eastAsia="SimSun" w:cs="SimSun"/>
          <w:sz w:val="21"/>
          <w:szCs w:val="21"/>
          <w:spacing w:val="-1"/>
        </w:rPr>
        <w:t>单位：</w:t>
      </w:r>
      <w:r>
        <w:rPr>
          <w:rFonts w:ascii="Times New Roman" w:hAnsi="Times New Roman" w:eastAsia="Times New Roman" w:cs="Times New Roman"/>
          <w:sz w:val="21"/>
          <w:szCs w:val="21"/>
          <w:spacing w:val="-1"/>
        </w:rPr>
        <w:t>dB</w:t>
      </w:r>
      <w:r>
        <w:rPr>
          <w:rFonts w:ascii="SimSun" w:hAnsi="SimSun" w:eastAsia="SimSun" w:cs="SimSun"/>
          <w:sz w:val="21"/>
          <w:szCs w:val="21"/>
          <w:spacing w:val="-1"/>
        </w:rPr>
        <w:t>（</w:t>
      </w:r>
      <w:r>
        <w:rPr>
          <w:rFonts w:ascii="Times New Roman" w:hAnsi="Times New Roman" w:eastAsia="Times New Roman" w:cs="Times New Roman"/>
          <w:sz w:val="21"/>
          <w:szCs w:val="21"/>
          <w:spacing w:val="-1"/>
        </w:rPr>
        <w:t>A</w:t>
      </w:r>
      <w:r>
        <w:rPr>
          <w:rFonts w:ascii="SimSun" w:hAnsi="SimSun" w:eastAsia="SimSun" w:cs="SimSun"/>
          <w:sz w:val="21"/>
          <w:szCs w:val="21"/>
          <w:spacing w:val="-1"/>
        </w:rPr>
        <w:t>）</w:t>
      </w:r>
    </w:p>
    <w:p>
      <w:pPr>
        <w:spacing w:line="130" w:lineRule="exact"/>
        <w:rPr/>
      </w:pPr>
      <w:r/>
    </w:p>
    <w:tbl>
      <w:tblPr>
        <w:tblStyle w:val="TableNormal"/>
        <w:tblW w:w="8723"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89"/>
        <w:gridCol w:w="1978"/>
        <w:gridCol w:w="1982"/>
        <w:gridCol w:w="2674"/>
      </w:tblGrid>
      <w:tr>
        <w:trPr>
          <w:trHeight w:val="275" w:hRule="atLeast"/>
        </w:trPr>
        <w:tc>
          <w:tcPr>
            <w:tcW w:w="2089" w:type="dxa"/>
            <w:vAlign w:val="top"/>
            <w:vMerge w:val="restart"/>
            <w:tcBorders>
              <w:left w:val="nil"/>
              <w:top w:val="single" w:color="000000" w:sz="10" w:space="0"/>
              <w:bottom w:val="nil"/>
            </w:tcBorders>
          </w:tcPr>
          <w:p>
            <w:pPr>
              <w:pStyle w:val="TableText"/>
              <w:ind w:left="840"/>
              <w:spacing w:before="174" w:line="221" w:lineRule="auto"/>
              <w:rPr/>
            </w:pPr>
            <w:r>
              <w:rPr>
                <w:b/>
                <w:bCs/>
                <w:spacing w:val="-4"/>
              </w:rPr>
              <w:t>类别</w:t>
            </w:r>
          </w:p>
        </w:tc>
        <w:tc>
          <w:tcPr>
            <w:tcW w:w="3960" w:type="dxa"/>
            <w:vAlign w:val="top"/>
            <w:gridSpan w:val="2"/>
            <w:tcBorders>
              <w:top w:val="single" w:color="000000" w:sz="10" w:space="0"/>
            </w:tcBorders>
          </w:tcPr>
          <w:p>
            <w:pPr>
              <w:pStyle w:val="TableText"/>
              <w:ind w:left="1669"/>
              <w:spacing w:before="34" w:line="203" w:lineRule="auto"/>
              <w:rPr/>
            </w:pPr>
            <w:r>
              <w:rPr>
                <w:b/>
                <w:bCs/>
                <w:spacing w:val="-4"/>
              </w:rPr>
              <w:t>标准值</w:t>
            </w:r>
          </w:p>
        </w:tc>
        <w:tc>
          <w:tcPr>
            <w:tcW w:w="2674" w:type="dxa"/>
            <w:vAlign w:val="top"/>
            <w:vMerge w:val="restart"/>
            <w:tcBorders>
              <w:right w:val="nil"/>
              <w:top w:val="single" w:color="000000" w:sz="10" w:space="0"/>
              <w:bottom w:val="nil"/>
            </w:tcBorders>
          </w:tcPr>
          <w:p>
            <w:pPr>
              <w:pStyle w:val="TableText"/>
              <w:ind w:left="920"/>
              <w:spacing w:before="174" w:line="221" w:lineRule="auto"/>
              <w:rPr/>
            </w:pPr>
            <w:r>
              <w:rPr>
                <w:b/>
                <w:bCs/>
                <w:spacing w:val="-4"/>
              </w:rPr>
              <w:t>执行标准</w:t>
            </w:r>
          </w:p>
        </w:tc>
      </w:tr>
      <w:tr>
        <w:trPr>
          <w:trHeight w:val="272" w:hRule="atLeast"/>
        </w:trPr>
        <w:tc>
          <w:tcPr>
            <w:tcW w:w="2089" w:type="dxa"/>
            <w:vAlign w:val="top"/>
            <w:vMerge w:val="continue"/>
            <w:tcBorders>
              <w:left w:val="nil"/>
              <w:top w:val="nil"/>
            </w:tcBorders>
          </w:tcPr>
          <w:p>
            <w:pPr>
              <w:rPr>
                <w:rFonts w:ascii="Arial"/>
                <w:sz w:val="21"/>
              </w:rPr>
            </w:pPr>
            <w:r/>
          </w:p>
        </w:tc>
        <w:tc>
          <w:tcPr>
            <w:tcW w:w="1978" w:type="dxa"/>
            <w:vAlign w:val="top"/>
          </w:tcPr>
          <w:p>
            <w:pPr>
              <w:pStyle w:val="TableText"/>
              <w:ind w:left="782"/>
              <w:spacing w:before="36" w:line="198" w:lineRule="auto"/>
              <w:rPr/>
            </w:pPr>
            <w:r>
              <w:rPr>
                <w:b/>
                <w:bCs/>
                <w:spacing w:val="-4"/>
              </w:rPr>
              <w:t>昼间</w:t>
            </w:r>
          </w:p>
        </w:tc>
        <w:tc>
          <w:tcPr>
            <w:tcW w:w="1982" w:type="dxa"/>
            <w:vAlign w:val="top"/>
          </w:tcPr>
          <w:p>
            <w:pPr>
              <w:pStyle w:val="TableText"/>
              <w:ind w:left="788"/>
              <w:spacing w:before="36" w:line="198" w:lineRule="auto"/>
              <w:rPr/>
            </w:pPr>
            <w:r>
              <w:rPr>
                <w:b/>
                <w:bCs/>
                <w:spacing w:val="-5"/>
              </w:rPr>
              <w:t>夜间</w:t>
            </w:r>
          </w:p>
        </w:tc>
        <w:tc>
          <w:tcPr>
            <w:tcW w:w="2674" w:type="dxa"/>
            <w:vAlign w:val="top"/>
            <w:vMerge w:val="continue"/>
            <w:tcBorders>
              <w:right w:val="nil"/>
              <w:top w:val="nil"/>
            </w:tcBorders>
          </w:tcPr>
          <w:p>
            <w:pPr>
              <w:rPr>
                <w:rFonts w:ascii="Arial"/>
                <w:sz w:val="21"/>
              </w:rPr>
            </w:pPr>
            <w:r/>
          </w:p>
        </w:tc>
      </w:tr>
      <w:tr>
        <w:trPr>
          <w:trHeight w:val="270" w:hRule="atLeast"/>
        </w:trPr>
        <w:tc>
          <w:tcPr>
            <w:tcW w:w="2089" w:type="dxa"/>
            <w:vAlign w:val="top"/>
            <w:tcBorders>
              <w:left w:val="nil"/>
            </w:tcBorders>
          </w:tcPr>
          <w:p>
            <w:pPr>
              <w:pStyle w:val="TableText"/>
              <w:ind w:left="778"/>
              <w:spacing w:before="43" w:line="190" w:lineRule="auto"/>
              <w:rPr/>
            </w:pPr>
            <w:r>
              <w:rPr>
                <w:rFonts w:ascii="Times New Roman" w:hAnsi="Times New Roman" w:eastAsia="Times New Roman" w:cs="Times New Roman"/>
                <w:spacing w:val="-10"/>
              </w:rPr>
              <w:t>1</w:t>
            </w:r>
            <w:r>
              <w:rPr>
                <w:rFonts w:ascii="Times New Roman" w:hAnsi="Times New Roman" w:eastAsia="Times New Roman" w:cs="Times New Roman"/>
                <w:spacing w:val="10"/>
              </w:rPr>
              <w:t xml:space="preserve"> </w:t>
            </w:r>
            <w:r>
              <w:rPr>
                <w:spacing w:val="-10"/>
              </w:rPr>
              <w:t>类区</w:t>
            </w:r>
          </w:p>
        </w:tc>
        <w:tc>
          <w:tcPr>
            <w:tcW w:w="1978" w:type="dxa"/>
            <w:vAlign w:val="top"/>
          </w:tcPr>
          <w:p>
            <w:pPr>
              <w:ind w:left="890"/>
              <w:spacing w:before="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982" w:type="dxa"/>
            <w:vAlign w:val="top"/>
          </w:tcPr>
          <w:p>
            <w:pPr>
              <w:ind w:left="885"/>
              <w:spacing w:before="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2674" w:type="dxa"/>
            <w:vAlign w:val="top"/>
            <w:tcBorders>
              <w:bottom w:val="nil"/>
              <w:right w:val="nil"/>
            </w:tcBorders>
          </w:tcPr>
          <w:p>
            <w:pPr>
              <w:pStyle w:val="TableText"/>
              <w:ind w:left="163"/>
              <w:spacing w:before="48" w:line="186" w:lineRule="auto"/>
              <w:rPr/>
            </w:pPr>
            <w:r>
              <w:rPr>
                <w:rFonts w:ascii="Times New Roman" w:hAnsi="Times New Roman" w:eastAsia="Times New Roman" w:cs="Times New Roman"/>
                <w:spacing w:val="-1"/>
              </w:rPr>
              <w:t>GB12348-2008</w:t>
            </w:r>
            <w:r>
              <w:rPr>
                <w:spacing w:val="-1"/>
              </w:rPr>
              <w:t>《工业企业</w:t>
            </w:r>
          </w:p>
        </w:tc>
      </w:tr>
      <w:tr>
        <w:trPr>
          <w:trHeight w:val="296" w:hRule="atLeast"/>
        </w:trPr>
        <w:tc>
          <w:tcPr>
            <w:tcW w:w="2089" w:type="dxa"/>
            <w:vAlign w:val="top"/>
            <w:tcBorders>
              <w:left w:val="nil"/>
              <w:bottom w:val="single" w:color="000000" w:sz="10" w:space="0"/>
            </w:tcBorders>
          </w:tcPr>
          <w:p>
            <w:pPr>
              <w:pStyle w:val="TableText"/>
              <w:ind w:left="756"/>
              <w:spacing w:before="49" w:line="208" w:lineRule="auto"/>
              <w:rPr/>
            </w:pPr>
            <w:r>
              <w:rPr>
                <w:rFonts w:ascii="Times New Roman" w:hAnsi="Times New Roman" w:eastAsia="Times New Roman" w:cs="Times New Roman"/>
                <w:spacing w:val="-2"/>
              </w:rPr>
              <w:t>4</w:t>
            </w:r>
            <w:r>
              <w:rPr>
                <w:rFonts w:ascii="Times New Roman" w:hAnsi="Times New Roman" w:eastAsia="Times New Roman" w:cs="Times New Roman"/>
                <w:spacing w:val="8"/>
              </w:rPr>
              <w:t xml:space="preserve"> </w:t>
            </w:r>
            <w:r>
              <w:rPr>
                <w:spacing w:val="-2"/>
              </w:rPr>
              <w:t>类区</w:t>
            </w:r>
          </w:p>
        </w:tc>
        <w:tc>
          <w:tcPr>
            <w:tcW w:w="1978" w:type="dxa"/>
            <w:vAlign w:val="top"/>
            <w:tcBorders>
              <w:bottom w:val="single" w:color="000000" w:sz="10" w:space="0"/>
            </w:tcBorders>
          </w:tcPr>
          <w:p>
            <w:pPr>
              <w:ind w:left="888"/>
              <w:spacing w:before="7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982" w:type="dxa"/>
            <w:vAlign w:val="top"/>
            <w:tcBorders>
              <w:bottom w:val="single" w:color="000000" w:sz="10" w:space="0"/>
            </w:tcBorders>
          </w:tcPr>
          <w:p>
            <w:pPr>
              <w:ind w:left="892"/>
              <w:spacing w:before="7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2674" w:type="dxa"/>
            <w:vAlign w:val="top"/>
            <w:tcBorders>
              <w:right w:val="nil"/>
              <w:top w:val="nil"/>
              <w:bottom w:val="single" w:color="000000" w:sz="10" w:space="0"/>
            </w:tcBorders>
          </w:tcPr>
          <w:p>
            <w:pPr>
              <w:pStyle w:val="TableText"/>
              <w:ind w:left="188"/>
              <w:spacing w:before="44" w:line="212" w:lineRule="auto"/>
              <w:rPr/>
            </w:pPr>
            <w:r>
              <w:rPr>
                <w:spacing w:val="-2"/>
              </w:rPr>
              <w:t>厂界环境噪声排放标准》</w:t>
            </w:r>
          </w:p>
        </w:tc>
      </w:tr>
    </w:tbl>
    <w:p>
      <w:pPr>
        <w:ind w:left="618"/>
        <w:spacing w:before="3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）固体废物</w:t>
      </w:r>
    </w:p>
    <w:p>
      <w:pPr>
        <w:ind w:left="131" w:right="46" w:firstLine="480"/>
        <w:spacing w:before="166" w:line="359" w:lineRule="auto"/>
        <w:rPr>
          <w:rFonts w:ascii="SimSun" w:hAnsi="SimSun" w:eastAsia="SimSun" w:cs="SimSun"/>
          <w:sz w:val="24"/>
          <w:szCs w:val="24"/>
        </w:rPr>
      </w:pPr>
      <w:r>
        <w:rPr>
          <w:rFonts w:ascii="SimSun" w:hAnsi="SimSun" w:eastAsia="SimSun" w:cs="SimSun"/>
          <w:sz w:val="24"/>
          <w:szCs w:val="24"/>
          <w:spacing w:val="1"/>
        </w:rPr>
        <w:t>养殖区危险废物执行《危险废物贮存污染控制标准》</w:t>
      </w:r>
      <w:r>
        <w:rPr>
          <w:rFonts w:ascii="SimSun" w:hAnsi="SimSun" w:eastAsia="SimSun" w:cs="SimSun"/>
          <w:sz w:val="24"/>
          <w:szCs w:val="24"/>
        </w:rPr>
        <w:t>（</w:t>
      </w:r>
      <w:r>
        <w:rPr>
          <w:rFonts w:ascii="Times New Roman" w:hAnsi="Times New Roman" w:eastAsia="Times New Roman" w:cs="Times New Roman"/>
          <w:sz w:val="24"/>
          <w:szCs w:val="24"/>
        </w:rPr>
        <w:t>GB18597-2023</w:t>
      </w:r>
      <w:r>
        <w:rPr>
          <w:rFonts w:ascii="SimSun" w:hAnsi="SimSun" w:eastAsia="SimSun" w:cs="SimSun"/>
          <w:sz w:val="24"/>
          <w:szCs w:val="24"/>
        </w:rPr>
        <w:t>）中的</w:t>
      </w:r>
      <w:r>
        <w:rPr>
          <w:rFonts w:ascii="SimSun" w:hAnsi="SimSun" w:eastAsia="SimSun" w:cs="SimSun"/>
          <w:sz w:val="24"/>
          <w:szCs w:val="24"/>
          <w:spacing w:val="2"/>
        </w:rPr>
        <w:t>有关规定。同时医疗废物的收集、暂存执行《医疗废物管理条例》（国务院令第</w:t>
      </w:r>
      <w:r>
        <w:rPr>
          <w:rFonts w:ascii="Times New Roman" w:hAnsi="Times New Roman" w:eastAsia="Times New Roman" w:cs="Times New Roman"/>
          <w:sz w:val="24"/>
          <w:szCs w:val="24"/>
          <w:spacing w:val="-3"/>
        </w:rPr>
        <w:t>380</w:t>
      </w:r>
      <w:r>
        <w:rPr>
          <w:rFonts w:ascii="Times New Roman" w:hAnsi="Times New Roman" w:eastAsia="Times New Roman" w:cs="Times New Roman"/>
          <w:sz w:val="24"/>
          <w:szCs w:val="24"/>
          <w:spacing w:val="24"/>
          <w:w w:val="101"/>
        </w:rPr>
        <w:t xml:space="preserve"> </w:t>
      </w:r>
      <w:r>
        <w:rPr>
          <w:rFonts w:ascii="SimSun" w:hAnsi="SimSun" w:eastAsia="SimSun" w:cs="SimSun"/>
          <w:sz w:val="24"/>
          <w:szCs w:val="24"/>
          <w:spacing w:val="-3"/>
        </w:rPr>
        <w:t>号）中医疗卫生机构对医疗废物的管理要求，医疗卫生机构应当及时收集本单</w:t>
      </w:r>
      <w:r>
        <w:rPr>
          <w:rFonts w:ascii="SimSun" w:hAnsi="SimSun" w:eastAsia="SimSun" w:cs="SimSun"/>
          <w:sz w:val="24"/>
          <w:szCs w:val="24"/>
          <w:spacing w:val="2"/>
        </w:rPr>
        <w:t>位产生的医疗废物，并按照类别分置于防渗漏、防锐器穿透的专用包装物或者密</w:t>
      </w:r>
      <w:r>
        <w:rPr>
          <w:rFonts w:ascii="SimSun" w:hAnsi="SimSun" w:eastAsia="SimSun" w:cs="SimSun"/>
          <w:sz w:val="24"/>
          <w:szCs w:val="24"/>
          <w:spacing w:val="2"/>
        </w:rPr>
        <w:t>闭的容器内。医疗废物专用包装物、容器，应当有明显的警示标识和警示说明，</w:t>
      </w:r>
      <w:r>
        <w:rPr>
          <w:rFonts w:ascii="SimSun" w:hAnsi="SimSun" w:eastAsia="SimSun" w:cs="SimSun"/>
          <w:sz w:val="24"/>
          <w:szCs w:val="24"/>
          <w:spacing w:val="-7"/>
        </w:rPr>
        <w:t>医疗卫生机构应当建立医疗废物的暂时贮存设施、设备，</w:t>
      </w:r>
      <w:r>
        <w:rPr>
          <w:rFonts w:ascii="SimSun" w:hAnsi="SimSun" w:eastAsia="SimSun" w:cs="SimSun"/>
          <w:sz w:val="24"/>
          <w:szCs w:val="24"/>
          <w:spacing w:val="59"/>
        </w:rPr>
        <w:t xml:space="preserve"> </w:t>
      </w:r>
      <w:r>
        <w:rPr>
          <w:rFonts w:ascii="SimSun" w:hAnsi="SimSun" w:eastAsia="SimSun" w:cs="SimSun"/>
          <w:sz w:val="24"/>
          <w:szCs w:val="24"/>
          <w:spacing w:val="-7"/>
        </w:rPr>
        <w:t>不得</w:t>
      </w:r>
      <w:r>
        <w:rPr>
          <w:rFonts w:ascii="SimSun" w:hAnsi="SimSun" w:eastAsia="SimSun" w:cs="SimSun"/>
          <w:sz w:val="24"/>
          <w:szCs w:val="24"/>
          <w:spacing w:val="-8"/>
        </w:rPr>
        <w:t>露天存放医疗废物；</w:t>
      </w:r>
      <w:r>
        <w:rPr>
          <w:rFonts w:ascii="SimSun" w:hAnsi="SimSun" w:eastAsia="SimSun" w:cs="SimSun"/>
          <w:sz w:val="24"/>
          <w:szCs w:val="24"/>
          <w:spacing w:val="-2"/>
        </w:rPr>
        <w:t>医疗废物暂时贮存的时间不得超过</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2 </w:t>
      </w:r>
      <w:r>
        <w:rPr>
          <w:rFonts w:ascii="SimSun" w:hAnsi="SimSun" w:eastAsia="SimSun" w:cs="SimSun"/>
          <w:sz w:val="24"/>
          <w:szCs w:val="24"/>
          <w:spacing w:val="-2"/>
        </w:rPr>
        <w:t>天。</w:t>
      </w:r>
    </w:p>
    <w:p>
      <w:pPr>
        <w:ind w:left="137" w:right="110" w:firstLine="473"/>
        <w:spacing w:line="359" w:lineRule="auto"/>
        <w:jc w:val="both"/>
        <w:rPr>
          <w:rFonts w:ascii="SimSun" w:hAnsi="SimSun" w:eastAsia="SimSun" w:cs="SimSun"/>
          <w:sz w:val="24"/>
          <w:szCs w:val="24"/>
        </w:rPr>
      </w:pPr>
      <w:r>
        <w:rPr>
          <w:rFonts w:ascii="SimSun" w:hAnsi="SimSun" w:eastAsia="SimSun" w:cs="SimSun"/>
          <w:sz w:val="24"/>
          <w:szCs w:val="24"/>
          <w:spacing w:val="19"/>
        </w:rPr>
        <w:t>病死牛处理与处置按 《病害动物和病害动</w:t>
      </w:r>
      <w:r>
        <w:rPr>
          <w:rFonts w:ascii="SimSun" w:hAnsi="SimSun" w:eastAsia="SimSun" w:cs="SimSun"/>
          <w:sz w:val="24"/>
          <w:szCs w:val="24"/>
          <w:spacing w:val="-63"/>
        </w:rPr>
        <w:t xml:space="preserve"> </w:t>
      </w:r>
      <w:r>
        <w:rPr>
          <w:rFonts w:ascii="SimSun" w:hAnsi="SimSun" w:eastAsia="SimSun" w:cs="SimSun"/>
          <w:sz w:val="24"/>
          <w:szCs w:val="24"/>
          <w:spacing w:val="19"/>
        </w:rPr>
        <w:t>物产品生物安全处理规程</w:t>
      </w:r>
      <w:r>
        <w:rPr>
          <w:rFonts w:ascii="SimSun" w:hAnsi="SimSun" w:eastAsia="SimSun" w:cs="SimSun"/>
          <w:sz w:val="24"/>
          <w:szCs w:val="24"/>
          <w:spacing w:val="-71"/>
        </w:rPr>
        <w:t xml:space="preserve"> </w:t>
      </w:r>
      <w:r>
        <w:rPr>
          <w:rFonts w:ascii="SimSun" w:hAnsi="SimSun" w:eastAsia="SimSun" w:cs="SimSun"/>
          <w:sz w:val="24"/>
          <w:szCs w:val="24"/>
          <w:spacing w:val="19"/>
        </w:rPr>
        <w:t>》</w:t>
      </w:r>
      <w:r>
        <w:rPr>
          <w:rFonts w:ascii="SimSun" w:hAnsi="SimSun" w:eastAsia="SimSun" w:cs="SimSu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GB16548-1996</w:t>
      </w:r>
      <w:r>
        <w:rPr>
          <w:rFonts w:ascii="SimSun" w:hAnsi="SimSun" w:eastAsia="SimSun" w:cs="SimSun"/>
          <w:sz w:val="24"/>
          <w:szCs w:val="24"/>
          <w:spacing w:val="-3"/>
        </w:rPr>
        <w:t>）、《病死及病害动物无害化处理技</w:t>
      </w:r>
      <w:r>
        <w:rPr>
          <w:rFonts w:ascii="SimSun" w:hAnsi="SimSun" w:eastAsia="SimSun" w:cs="SimSun"/>
          <w:sz w:val="24"/>
          <w:szCs w:val="24"/>
          <w:spacing w:val="-4"/>
        </w:rPr>
        <w:t>术规范》</w:t>
      </w:r>
      <w:r>
        <w:rPr>
          <w:rFonts w:ascii="SimSun" w:hAnsi="SimSun" w:eastAsia="SimSun" w:cs="SimSun"/>
          <w:sz w:val="24"/>
          <w:szCs w:val="24"/>
          <w:spacing w:val="-54"/>
        </w:rPr>
        <w:t xml:space="preserve"> </w:t>
      </w:r>
      <w:r>
        <w:rPr>
          <w:rFonts w:ascii="SimSun" w:hAnsi="SimSun" w:eastAsia="SimSun" w:cs="SimSun"/>
          <w:sz w:val="24"/>
          <w:szCs w:val="24"/>
          <w:spacing w:val="-4"/>
        </w:rPr>
        <w:t>(农医发〔2017〕25</w:t>
      </w:r>
      <w:r>
        <w:rPr>
          <w:rFonts w:ascii="SimSun" w:hAnsi="SimSun" w:eastAsia="SimSun" w:cs="SimSun"/>
          <w:sz w:val="24"/>
          <w:szCs w:val="24"/>
          <w:spacing w:val="-3"/>
        </w:rPr>
        <w:t>号)、《畜禽养殖业污染防治技术规范》（</w:t>
      </w:r>
      <w:r>
        <w:rPr>
          <w:rFonts w:ascii="Times New Roman" w:hAnsi="Times New Roman" w:eastAsia="Times New Roman" w:cs="Times New Roman"/>
          <w:sz w:val="24"/>
          <w:szCs w:val="24"/>
          <w:spacing w:val="-3"/>
        </w:rPr>
        <w:t>HJ/T81-2001</w:t>
      </w:r>
      <w:r>
        <w:rPr>
          <w:rFonts w:ascii="SimSun" w:hAnsi="SimSun" w:eastAsia="SimSun" w:cs="SimSun"/>
          <w:sz w:val="24"/>
          <w:szCs w:val="24"/>
          <w:spacing w:val="-3"/>
        </w:rPr>
        <w:t>）及《畜禽病害肉尸及其产</w:t>
      </w:r>
      <w:r>
        <w:rPr>
          <w:rFonts w:ascii="SimSun" w:hAnsi="SimSun" w:eastAsia="SimSun" w:cs="SimSun"/>
          <w:sz w:val="24"/>
          <w:szCs w:val="24"/>
          <w:spacing w:val="-2"/>
        </w:rPr>
        <w:t>品无害化处理规程》（</w:t>
      </w:r>
      <w:r>
        <w:rPr>
          <w:rFonts w:ascii="Times New Roman" w:hAnsi="Times New Roman" w:eastAsia="Times New Roman" w:cs="Times New Roman"/>
          <w:sz w:val="24"/>
          <w:szCs w:val="24"/>
          <w:spacing w:val="-2"/>
        </w:rPr>
        <w:t>GB16548-2006</w:t>
      </w:r>
      <w:r>
        <w:rPr>
          <w:rFonts w:ascii="SimSun" w:hAnsi="SimSun" w:eastAsia="SimSun" w:cs="SimSun"/>
          <w:sz w:val="24"/>
          <w:szCs w:val="24"/>
          <w:spacing w:val="-2"/>
        </w:rPr>
        <w:t>）中有关规定执行。收集转运要求如下：</w:t>
      </w:r>
    </w:p>
    <w:p>
      <w:pPr>
        <w:ind w:left="610"/>
        <w:spacing w:before="1" w:line="217" w:lineRule="auto"/>
        <w:rPr>
          <w:rFonts w:ascii="SimSun" w:hAnsi="SimSun" w:eastAsia="SimSun" w:cs="SimSun"/>
          <w:sz w:val="24"/>
          <w:szCs w:val="24"/>
        </w:rPr>
      </w:pPr>
      <w:r>
        <w:pict>
          <v:shape id="_x0000_s94" style="position:absolute;margin-left:6.36601pt;margin-top:22.8851pt;mso-position-vertical-relative:text;mso-position-horizontal-relative:text;width:425.7pt;height:0.6pt;z-index:251686912;" filled="false" strokecolor="#808080" strokeweight="0.50pt" coordsize="8514,12" coordorigin="0,0" path="m5,5l8508,6e">
            <v:stroke endcap="round" miterlimit="10"/>
          </v:shape>
        </w:pict>
      </w:r>
      <w:r>
        <w:rPr>
          <w:rFonts w:ascii="SimSun" w:hAnsi="SimSun" w:eastAsia="SimSun" w:cs="SimSun"/>
          <w:sz w:val="24"/>
          <w:szCs w:val="24"/>
          <w:spacing w:val="3"/>
        </w:rPr>
        <w:t>①包装：包装材料应符合密闭、防水、防渗、</w:t>
      </w:r>
      <w:r>
        <w:rPr>
          <w:rFonts w:ascii="SimSun" w:hAnsi="SimSun" w:eastAsia="SimSun" w:cs="SimSun"/>
          <w:sz w:val="24"/>
          <w:szCs w:val="24"/>
          <w:spacing w:val="2"/>
        </w:rPr>
        <w:t>防破损、耐腐蚀等要求。包装</w:t>
      </w:r>
    </w:p>
    <w:p>
      <w:pPr>
        <w:spacing w:line="217" w:lineRule="auto"/>
        <w:sectPr>
          <w:headerReference w:type="default" r:id="rId50"/>
          <w:footerReference w:type="default" r:id="rId51"/>
          <w:pgSz w:w="11907" w:h="16839"/>
          <w:pgMar w:top="1422" w:right="1588" w:bottom="1618" w:left="1579" w:header="1033" w:footer="1417" w:gutter="0"/>
        </w:sectPr>
        <w:rPr>
          <w:rFonts w:ascii="SimSun" w:hAnsi="SimSun" w:eastAsia="SimSun" w:cs="SimSun"/>
          <w:sz w:val="24"/>
          <w:szCs w:val="24"/>
        </w:rPr>
      </w:pPr>
    </w:p>
    <w:p>
      <w:pPr>
        <w:ind w:left="131" w:right="95"/>
        <w:spacing w:before="312" w:line="359" w:lineRule="auto"/>
        <w:jc w:val="both"/>
        <w:rPr>
          <w:rFonts w:ascii="SimSun" w:hAnsi="SimSun" w:eastAsia="SimSun" w:cs="SimSun"/>
          <w:sz w:val="24"/>
          <w:szCs w:val="24"/>
        </w:rPr>
      </w:pPr>
      <w:r>
        <w:rPr>
          <w:rFonts w:ascii="SimSun" w:hAnsi="SimSun" w:eastAsia="SimSun" w:cs="SimSun"/>
          <w:sz w:val="24"/>
          <w:szCs w:val="24"/>
          <w:spacing w:val="2"/>
        </w:rPr>
        <w:t>材料的容积、尺寸和数量应与需处理病死及病害动物和相关动物产品的体积、数</w:t>
      </w:r>
      <w:r>
        <w:rPr>
          <w:rFonts w:ascii="SimSun" w:hAnsi="SimSun" w:eastAsia="SimSun" w:cs="SimSun"/>
          <w:sz w:val="24"/>
          <w:szCs w:val="24"/>
          <w:spacing w:val="2"/>
        </w:rPr>
        <w:t>量相匹，包装后应进行密封。使用后，一次性包装材料应作销毁处理，可循环使</w:t>
      </w:r>
      <w:r>
        <w:rPr>
          <w:rFonts w:ascii="SimSun" w:hAnsi="SimSun" w:eastAsia="SimSun" w:cs="SimSun"/>
          <w:sz w:val="24"/>
          <w:szCs w:val="24"/>
          <w:spacing w:val="-3"/>
        </w:rPr>
        <w:t>用的包装材料应进行清洗消毒。</w:t>
      </w:r>
    </w:p>
    <w:p>
      <w:pPr>
        <w:ind w:left="132" w:firstLine="477"/>
        <w:spacing w:before="1" w:line="359" w:lineRule="auto"/>
        <w:jc w:val="both"/>
        <w:rPr>
          <w:rFonts w:ascii="SimSun" w:hAnsi="SimSun" w:eastAsia="SimSun" w:cs="SimSun"/>
          <w:sz w:val="24"/>
          <w:szCs w:val="24"/>
        </w:rPr>
      </w:pPr>
      <w:r>
        <w:rPr>
          <w:rFonts w:ascii="SimSun" w:hAnsi="SimSun" w:eastAsia="SimSun" w:cs="SimSun"/>
          <w:sz w:val="24"/>
          <w:szCs w:val="24"/>
          <w:spacing w:val="3"/>
        </w:rPr>
        <w:t>②暂存：采用冷冻或冷藏方式进行暂存，防止无害化处理</w:t>
      </w:r>
      <w:r>
        <w:rPr>
          <w:rFonts w:ascii="SimSun" w:hAnsi="SimSun" w:eastAsia="SimSun" w:cs="SimSun"/>
          <w:sz w:val="24"/>
          <w:szCs w:val="24"/>
          <w:spacing w:val="2"/>
        </w:rPr>
        <w:t>前病死及病害动物</w:t>
      </w:r>
      <w:r>
        <w:rPr>
          <w:rFonts w:ascii="SimSun" w:hAnsi="SimSun" w:eastAsia="SimSun" w:cs="SimSun"/>
          <w:sz w:val="24"/>
          <w:szCs w:val="24"/>
          <w:spacing w:val="-7"/>
        </w:rPr>
        <w:t>和相关动物产品腐败。暂存场所应能防水、防渗、防鼠、防盗，</w:t>
      </w:r>
      <w:r>
        <w:rPr>
          <w:rFonts w:ascii="SimSun" w:hAnsi="SimSun" w:eastAsia="SimSun" w:cs="SimSun"/>
          <w:sz w:val="24"/>
          <w:szCs w:val="24"/>
          <w:spacing w:val="76"/>
        </w:rPr>
        <w:t xml:space="preserve"> </w:t>
      </w:r>
      <w:r>
        <w:rPr>
          <w:rFonts w:ascii="SimSun" w:hAnsi="SimSun" w:eastAsia="SimSun" w:cs="SimSun"/>
          <w:sz w:val="24"/>
          <w:szCs w:val="24"/>
          <w:spacing w:val="-7"/>
        </w:rPr>
        <w:t>易于清</w:t>
      </w:r>
      <w:r>
        <w:rPr>
          <w:rFonts w:ascii="SimSun" w:hAnsi="SimSun" w:eastAsia="SimSun" w:cs="SimSun"/>
          <w:sz w:val="24"/>
          <w:szCs w:val="24"/>
          <w:spacing w:val="-8"/>
        </w:rPr>
        <w:t>洗和消毒。</w:t>
      </w:r>
      <w:r>
        <w:rPr>
          <w:rFonts w:ascii="SimSun" w:hAnsi="SimSun" w:eastAsia="SimSun" w:cs="SimSun"/>
          <w:sz w:val="24"/>
          <w:szCs w:val="24"/>
          <w:spacing w:val="-1"/>
        </w:rPr>
        <w:t>暂存场所应设置明显警示标识。应定期对暂存场</w:t>
      </w:r>
      <w:r>
        <w:rPr>
          <w:rFonts w:ascii="SimSun" w:hAnsi="SimSun" w:eastAsia="SimSun" w:cs="SimSun"/>
          <w:sz w:val="24"/>
          <w:szCs w:val="24"/>
          <w:spacing w:val="-2"/>
        </w:rPr>
        <w:t>所及周边环境进行清消毒。</w:t>
      </w:r>
    </w:p>
    <w:p>
      <w:pPr>
        <w:ind w:left="135" w:right="95" w:firstLine="476"/>
        <w:spacing w:before="2" w:line="370" w:lineRule="auto"/>
        <w:rPr>
          <w:rFonts w:ascii="SimSun" w:hAnsi="SimSun" w:eastAsia="SimSun" w:cs="SimSun"/>
          <w:sz w:val="24"/>
          <w:szCs w:val="24"/>
        </w:rPr>
      </w:pPr>
      <w:r>
        <w:rPr>
          <w:rFonts w:ascii="SimSun" w:hAnsi="SimSun" w:eastAsia="SimSun" w:cs="SimSun"/>
          <w:sz w:val="24"/>
          <w:szCs w:val="24"/>
          <w:spacing w:val="3"/>
        </w:rPr>
        <w:t>产生的其他一般固体废物贮存过程中执行《</w:t>
      </w:r>
      <w:r>
        <w:rPr>
          <w:rFonts w:ascii="SimSun" w:hAnsi="SimSun" w:eastAsia="SimSun" w:cs="SimSun"/>
          <w:sz w:val="24"/>
          <w:szCs w:val="24"/>
          <w:spacing w:val="2"/>
        </w:rPr>
        <w:t>一般工业固体废物贮存和填埋污</w:t>
      </w:r>
      <w:r>
        <w:rPr>
          <w:rFonts w:ascii="SimSun" w:hAnsi="SimSun" w:eastAsia="SimSun" w:cs="SimSun"/>
          <w:sz w:val="24"/>
          <w:szCs w:val="24"/>
          <w:spacing w:val="-3"/>
        </w:rPr>
        <w:t>染控制标准》（</w:t>
      </w:r>
      <w:r>
        <w:rPr>
          <w:rFonts w:ascii="Times New Roman" w:hAnsi="Times New Roman" w:eastAsia="Times New Roman" w:cs="Times New Roman"/>
          <w:sz w:val="24"/>
          <w:szCs w:val="24"/>
          <w:spacing w:val="-3"/>
        </w:rPr>
        <w:t>GB</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3"/>
        </w:rPr>
        <w:t>18599-2020</w:t>
      </w:r>
      <w:r>
        <w:rPr>
          <w:rFonts w:ascii="SimSun" w:hAnsi="SimSun" w:eastAsia="SimSun" w:cs="SimSun"/>
          <w:sz w:val="24"/>
          <w:szCs w:val="24"/>
          <w:spacing w:val="-3"/>
        </w:rPr>
        <w:t>）。</w:t>
      </w:r>
    </w:p>
    <w:p>
      <w:pPr>
        <w:ind w:left="128"/>
        <w:spacing w:before="231" w:line="232" w:lineRule="auto"/>
        <w:outlineLvl w:val="1"/>
        <w:rPr>
          <w:rFonts w:ascii="SimSun" w:hAnsi="SimSun" w:eastAsia="SimSun" w:cs="SimSun"/>
          <w:sz w:val="24"/>
          <w:szCs w:val="24"/>
        </w:rPr>
      </w:pPr>
      <w:bookmarkStart w:name="bookmark15" w:id="18"/>
      <w:bookmarkEnd w:id="18"/>
      <w:r>
        <w:rPr>
          <w:rFonts w:ascii="Times New Roman" w:hAnsi="Times New Roman" w:eastAsia="Times New Roman" w:cs="Times New Roman"/>
          <w:sz w:val="24"/>
          <w:szCs w:val="24"/>
          <w:b/>
          <w:bCs/>
          <w:spacing w:val="-2"/>
        </w:rPr>
        <w:t>2.7 </w:t>
      </w:r>
      <w:r>
        <w:rPr>
          <w:rFonts w:ascii="SimSun" w:hAnsi="SimSun" w:eastAsia="SimSun" w:cs="SimSun"/>
          <w:sz w:val="24"/>
          <w:szCs w:val="24"/>
          <w:b/>
          <w:bCs/>
          <w:spacing w:val="-2"/>
        </w:rPr>
        <w:t>评价等级和评价范围</w:t>
      </w:r>
    </w:p>
    <w:p>
      <w:pPr>
        <w:pStyle w:val="BodyText"/>
        <w:spacing w:line="343" w:lineRule="auto"/>
        <w:rPr/>
      </w:pPr>
      <w:r/>
    </w:p>
    <w:p>
      <w:pPr>
        <w:ind w:left="128"/>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2.7.1 </w:t>
      </w:r>
      <w:r>
        <w:rPr>
          <w:rFonts w:ascii="SimSun" w:hAnsi="SimSun" w:eastAsia="SimSun" w:cs="SimSun"/>
          <w:sz w:val="24"/>
          <w:szCs w:val="24"/>
          <w:b/>
          <w:bCs/>
          <w:spacing w:val="-2"/>
        </w:rPr>
        <w:t>评价工作等级</w:t>
      </w:r>
    </w:p>
    <w:p>
      <w:pPr>
        <w:pStyle w:val="BodyText"/>
        <w:spacing w:line="346" w:lineRule="auto"/>
        <w:rPr/>
      </w:pPr>
      <w:r/>
    </w:p>
    <w:p>
      <w:pPr>
        <w:ind w:left="618"/>
        <w:spacing w:before="78"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）地表水</w:t>
      </w:r>
    </w:p>
    <w:p>
      <w:pPr>
        <w:ind w:left="131" w:right="83" w:firstLine="479"/>
        <w:spacing w:before="165" w:line="359" w:lineRule="auto"/>
        <w:rPr>
          <w:rFonts w:ascii="SimSun" w:hAnsi="SimSun" w:eastAsia="SimSun" w:cs="SimSun"/>
          <w:sz w:val="24"/>
          <w:szCs w:val="24"/>
        </w:rPr>
      </w:pPr>
      <w:r>
        <w:rPr>
          <w:rFonts w:ascii="SimSun" w:hAnsi="SimSun" w:eastAsia="SimSun" w:cs="SimSun"/>
          <w:sz w:val="24"/>
          <w:szCs w:val="24"/>
          <w:spacing w:val="-3"/>
        </w:rPr>
        <w:t>根据《环境影响评价技术导则 地表水环境》（</w:t>
      </w:r>
      <w:r>
        <w:rPr>
          <w:rFonts w:ascii="Times New Roman" w:hAnsi="Times New Roman" w:eastAsia="Times New Roman" w:cs="Times New Roman"/>
          <w:sz w:val="24"/>
          <w:szCs w:val="24"/>
          <w:spacing w:val="-3"/>
        </w:rPr>
        <w:t>HJ2.3—2018</w:t>
      </w:r>
      <w:r>
        <w:rPr>
          <w:rFonts w:ascii="SimSun" w:hAnsi="SimSun" w:eastAsia="SimSun" w:cs="SimSun"/>
          <w:sz w:val="24"/>
          <w:szCs w:val="24"/>
          <w:spacing w:val="-3"/>
        </w:rPr>
        <w:t>）规定，建设项目</w:t>
      </w:r>
      <w:r>
        <w:rPr>
          <w:rFonts w:ascii="SimSun" w:hAnsi="SimSun" w:eastAsia="SimSun" w:cs="SimSun"/>
          <w:sz w:val="24"/>
          <w:szCs w:val="24"/>
          <w:spacing w:val="2"/>
        </w:rPr>
        <w:t>地表水环境影响分为水污染影响型、水文要素影响型或复合型，评价等级按照影</w:t>
      </w:r>
      <w:r>
        <w:rPr>
          <w:rFonts w:ascii="SimSun" w:hAnsi="SimSun" w:eastAsia="SimSun" w:cs="SimSun"/>
          <w:sz w:val="24"/>
          <w:szCs w:val="24"/>
          <w:spacing w:val="2"/>
        </w:rPr>
        <w:t>响类型、排放方式、排放量或影响情况、受纳水体环境质量现状、水环境保护目</w:t>
      </w:r>
      <w:r>
        <w:rPr>
          <w:rFonts w:ascii="SimSun" w:hAnsi="SimSun" w:eastAsia="SimSun" w:cs="SimSun"/>
          <w:sz w:val="24"/>
          <w:szCs w:val="24"/>
        </w:rPr>
        <w:t>标等综合确定，本项目地表水环境影响为水污染影响型，评价</w:t>
      </w:r>
      <w:r>
        <w:rPr>
          <w:rFonts w:ascii="SimSun" w:hAnsi="SimSun" w:eastAsia="SimSun" w:cs="SimSun"/>
          <w:sz w:val="24"/>
          <w:szCs w:val="24"/>
          <w:spacing w:val="-1"/>
        </w:rPr>
        <w:t>等级详见表</w:t>
      </w:r>
      <w:r>
        <w:rPr>
          <w:rFonts w:ascii="Times New Roman" w:hAnsi="Times New Roman" w:eastAsia="Times New Roman" w:cs="Times New Roman"/>
          <w:sz w:val="24"/>
          <w:szCs w:val="24"/>
          <w:spacing w:val="-1"/>
        </w:rPr>
        <w:t>2-13</w:t>
      </w:r>
      <w:r>
        <w:rPr>
          <w:rFonts w:ascii="SimSun" w:hAnsi="SimSun" w:eastAsia="SimSun" w:cs="SimSun"/>
          <w:sz w:val="24"/>
          <w:szCs w:val="24"/>
          <w:spacing w:val="-1"/>
        </w:rPr>
        <w:t>。</w:t>
      </w:r>
    </w:p>
    <w:p>
      <w:pPr>
        <w:ind w:left="1962"/>
        <w:spacing w:before="1" w:line="231"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2-13    </w:t>
      </w:r>
      <w:r>
        <w:rPr>
          <w:rFonts w:ascii="SimSun" w:hAnsi="SimSun" w:eastAsia="SimSun" w:cs="SimSun"/>
          <w:sz w:val="24"/>
          <w:szCs w:val="24"/>
          <w:b/>
          <w:bCs/>
          <w:spacing w:val="-2"/>
        </w:rPr>
        <w:t>水污染影响型建设项目评价等级判定</w:t>
      </w:r>
    </w:p>
    <w:p>
      <w:pPr>
        <w:spacing w:line="130" w:lineRule="exact"/>
        <w:rPr/>
      </w:pPr>
      <w:r/>
    </w:p>
    <w:tbl>
      <w:tblPr>
        <w:tblStyle w:val="TableNormal"/>
        <w:tblW w:w="8524"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62"/>
        <w:gridCol w:w="2700"/>
        <w:gridCol w:w="4062"/>
      </w:tblGrid>
      <w:tr>
        <w:trPr>
          <w:trHeight w:val="281" w:hRule="atLeast"/>
        </w:trPr>
        <w:tc>
          <w:tcPr>
            <w:tcW w:w="1762" w:type="dxa"/>
            <w:vAlign w:val="top"/>
            <w:vMerge w:val="restart"/>
            <w:tcBorders>
              <w:left w:val="nil"/>
              <w:top w:val="single" w:color="000000" w:sz="10" w:space="0"/>
              <w:bottom w:val="nil"/>
            </w:tcBorders>
          </w:tcPr>
          <w:p>
            <w:pPr>
              <w:spacing w:line="242" w:lineRule="auto"/>
              <w:rPr>
                <w:rFonts w:ascii="Arial"/>
                <w:sz w:val="21"/>
              </w:rPr>
            </w:pPr>
            <w:r/>
          </w:p>
          <w:p>
            <w:pPr>
              <w:pStyle w:val="TableText"/>
              <w:ind w:left="254"/>
              <w:spacing w:before="68" w:line="219" w:lineRule="auto"/>
              <w:rPr/>
            </w:pPr>
            <w:r>
              <w:rPr>
                <w:b/>
                <w:bCs/>
                <w:spacing w:val="-3"/>
              </w:rPr>
              <w:t>评价工作等级</w:t>
            </w:r>
          </w:p>
        </w:tc>
        <w:tc>
          <w:tcPr>
            <w:tcW w:w="6762" w:type="dxa"/>
            <w:vAlign w:val="top"/>
            <w:gridSpan w:val="2"/>
            <w:tcBorders>
              <w:right w:val="nil"/>
              <w:top w:val="single" w:color="000000" w:sz="10" w:space="0"/>
            </w:tcBorders>
          </w:tcPr>
          <w:p>
            <w:pPr>
              <w:pStyle w:val="TableText"/>
              <w:ind w:left="2965"/>
              <w:spacing w:before="35" w:line="207" w:lineRule="auto"/>
              <w:rPr/>
            </w:pPr>
            <w:r>
              <w:rPr>
                <w:b/>
                <w:bCs/>
                <w:spacing w:val="-3"/>
              </w:rPr>
              <w:t>判定依据</w:t>
            </w:r>
          </w:p>
        </w:tc>
      </w:tr>
      <w:tr>
        <w:trPr>
          <w:trHeight w:val="548" w:hRule="atLeast"/>
        </w:trPr>
        <w:tc>
          <w:tcPr>
            <w:tcW w:w="1762" w:type="dxa"/>
            <w:vAlign w:val="top"/>
            <w:vMerge w:val="continue"/>
            <w:tcBorders>
              <w:left w:val="nil"/>
              <w:top w:val="nil"/>
            </w:tcBorders>
          </w:tcPr>
          <w:p>
            <w:pPr>
              <w:rPr>
                <w:rFonts w:ascii="Arial"/>
                <w:sz w:val="21"/>
              </w:rPr>
            </w:pPr>
            <w:r/>
          </w:p>
        </w:tc>
        <w:tc>
          <w:tcPr>
            <w:tcW w:w="2700" w:type="dxa"/>
            <w:vAlign w:val="top"/>
          </w:tcPr>
          <w:p>
            <w:pPr>
              <w:pStyle w:val="TableText"/>
              <w:ind w:left="934"/>
              <w:spacing w:before="167" w:line="222" w:lineRule="auto"/>
              <w:rPr/>
            </w:pPr>
            <w:r>
              <w:rPr>
                <w:b/>
                <w:bCs/>
                <w:spacing w:val="-3"/>
              </w:rPr>
              <w:t>排放方式</w:t>
            </w:r>
          </w:p>
        </w:tc>
        <w:tc>
          <w:tcPr>
            <w:tcW w:w="4062" w:type="dxa"/>
            <w:vAlign w:val="top"/>
            <w:tcBorders>
              <w:right w:val="nil"/>
            </w:tcBorders>
          </w:tcPr>
          <w:p>
            <w:pPr>
              <w:pStyle w:val="TableText"/>
              <w:ind w:left="951"/>
              <w:spacing w:before="17" w:line="232" w:lineRule="auto"/>
              <w:rPr/>
            </w:pPr>
            <w:r>
              <w:rPr>
                <w:b/>
                <w:bCs/>
                <w:spacing w:val="-2"/>
              </w:rPr>
              <w:t>废水排放量</w:t>
            </w:r>
            <w:r>
              <w:rPr>
                <w:spacing w:val="-41"/>
              </w:rPr>
              <w:t xml:space="preserve"> </w:t>
            </w:r>
            <w:r>
              <w:rPr>
                <w:rFonts w:ascii="Times New Roman" w:hAnsi="Times New Roman" w:eastAsia="Times New Roman" w:cs="Times New Roman"/>
                <w:b/>
                <w:bCs/>
                <w:spacing w:val="-2"/>
              </w:rPr>
              <w:t>Q/</w:t>
            </w:r>
            <w:r>
              <w:rPr>
                <w:b/>
                <w:bCs/>
                <w:spacing w:val="-2"/>
              </w:rPr>
              <w:t>（</w:t>
            </w:r>
            <w:r>
              <w:rPr>
                <w:rFonts w:ascii="Times New Roman" w:hAnsi="Times New Roman" w:eastAsia="Times New Roman" w:cs="Times New Roman"/>
                <w:b/>
                <w:bCs/>
                <w:spacing w:val="-2"/>
              </w:rPr>
              <w:t>m</w:t>
            </w:r>
            <w:r>
              <w:rPr>
                <w:rFonts w:ascii="Times New Roman" w:hAnsi="Times New Roman" w:eastAsia="Times New Roman" w:cs="Times New Roman"/>
                <w:sz w:val="13"/>
                <w:szCs w:val="13"/>
                <w:b/>
                <w:bCs/>
                <w:spacing w:val="-2"/>
                <w:position w:val="9"/>
              </w:rPr>
              <w:t>3</w:t>
            </w:r>
            <w:r>
              <w:rPr>
                <w:rFonts w:ascii="Times New Roman" w:hAnsi="Times New Roman" w:eastAsia="Times New Roman" w:cs="Times New Roman"/>
                <w:b/>
                <w:bCs/>
                <w:spacing w:val="-2"/>
              </w:rPr>
              <w:t>/d</w:t>
            </w:r>
            <w:r>
              <w:rPr>
                <w:b/>
                <w:bCs/>
                <w:spacing w:val="-2"/>
              </w:rPr>
              <w:t>）</w:t>
            </w:r>
          </w:p>
          <w:p>
            <w:pPr>
              <w:pStyle w:val="TableText"/>
              <w:ind w:left="639"/>
              <w:spacing w:before="23" w:line="205" w:lineRule="auto"/>
              <w:rPr/>
            </w:pPr>
            <w:r>
              <w:rPr>
                <w:b/>
                <w:bCs/>
                <w:spacing w:val="-3"/>
              </w:rPr>
              <w:t>水污染物当量数</w:t>
            </w:r>
            <w:r>
              <w:rPr>
                <w:rFonts w:ascii="Times New Roman" w:hAnsi="Times New Roman" w:eastAsia="Times New Roman" w:cs="Times New Roman"/>
                <w:b/>
                <w:bCs/>
                <w:spacing w:val="-3"/>
              </w:rPr>
              <w:t>W/</w:t>
            </w:r>
            <w:r>
              <w:rPr>
                <w:b/>
                <w:bCs/>
                <w:spacing w:val="-3"/>
              </w:rPr>
              <w:t>（无量纲）</w:t>
            </w:r>
          </w:p>
        </w:tc>
      </w:tr>
      <w:tr>
        <w:trPr>
          <w:trHeight w:val="278" w:hRule="atLeast"/>
        </w:trPr>
        <w:tc>
          <w:tcPr>
            <w:tcW w:w="1762" w:type="dxa"/>
            <w:vAlign w:val="top"/>
            <w:tcBorders>
              <w:left w:val="nil"/>
            </w:tcBorders>
          </w:tcPr>
          <w:p>
            <w:pPr>
              <w:pStyle w:val="TableText"/>
              <w:ind w:left="681"/>
              <w:spacing w:before="34" w:line="205" w:lineRule="auto"/>
              <w:rPr/>
            </w:pPr>
            <w:r>
              <w:rPr>
                <w:spacing w:val="-5"/>
              </w:rPr>
              <w:t>一级</w:t>
            </w:r>
          </w:p>
        </w:tc>
        <w:tc>
          <w:tcPr>
            <w:tcW w:w="2700" w:type="dxa"/>
            <w:vAlign w:val="top"/>
          </w:tcPr>
          <w:p>
            <w:pPr>
              <w:pStyle w:val="TableText"/>
              <w:ind w:left="936"/>
              <w:spacing w:before="34" w:line="205" w:lineRule="auto"/>
              <w:rPr/>
            </w:pPr>
            <w:r>
              <w:rPr>
                <w:spacing w:val="-2"/>
              </w:rPr>
              <w:t>直接排放</w:t>
            </w:r>
          </w:p>
        </w:tc>
        <w:tc>
          <w:tcPr>
            <w:tcW w:w="4062" w:type="dxa"/>
            <w:vAlign w:val="top"/>
            <w:tcBorders>
              <w:right w:val="nil"/>
            </w:tcBorders>
          </w:tcPr>
          <w:p>
            <w:pPr>
              <w:pStyle w:val="TableText"/>
              <w:ind w:left="1011"/>
              <w:spacing w:before="34" w:line="205" w:lineRule="auto"/>
              <w:rPr>
                <w:rFonts w:ascii="Times New Roman" w:hAnsi="Times New Roman" w:eastAsia="Times New Roman" w:cs="Times New Roman"/>
              </w:rPr>
            </w:pPr>
            <w:r>
              <w:rPr>
                <w:rFonts w:ascii="Times New Roman" w:hAnsi="Times New Roman" w:eastAsia="Times New Roman" w:cs="Times New Roman"/>
                <w:spacing w:val="-1"/>
              </w:rPr>
              <w:t>Q≥20000 </w:t>
            </w:r>
            <w:r>
              <w:rPr>
                <w:spacing w:val="-1"/>
              </w:rPr>
              <w:t>或</w:t>
            </w:r>
            <w:r>
              <w:rPr>
                <w:spacing w:val="-40"/>
              </w:rPr>
              <w:t xml:space="preserve"> </w:t>
            </w:r>
            <w:r>
              <w:rPr>
                <w:rFonts w:ascii="Times New Roman" w:hAnsi="Times New Roman" w:eastAsia="Times New Roman" w:cs="Times New Roman"/>
                <w:spacing w:val="-1"/>
              </w:rPr>
              <w:t>W≥600000</w:t>
            </w:r>
          </w:p>
        </w:tc>
      </w:tr>
      <w:tr>
        <w:trPr>
          <w:trHeight w:val="278" w:hRule="atLeast"/>
        </w:trPr>
        <w:tc>
          <w:tcPr>
            <w:tcW w:w="1762" w:type="dxa"/>
            <w:vAlign w:val="top"/>
            <w:tcBorders>
              <w:left w:val="nil"/>
            </w:tcBorders>
          </w:tcPr>
          <w:p>
            <w:pPr>
              <w:pStyle w:val="TableText"/>
              <w:ind w:left="681"/>
              <w:spacing w:before="32" w:line="207" w:lineRule="auto"/>
              <w:rPr/>
            </w:pPr>
            <w:r>
              <w:rPr>
                <w:spacing w:val="-3"/>
              </w:rPr>
              <w:t>二级</w:t>
            </w:r>
          </w:p>
        </w:tc>
        <w:tc>
          <w:tcPr>
            <w:tcW w:w="2700" w:type="dxa"/>
            <w:vAlign w:val="top"/>
          </w:tcPr>
          <w:p>
            <w:pPr>
              <w:pStyle w:val="TableText"/>
              <w:ind w:left="936"/>
              <w:spacing w:before="32" w:line="207" w:lineRule="auto"/>
              <w:rPr/>
            </w:pPr>
            <w:r>
              <w:rPr>
                <w:spacing w:val="-2"/>
              </w:rPr>
              <w:t>直接排放</w:t>
            </w:r>
          </w:p>
        </w:tc>
        <w:tc>
          <w:tcPr>
            <w:tcW w:w="4062" w:type="dxa"/>
            <w:vAlign w:val="top"/>
            <w:tcBorders>
              <w:right w:val="nil"/>
            </w:tcBorders>
          </w:tcPr>
          <w:p>
            <w:pPr>
              <w:pStyle w:val="TableText"/>
              <w:ind w:left="1826"/>
              <w:spacing w:before="32" w:line="207" w:lineRule="auto"/>
              <w:rPr/>
            </w:pPr>
            <w:r>
              <w:rPr>
                <w:spacing w:val="-2"/>
              </w:rPr>
              <w:t>其他</w:t>
            </w:r>
          </w:p>
        </w:tc>
      </w:tr>
      <w:tr>
        <w:trPr>
          <w:trHeight w:val="277" w:hRule="atLeast"/>
        </w:trPr>
        <w:tc>
          <w:tcPr>
            <w:tcW w:w="1762" w:type="dxa"/>
            <w:vAlign w:val="top"/>
            <w:tcBorders>
              <w:left w:val="nil"/>
            </w:tcBorders>
          </w:tcPr>
          <w:p>
            <w:pPr>
              <w:pStyle w:val="TableText"/>
              <w:ind w:left="576"/>
              <w:spacing w:before="32" w:line="206" w:lineRule="auto"/>
              <w:rPr>
                <w:rFonts w:ascii="Times New Roman" w:hAnsi="Times New Roman" w:eastAsia="Times New Roman" w:cs="Times New Roman"/>
              </w:rPr>
            </w:pPr>
            <w:r>
              <w:rPr>
                <w:spacing w:val="-2"/>
              </w:rPr>
              <w:t>三级</w:t>
            </w:r>
            <w:r>
              <w:rPr>
                <w:spacing w:val="-53"/>
              </w:rPr>
              <w:t xml:space="preserve"> </w:t>
            </w:r>
            <w:r>
              <w:rPr>
                <w:rFonts w:ascii="Times New Roman" w:hAnsi="Times New Roman" w:eastAsia="Times New Roman" w:cs="Times New Roman"/>
                <w:spacing w:val="-2"/>
              </w:rPr>
              <w:t>A</w:t>
            </w:r>
          </w:p>
        </w:tc>
        <w:tc>
          <w:tcPr>
            <w:tcW w:w="2700" w:type="dxa"/>
            <w:vAlign w:val="top"/>
          </w:tcPr>
          <w:p>
            <w:pPr>
              <w:pStyle w:val="TableText"/>
              <w:ind w:left="936"/>
              <w:spacing w:before="32" w:line="206" w:lineRule="auto"/>
              <w:rPr/>
            </w:pPr>
            <w:r>
              <w:rPr>
                <w:spacing w:val="-2"/>
              </w:rPr>
              <w:t>直接排放</w:t>
            </w:r>
          </w:p>
        </w:tc>
        <w:tc>
          <w:tcPr>
            <w:tcW w:w="4062" w:type="dxa"/>
            <w:vAlign w:val="top"/>
            <w:tcBorders>
              <w:right w:val="nil"/>
            </w:tcBorders>
          </w:tcPr>
          <w:p>
            <w:pPr>
              <w:pStyle w:val="TableText"/>
              <w:ind w:left="1126"/>
              <w:spacing w:before="32" w:line="206" w:lineRule="auto"/>
              <w:rPr>
                <w:rFonts w:ascii="Times New Roman" w:hAnsi="Times New Roman" w:eastAsia="Times New Roman" w:cs="Times New Roman"/>
              </w:rPr>
            </w:pPr>
            <w:r>
              <w:rPr>
                <w:rFonts w:ascii="Times New Roman" w:hAnsi="Times New Roman" w:eastAsia="Times New Roman" w:cs="Times New Roman"/>
                <w:spacing w:val="-1"/>
              </w:rPr>
              <w:t>Q</w:t>
            </w:r>
            <w:r>
              <w:rPr>
                <w:spacing w:val="-1"/>
              </w:rPr>
              <w:t>＜</w:t>
            </w:r>
            <w:r>
              <w:rPr>
                <w:rFonts w:ascii="Times New Roman" w:hAnsi="Times New Roman" w:eastAsia="Times New Roman" w:cs="Times New Roman"/>
                <w:spacing w:val="-1"/>
              </w:rPr>
              <w:t>200 </w:t>
            </w:r>
            <w:r>
              <w:rPr>
                <w:spacing w:val="-1"/>
              </w:rPr>
              <w:t>且</w:t>
            </w:r>
            <w:r>
              <w:rPr>
                <w:spacing w:val="-44"/>
              </w:rPr>
              <w:t xml:space="preserve"> </w:t>
            </w:r>
            <w:r>
              <w:rPr>
                <w:rFonts w:ascii="Times New Roman" w:hAnsi="Times New Roman" w:eastAsia="Times New Roman" w:cs="Times New Roman"/>
                <w:spacing w:val="-1"/>
              </w:rPr>
              <w:t>W</w:t>
            </w:r>
            <w:r>
              <w:rPr>
                <w:spacing w:val="-1"/>
              </w:rPr>
              <w:t>＜</w:t>
            </w:r>
            <w:r>
              <w:rPr>
                <w:rFonts w:ascii="Times New Roman" w:hAnsi="Times New Roman" w:eastAsia="Times New Roman" w:cs="Times New Roman"/>
                <w:spacing w:val="-1"/>
              </w:rPr>
              <w:t>6000</w:t>
            </w:r>
          </w:p>
        </w:tc>
      </w:tr>
      <w:tr>
        <w:trPr>
          <w:trHeight w:val="282" w:hRule="atLeast"/>
        </w:trPr>
        <w:tc>
          <w:tcPr>
            <w:tcW w:w="1762" w:type="dxa"/>
            <w:vAlign w:val="top"/>
            <w:tcBorders>
              <w:left w:val="nil"/>
            </w:tcBorders>
          </w:tcPr>
          <w:p>
            <w:pPr>
              <w:pStyle w:val="TableText"/>
              <w:ind w:left="581"/>
              <w:spacing w:before="36" w:line="207" w:lineRule="auto"/>
              <w:rPr>
                <w:rFonts w:ascii="Times New Roman" w:hAnsi="Times New Roman" w:eastAsia="Times New Roman" w:cs="Times New Roman"/>
              </w:rPr>
            </w:pPr>
            <w:r>
              <w:rPr>
                <w:spacing w:val="-2"/>
              </w:rPr>
              <w:t>三级</w:t>
            </w:r>
            <w:r>
              <w:rPr>
                <w:spacing w:val="-52"/>
              </w:rPr>
              <w:t xml:space="preserve"> </w:t>
            </w:r>
            <w:r>
              <w:rPr>
                <w:rFonts w:ascii="Times New Roman" w:hAnsi="Times New Roman" w:eastAsia="Times New Roman" w:cs="Times New Roman"/>
                <w:spacing w:val="-2"/>
              </w:rPr>
              <w:t>B</w:t>
            </w:r>
          </w:p>
        </w:tc>
        <w:tc>
          <w:tcPr>
            <w:tcW w:w="2700" w:type="dxa"/>
            <w:vAlign w:val="top"/>
          </w:tcPr>
          <w:p>
            <w:pPr>
              <w:pStyle w:val="TableText"/>
              <w:ind w:left="951"/>
              <w:spacing w:before="36" w:line="207" w:lineRule="auto"/>
              <w:rPr/>
            </w:pPr>
            <w:r>
              <w:rPr>
                <w:spacing w:val="-6"/>
              </w:rPr>
              <w:t>间接排放</w:t>
            </w:r>
          </w:p>
        </w:tc>
        <w:tc>
          <w:tcPr>
            <w:tcW w:w="4062" w:type="dxa"/>
            <w:vAlign w:val="top"/>
            <w:tcBorders>
              <w:right w:val="nil"/>
            </w:tcBorders>
          </w:tcPr>
          <w:p>
            <w:pPr>
              <w:ind w:left="1921"/>
              <w:spacing w:before="15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r>
    </w:tbl>
    <w:p>
      <w:pPr>
        <w:ind w:left="130"/>
        <w:spacing w:before="30" w:line="234" w:lineRule="auto"/>
        <w:rPr>
          <w:rFonts w:ascii="SimSun" w:hAnsi="SimSun" w:eastAsia="SimSun" w:cs="SimSun"/>
          <w:sz w:val="21"/>
          <w:szCs w:val="21"/>
        </w:rPr>
      </w:pPr>
      <w:r>
        <w:rPr>
          <w:rFonts w:ascii="SimSun" w:hAnsi="SimSun" w:eastAsia="SimSun" w:cs="SimSun"/>
          <w:sz w:val="21"/>
          <w:szCs w:val="21"/>
        </w:rPr>
        <w:t>注</w:t>
      </w:r>
      <w:r>
        <w:rPr>
          <w:rFonts w:ascii="Times New Roman" w:hAnsi="Times New Roman" w:eastAsia="Times New Roman" w:cs="Times New Roman"/>
          <w:sz w:val="21"/>
          <w:szCs w:val="21"/>
        </w:rPr>
        <w:t>1</w:t>
      </w:r>
      <w:r>
        <w:rPr>
          <w:rFonts w:ascii="SimSun" w:hAnsi="SimSun" w:eastAsia="SimSun" w:cs="SimSun"/>
          <w:sz w:val="21"/>
          <w:szCs w:val="21"/>
        </w:rPr>
        <w:t>：水污染物当量数等于该污染物的年排放量除以该污染物的污染当量值（</w:t>
      </w:r>
      <w:r>
        <w:rPr>
          <w:rFonts w:ascii="SimSun" w:hAnsi="SimSun" w:eastAsia="SimSun" w:cs="SimSun"/>
          <w:sz w:val="21"/>
          <w:szCs w:val="21"/>
          <w:spacing w:val="-1"/>
        </w:rPr>
        <w:t>见附录</w:t>
      </w:r>
      <w:r>
        <w:rPr>
          <w:rFonts w:ascii="Times New Roman" w:hAnsi="Times New Roman" w:eastAsia="Times New Roman" w:cs="Times New Roman"/>
          <w:sz w:val="21"/>
          <w:szCs w:val="21"/>
          <w:spacing w:val="-1"/>
        </w:rPr>
        <w:t>A</w:t>
      </w:r>
      <w:r>
        <w:rPr>
          <w:rFonts w:ascii="SimSun" w:hAnsi="SimSun" w:eastAsia="SimSun" w:cs="SimSun"/>
          <w:sz w:val="21"/>
          <w:szCs w:val="21"/>
          <w:spacing w:val="-12"/>
        </w:rPr>
        <w:t>），</w:t>
      </w:r>
    </w:p>
    <w:p>
      <w:pPr>
        <w:ind w:left="133" w:right="278" w:hanging="3"/>
        <w:spacing w:before="8" w:line="239" w:lineRule="auto"/>
        <w:rPr>
          <w:rFonts w:ascii="SimSun" w:hAnsi="SimSun" w:eastAsia="SimSun" w:cs="SimSun"/>
          <w:sz w:val="21"/>
          <w:szCs w:val="21"/>
        </w:rPr>
      </w:pPr>
      <w:r>
        <w:rPr>
          <w:rFonts w:ascii="SimSun" w:hAnsi="SimSun" w:eastAsia="SimSun" w:cs="SimSun"/>
          <w:sz w:val="21"/>
          <w:szCs w:val="21"/>
          <w:spacing w:val="-2"/>
        </w:rPr>
        <w:t>计算排放污染物的污染物当量数，应区分第一类水污</w:t>
      </w:r>
      <w:r>
        <w:rPr>
          <w:rFonts w:ascii="SimSun" w:hAnsi="SimSun" w:eastAsia="SimSun" w:cs="SimSun"/>
          <w:sz w:val="21"/>
          <w:szCs w:val="21"/>
          <w:spacing w:val="-3"/>
        </w:rPr>
        <w:t>染物和其他类水污染物，统计第一类污</w:t>
      </w:r>
      <w:r>
        <w:rPr>
          <w:rFonts w:ascii="SimSun" w:hAnsi="SimSun" w:eastAsia="SimSun" w:cs="SimSun"/>
          <w:sz w:val="21"/>
          <w:szCs w:val="21"/>
          <w:spacing w:val="-2"/>
        </w:rPr>
        <w:t>染物当量数总和，然后与其他类污染物按照</w:t>
      </w:r>
      <w:r>
        <w:rPr>
          <w:rFonts w:ascii="SimSun" w:hAnsi="SimSun" w:eastAsia="SimSun" w:cs="SimSun"/>
          <w:sz w:val="21"/>
          <w:szCs w:val="21"/>
          <w:spacing w:val="-3"/>
        </w:rPr>
        <w:t>污染物当数从大到小排序，取最大当量数作为建</w:t>
      </w:r>
      <w:r>
        <w:rPr>
          <w:rFonts w:ascii="SimSun" w:hAnsi="SimSun" w:eastAsia="SimSun" w:cs="SimSun"/>
          <w:sz w:val="21"/>
          <w:szCs w:val="21"/>
          <w:spacing w:val="-2"/>
        </w:rPr>
        <w:t>设项目评价等级确定的依据。</w:t>
      </w:r>
    </w:p>
    <w:p>
      <w:pPr>
        <w:ind w:left="129" w:right="278"/>
        <w:spacing w:before="1" w:line="239" w:lineRule="auto"/>
        <w:rPr>
          <w:rFonts w:ascii="SimSun" w:hAnsi="SimSun" w:eastAsia="SimSun" w:cs="SimSun"/>
          <w:sz w:val="21"/>
          <w:szCs w:val="21"/>
        </w:rPr>
      </w:pPr>
      <w:r>
        <w:rPr>
          <w:rFonts w:ascii="SimSun" w:hAnsi="SimSun" w:eastAsia="SimSun" w:cs="SimSun"/>
          <w:sz w:val="21"/>
          <w:szCs w:val="21"/>
        </w:rPr>
        <w:t>注</w:t>
      </w:r>
      <w:r>
        <w:rPr>
          <w:rFonts w:ascii="Times New Roman" w:hAnsi="Times New Roman" w:eastAsia="Times New Roman" w:cs="Times New Roman"/>
          <w:sz w:val="21"/>
          <w:szCs w:val="21"/>
        </w:rPr>
        <w:t>2</w:t>
      </w:r>
      <w:r>
        <w:rPr>
          <w:rFonts w:ascii="SimSun" w:hAnsi="SimSun" w:eastAsia="SimSun" w:cs="SimSun"/>
          <w:sz w:val="21"/>
          <w:szCs w:val="21"/>
        </w:rPr>
        <w:t>：废水排放量按行业排放标准中规定的废水种类统计，没有相关行业排放标准</w:t>
      </w:r>
      <w:r>
        <w:rPr>
          <w:rFonts w:ascii="SimSun" w:hAnsi="SimSun" w:eastAsia="SimSun" w:cs="SimSun"/>
          <w:sz w:val="21"/>
          <w:szCs w:val="21"/>
          <w:spacing w:val="-1"/>
        </w:rPr>
        <w:t>要求的通</w:t>
      </w:r>
      <w:r>
        <w:rPr>
          <w:rFonts w:ascii="SimSun" w:hAnsi="SimSun" w:eastAsia="SimSun" w:cs="SimSun"/>
          <w:sz w:val="21"/>
          <w:szCs w:val="21"/>
          <w:spacing w:val="-2"/>
        </w:rPr>
        <w:t>过工程分析合理确定，应统计含热量大的冷却水的排放</w:t>
      </w:r>
      <w:r>
        <w:rPr>
          <w:rFonts w:ascii="SimSun" w:hAnsi="SimSun" w:eastAsia="SimSun" w:cs="SimSun"/>
          <w:sz w:val="21"/>
          <w:szCs w:val="21"/>
          <w:spacing w:val="-3"/>
        </w:rPr>
        <w:t>量，可不统计间接冷却水、循环水以</w:t>
      </w:r>
      <w:r>
        <w:rPr>
          <w:rFonts w:ascii="SimSun" w:hAnsi="SimSun" w:eastAsia="SimSun" w:cs="SimSun"/>
          <w:sz w:val="21"/>
          <w:szCs w:val="21"/>
          <w:spacing w:val="-1"/>
        </w:rPr>
        <w:t>及其他含污染物极少的清净下水的排放量。</w:t>
      </w:r>
    </w:p>
    <w:p>
      <w:pPr>
        <w:ind w:left="130" w:right="337"/>
        <w:spacing w:before="3" w:line="234"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3</w:t>
      </w:r>
      <w:r>
        <w:rPr>
          <w:rFonts w:ascii="SimSun" w:hAnsi="SimSun" w:eastAsia="SimSun" w:cs="SimSun"/>
          <w:sz w:val="21"/>
          <w:szCs w:val="21"/>
          <w:spacing w:val="-1"/>
        </w:rPr>
        <w:t>：厂区存在堆积物（露天堆放的原料、燃料、废渣等以及垃</w:t>
      </w:r>
      <w:r>
        <w:rPr>
          <w:rFonts w:ascii="SimSun" w:hAnsi="SimSun" w:eastAsia="SimSun" w:cs="SimSun"/>
          <w:sz w:val="21"/>
          <w:szCs w:val="21"/>
          <w:spacing w:val="-2"/>
        </w:rPr>
        <w:t>圾堆放场）、降尘污染的，</w:t>
      </w:r>
      <w:r>
        <w:rPr>
          <w:rFonts w:ascii="SimSun" w:hAnsi="SimSun" w:eastAsia="SimSun" w:cs="SimSun"/>
          <w:sz w:val="21"/>
          <w:szCs w:val="21"/>
        </w:rPr>
        <w:t>应将初期雨污水纳入废水放量，相应的主要污染物纳入水污染当量</w:t>
      </w:r>
      <w:r>
        <w:rPr>
          <w:rFonts w:ascii="SimSun" w:hAnsi="SimSun" w:eastAsia="SimSun" w:cs="SimSun"/>
          <w:sz w:val="21"/>
          <w:szCs w:val="21"/>
          <w:spacing w:val="-1"/>
        </w:rPr>
        <w:t>计算。</w:t>
      </w:r>
    </w:p>
    <w:p>
      <w:pPr>
        <w:ind w:left="134" w:right="290" w:hanging="4"/>
        <w:spacing w:before="10" w:line="227" w:lineRule="auto"/>
        <w:rPr>
          <w:rFonts w:ascii="SimSun" w:hAnsi="SimSun" w:eastAsia="SimSun" w:cs="SimSun"/>
          <w:sz w:val="21"/>
          <w:szCs w:val="21"/>
        </w:rPr>
      </w:pPr>
      <w:r>
        <w:rPr>
          <w:rFonts w:ascii="SimSun" w:hAnsi="SimSun" w:eastAsia="SimSun" w:cs="SimSun"/>
          <w:sz w:val="21"/>
          <w:szCs w:val="21"/>
        </w:rPr>
        <w:t>注</w:t>
      </w:r>
      <w:r>
        <w:rPr>
          <w:rFonts w:ascii="Times New Roman" w:hAnsi="Times New Roman" w:eastAsia="Times New Roman" w:cs="Times New Roman"/>
          <w:sz w:val="21"/>
          <w:szCs w:val="21"/>
        </w:rPr>
        <w:t>4</w:t>
      </w:r>
      <w:r>
        <w:rPr>
          <w:rFonts w:ascii="SimSun" w:hAnsi="SimSun" w:eastAsia="SimSun" w:cs="SimSun"/>
          <w:sz w:val="21"/>
          <w:szCs w:val="21"/>
        </w:rPr>
        <w:t>：建设项目直接排放第类污染物的，其评价等级为一级；建设项目直接排放的</w:t>
      </w:r>
      <w:r>
        <w:rPr>
          <w:rFonts w:ascii="SimSun" w:hAnsi="SimSun" w:eastAsia="SimSun" w:cs="SimSun"/>
          <w:sz w:val="21"/>
          <w:szCs w:val="21"/>
          <w:spacing w:val="-1"/>
        </w:rPr>
        <w:t>污染物为</w:t>
      </w:r>
      <w:r>
        <w:rPr>
          <w:rFonts w:ascii="SimSun" w:hAnsi="SimSun" w:eastAsia="SimSun" w:cs="SimSun"/>
          <w:sz w:val="21"/>
          <w:szCs w:val="21"/>
          <w:spacing w:val="-2"/>
        </w:rPr>
        <w:t>受纳水体超标因子的，评价等级不低于二级。</w:t>
      </w:r>
    </w:p>
    <w:p>
      <w:pPr>
        <w:spacing w:line="29" w:lineRule="exact"/>
        <w:rPr/>
      </w:pPr>
      <w:r>
        <w:pict>
          <v:shape id="_x0000_s98" style="position:absolute;margin-left:6.36601pt;margin-top:12.794pt;mso-position-vertical-relative:text;mso-position-horizontal-relative:text;width:425.7pt;height:0.6pt;z-index:251687936;" filled="false" strokecolor="#808080" strokeweight="0.50pt" coordsize="8514,12" coordorigin="0,0" path="m5,5l8508,6e">
            <v:stroke endcap="round" miterlimit="10"/>
          </v:shape>
        </w:pict>
      </w:r>
      <w:r>
        <w:rPr/>
        <w:pict>
          <v:shape id="_x0000_s100" style="mso-position-vertical-relative:line;mso-position-horizontal-relative:char;width:426.95pt;height:1.45pt;" fillcolor="#000000" filled="true" stroked="false" coordsize="8539,29" coordorigin="0,0" path="m0,28l8538,28l8538,0l0,0l0,28xe"/>
        </w:pict>
      </w:r>
    </w:p>
    <w:p>
      <w:pPr>
        <w:spacing w:line="29" w:lineRule="exact"/>
        <w:sectPr>
          <w:headerReference w:type="default" r:id="rId52"/>
          <w:footerReference w:type="default" r:id="rId53"/>
          <w:pgSz w:w="11907" w:h="16839"/>
          <w:pgMar w:top="1422" w:right="1613" w:bottom="1618" w:left="1579" w:header="1033" w:footer="1417" w:gutter="0"/>
        </w:sectPr>
        <w:rPr/>
      </w:pPr>
    </w:p>
    <w:p>
      <w:pPr>
        <w:pStyle w:val="BodyText"/>
        <w:spacing w:line="277" w:lineRule="auto"/>
        <w:rPr/>
      </w:pPr>
      <w:r/>
    </w:p>
    <w:p>
      <w:pPr>
        <w:ind w:firstLine="14"/>
        <w:spacing w:line="29" w:lineRule="exact"/>
        <w:rPr/>
      </w:pPr>
      <w:r>
        <w:rPr/>
        <w:pict>
          <v:shape id="_x0000_s102" style="mso-position-vertical-relative:line;mso-position-horizontal-relative:char;width:426.25pt;height:1.45pt;" fillcolor="#000000" filled="true" stroked="false" coordsize="8525,29" coordorigin="0,0" path="m0,28l8524,28l8524,0l0,0l0,28xe"/>
        </w:pict>
      </w:r>
    </w:p>
    <w:p>
      <w:pPr>
        <w:ind w:left="132" w:right="321" w:hanging="2"/>
        <w:spacing w:before="28" w:line="236" w:lineRule="auto"/>
        <w:rPr>
          <w:rFonts w:ascii="SimSun" w:hAnsi="SimSun" w:eastAsia="SimSun" w:cs="SimSun"/>
          <w:sz w:val="21"/>
          <w:szCs w:val="21"/>
        </w:rPr>
      </w:pPr>
      <w:r>
        <w:rPr>
          <w:rFonts w:ascii="SimSun" w:hAnsi="SimSun" w:eastAsia="SimSun" w:cs="SimSun"/>
          <w:sz w:val="21"/>
          <w:szCs w:val="21"/>
        </w:rPr>
        <w:t>注</w:t>
      </w:r>
      <w:r>
        <w:rPr>
          <w:rFonts w:ascii="Times New Roman" w:hAnsi="Times New Roman" w:eastAsia="Times New Roman" w:cs="Times New Roman"/>
          <w:sz w:val="21"/>
          <w:szCs w:val="21"/>
        </w:rPr>
        <w:t>5</w:t>
      </w:r>
      <w:r>
        <w:rPr>
          <w:rFonts w:ascii="SimSun" w:hAnsi="SimSun" w:eastAsia="SimSun" w:cs="SimSun"/>
          <w:sz w:val="21"/>
          <w:szCs w:val="21"/>
        </w:rPr>
        <w:t>：直接排放受纳水体影响范围涉及饮用水水源保护区、饮</w:t>
      </w:r>
      <w:r>
        <w:rPr>
          <w:rFonts w:ascii="SimSun" w:hAnsi="SimSun" w:eastAsia="SimSun" w:cs="SimSun"/>
          <w:sz w:val="21"/>
          <w:szCs w:val="21"/>
          <w:spacing w:val="-1"/>
        </w:rPr>
        <w:t>用水取水口、重点保护与珍稀</w:t>
      </w:r>
      <w:r>
        <w:rPr>
          <w:rFonts w:ascii="SimSun" w:hAnsi="SimSun" w:eastAsia="SimSun" w:cs="SimSun"/>
          <w:sz w:val="21"/>
          <w:szCs w:val="21"/>
        </w:rPr>
        <w:t>水生生物的栖息地、重要水生生物的自然产</w:t>
      </w:r>
      <w:r>
        <w:rPr>
          <w:rFonts w:ascii="SimSun" w:hAnsi="SimSun" w:eastAsia="SimSun" w:cs="SimSun"/>
          <w:sz w:val="21"/>
          <w:szCs w:val="21"/>
          <w:spacing w:val="-1"/>
        </w:rPr>
        <w:t>卵场等保护目标时，评价等级不低于二级。</w:t>
      </w:r>
    </w:p>
    <w:p>
      <w:pPr>
        <w:ind w:left="130" w:right="360"/>
        <w:spacing w:before="7" w:line="233"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6</w:t>
      </w:r>
      <w:r>
        <w:rPr>
          <w:rFonts w:ascii="SimSun" w:hAnsi="SimSun" w:eastAsia="SimSun" w:cs="SimSun"/>
          <w:sz w:val="21"/>
          <w:szCs w:val="21"/>
          <w:spacing w:val="-1"/>
        </w:rPr>
        <w:t>：建设项目向河流、湖库排放温排水引起受纳水体水温变化</w:t>
      </w:r>
      <w:r>
        <w:rPr>
          <w:rFonts w:ascii="SimSun" w:hAnsi="SimSun" w:eastAsia="SimSun" w:cs="SimSun"/>
          <w:sz w:val="21"/>
          <w:szCs w:val="21"/>
          <w:spacing w:val="-2"/>
        </w:rPr>
        <w:t>超过水环境质量标准要求，</w:t>
      </w:r>
      <w:r>
        <w:rPr>
          <w:rFonts w:ascii="SimSun" w:hAnsi="SimSun" w:eastAsia="SimSun" w:cs="SimSun"/>
          <w:sz w:val="21"/>
          <w:szCs w:val="21"/>
          <w:spacing w:val="-1"/>
        </w:rPr>
        <w:t>且评价范围有水温敏感目标时，评价等级为一级。</w:t>
      </w:r>
    </w:p>
    <w:p>
      <w:pPr>
        <w:ind w:left="126" w:right="324" w:firstLine="4"/>
        <w:spacing w:before="1" w:line="243" w:lineRule="auto"/>
        <w:rPr>
          <w:rFonts w:ascii="SimSun" w:hAnsi="SimSun" w:eastAsia="SimSun" w:cs="SimSun"/>
          <w:sz w:val="21"/>
          <w:szCs w:val="21"/>
        </w:rPr>
      </w:pPr>
      <w:r>
        <w:rPr>
          <w:rFonts w:ascii="SimSun" w:hAnsi="SimSun" w:eastAsia="SimSun" w:cs="SimSun"/>
          <w:sz w:val="21"/>
          <w:szCs w:val="21"/>
        </w:rPr>
        <w:t>注</w:t>
      </w:r>
      <w:r>
        <w:rPr>
          <w:rFonts w:ascii="Times New Roman" w:hAnsi="Times New Roman" w:eastAsia="Times New Roman" w:cs="Times New Roman"/>
          <w:sz w:val="21"/>
          <w:szCs w:val="21"/>
        </w:rPr>
        <w:t>7</w:t>
      </w:r>
      <w:r>
        <w:rPr>
          <w:rFonts w:ascii="SimSun" w:hAnsi="SimSun" w:eastAsia="SimSun" w:cs="SimSun"/>
          <w:sz w:val="21"/>
          <w:szCs w:val="21"/>
        </w:rPr>
        <w:t>：建设项目利用海水作为调节温度介质，排水量</w:t>
      </w:r>
      <w:r>
        <w:rPr>
          <w:rFonts w:ascii="Times New Roman" w:hAnsi="Times New Roman" w:eastAsia="Times New Roman" w:cs="Times New Roman"/>
          <w:sz w:val="21"/>
          <w:szCs w:val="21"/>
        </w:rPr>
        <w:t>≥500</w:t>
      </w:r>
      <w:r>
        <w:rPr>
          <w:rFonts w:ascii="SimSun" w:hAnsi="SimSun" w:eastAsia="SimSun" w:cs="SimSun"/>
          <w:sz w:val="21"/>
          <w:szCs w:val="21"/>
        </w:rPr>
        <w:t>万</w:t>
      </w:r>
      <w:r>
        <w:rPr>
          <w:rFonts w:ascii="Times New Roman" w:hAnsi="Times New Roman" w:eastAsia="Times New Roman" w:cs="Times New Roman"/>
          <w:sz w:val="21"/>
          <w:szCs w:val="21"/>
        </w:rPr>
        <w:t>m</w:t>
      </w:r>
      <w:r>
        <w:rPr>
          <w:rFonts w:ascii="Times New Roman" w:hAnsi="Times New Roman" w:eastAsia="Times New Roman" w:cs="Times New Roman"/>
          <w:sz w:val="13"/>
          <w:szCs w:val="13"/>
          <w:position w:val="9"/>
        </w:rPr>
        <w:t>3</w:t>
      </w:r>
      <w:r>
        <w:rPr>
          <w:rFonts w:ascii="Times New Roman" w:hAnsi="Times New Roman" w:eastAsia="Times New Roman" w:cs="Times New Roman"/>
          <w:sz w:val="21"/>
          <w:szCs w:val="21"/>
        </w:rPr>
        <w:t>/d</w:t>
      </w:r>
      <w:r>
        <w:rPr>
          <w:rFonts w:ascii="SimSun" w:hAnsi="SimSun" w:eastAsia="SimSun" w:cs="SimSun"/>
          <w:sz w:val="21"/>
          <w:szCs w:val="21"/>
        </w:rPr>
        <w:t>，评价等级为一级；排水量</w:t>
      </w:r>
      <w:r>
        <w:rPr>
          <w:rFonts w:ascii="Times New Roman" w:hAnsi="Times New Roman" w:eastAsia="Times New Roman" w:cs="Times New Roman"/>
          <w:sz w:val="21"/>
          <w:szCs w:val="21"/>
          <w:spacing w:val="-1"/>
        </w:rPr>
        <w:t>&lt;500</w:t>
      </w:r>
      <w:r>
        <w:rPr>
          <w:rFonts w:ascii="SimSun" w:hAnsi="SimSun" w:eastAsia="SimSun" w:cs="SimSun"/>
          <w:sz w:val="21"/>
          <w:szCs w:val="21"/>
          <w:spacing w:val="-1"/>
        </w:rPr>
        <w:t>万</w:t>
      </w:r>
      <w:r>
        <w:rPr>
          <w:rFonts w:ascii="Times New Roman" w:hAnsi="Times New Roman" w:eastAsia="Times New Roman" w:cs="Times New Roman"/>
          <w:sz w:val="21"/>
          <w:szCs w:val="21"/>
          <w:spacing w:val="-1"/>
        </w:rPr>
        <w:t>m</w:t>
      </w:r>
      <w:r>
        <w:rPr>
          <w:rFonts w:ascii="Times New Roman" w:hAnsi="Times New Roman" w:eastAsia="Times New Roman" w:cs="Times New Roman"/>
          <w:sz w:val="13"/>
          <w:szCs w:val="13"/>
          <w:spacing w:val="-1"/>
          <w:position w:val="9"/>
        </w:rPr>
        <w:t>3</w:t>
      </w:r>
      <w:r>
        <w:rPr>
          <w:rFonts w:ascii="Times New Roman" w:hAnsi="Times New Roman" w:eastAsia="Times New Roman" w:cs="Times New Roman"/>
          <w:sz w:val="21"/>
          <w:szCs w:val="21"/>
          <w:spacing w:val="-1"/>
        </w:rPr>
        <w:t>/d</w:t>
      </w:r>
      <w:r>
        <w:rPr>
          <w:rFonts w:ascii="SimSun" w:hAnsi="SimSun" w:eastAsia="SimSun" w:cs="SimSun"/>
          <w:sz w:val="21"/>
          <w:szCs w:val="21"/>
          <w:spacing w:val="-1"/>
        </w:rPr>
        <w:t>，评价等级为二级。</w:t>
      </w:r>
    </w:p>
    <w:p>
      <w:pPr>
        <w:ind w:left="133" w:right="322" w:hanging="3"/>
        <w:spacing w:before="7" w:line="237" w:lineRule="auto"/>
        <w:rPr>
          <w:rFonts w:ascii="SimSun" w:hAnsi="SimSun" w:eastAsia="SimSun" w:cs="SimSun"/>
          <w:sz w:val="21"/>
          <w:szCs w:val="21"/>
        </w:rPr>
      </w:pPr>
      <w:r>
        <w:rPr>
          <w:rFonts w:ascii="SimSun" w:hAnsi="SimSun" w:eastAsia="SimSun" w:cs="SimSun"/>
          <w:sz w:val="21"/>
          <w:szCs w:val="21"/>
        </w:rPr>
        <w:t>注</w:t>
      </w:r>
      <w:r>
        <w:rPr>
          <w:rFonts w:ascii="Times New Roman" w:hAnsi="Times New Roman" w:eastAsia="Times New Roman" w:cs="Times New Roman"/>
          <w:sz w:val="21"/>
          <w:szCs w:val="21"/>
        </w:rPr>
        <w:t>8</w:t>
      </w:r>
      <w:r>
        <w:rPr>
          <w:rFonts w:ascii="SimSun" w:hAnsi="SimSun" w:eastAsia="SimSun" w:cs="SimSun"/>
          <w:sz w:val="21"/>
          <w:szCs w:val="21"/>
        </w:rPr>
        <w:t>：仅涉及清净下水排放的，如其排放水质满足受纳水体</w:t>
      </w:r>
      <w:r>
        <w:rPr>
          <w:rFonts w:ascii="SimSun" w:hAnsi="SimSun" w:eastAsia="SimSun" w:cs="SimSun"/>
          <w:sz w:val="21"/>
          <w:szCs w:val="21"/>
          <w:spacing w:val="-1"/>
        </w:rPr>
        <w:t>水环境质量标准要求的，评价等</w:t>
      </w:r>
      <w:r>
        <w:rPr>
          <w:rFonts w:ascii="SimSun" w:hAnsi="SimSun" w:eastAsia="SimSun" w:cs="SimSun"/>
          <w:sz w:val="21"/>
          <w:szCs w:val="21"/>
          <w:spacing w:val="-2"/>
        </w:rPr>
        <w:t>级为三级</w:t>
      </w:r>
      <w:r>
        <w:rPr>
          <w:rFonts w:ascii="Times New Roman" w:hAnsi="Times New Roman" w:eastAsia="Times New Roman" w:cs="Times New Roman"/>
          <w:sz w:val="21"/>
          <w:szCs w:val="21"/>
          <w:spacing w:val="-2"/>
        </w:rPr>
        <w:t>A</w:t>
      </w:r>
      <w:r>
        <w:rPr>
          <w:rFonts w:ascii="SimSun" w:hAnsi="SimSun" w:eastAsia="SimSun" w:cs="SimSun"/>
          <w:sz w:val="21"/>
          <w:szCs w:val="21"/>
          <w:spacing w:val="-2"/>
        </w:rPr>
        <w:t>。</w:t>
      </w:r>
    </w:p>
    <w:p>
      <w:pPr>
        <w:ind w:left="146" w:right="330" w:hanging="16"/>
        <w:spacing w:before="4" w:line="237"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9</w:t>
      </w:r>
      <w:r>
        <w:rPr>
          <w:rFonts w:ascii="SimSun" w:hAnsi="SimSun" w:eastAsia="SimSun" w:cs="SimSun"/>
          <w:sz w:val="21"/>
          <w:szCs w:val="21"/>
          <w:spacing w:val="-1"/>
        </w:rPr>
        <w:t>：依托现有排放口，且对外环境未新增排放污染物的直接排放建设项目，评价等级参照</w:t>
      </w:r>
      <w:r>
        <w:rPr>
          <w:rFonts w:ascii="SimSun" w:hAnsi="SimSun" w:eastAsia="SimSun" w:cs="SimSun"/>
          <w:sz w:val="21"/>
          <w:szCs w:val="21"/>
          <w:spacing w:val="-3"/>
        </w:rPr>
        <w:t>间接排放，定为三级</w:t>
      </w:r>
      <w:r>
        <w:rPr>
          <w:rFonts w:ascii="Times New Roman" w:hAnsi="Times New Roman" w:eastAsia="Times New Roman" w:cs="Times New Roman"/>
          <w:sz w:val="21"/>
          <w:szCs w:val="21"/>
          <w:spacing w:val="-3"/>
        </w:rPr>
        <w:t>B</w:t>
      </w:r>
      <w:r>
        <w:rPr>
          <w:rFonts w:ascii="SimSun" w:hAnsi="SimSun" w:eastAsia="SimSun" w:cs="SimSun"/>
          <w:sz w:val="21"/>
          <w:szCs w:val="21"/>
          <w:spacing w:val="-3"/>
        </w:rPr>
        <w:t>。</w:t>
      </w:r>
    </w:p>
    <w:p>
      <w:pPr>
        <w:ind w:left="129" w:right="382"/>
        <w:spacing w:before="8" w:line="226" w:lineRule="auto"/>
        <w:rPr>
          <w:rFonts w:ascii="SimSun" w:hAnsi="SimSun" w:eastAsia="SimSun" w:cs="SimSun"/>
          <w:sz w:val="21"/>
          <w:szCs w:val="21"/>
        </w:rPr>
      </w:pPr>
      <w:r>
        <w:rPr>
          <w:rFonts w:ascii="SimSun" w:hAnsi="SimSun" w:eastAsia="SimSun" w:cs="SimSun"/>
          <w:sz w:val="21"/>
          <w:szCs w:val="21"/>
          <w:spacing w:val="-1"/>
        </w:rPr>
        <w:t>注</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1"/>
        </w:rPr>
        <w:t>10</w:t>
      </w:r>
      <w:r>
        <w:rPr>
          <w:rFonts w:ascii="SimSun" w:hAnsi="SimSun" w:eastAsia="SimSun" w:cs="SimSun"/>
          <w:sz w:val="21"/>
          <w:szCs w:val="21"/>
          <w:spacing w:val="-1"/>
        </w:rPr>
        <w:t>：建设项目生产工艺中有废水产生，但作为回水利用，不排放到外环境的，按三级</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1"/>
        </w:rPr>
        <w:t>B</w:t>
      </w:r>
      <w:r>
        <w:rPr>
          <w:rFonts w:ascii="SimSun" w:hAnsi="SimSun" w:eastAsia="SimSun" w:cs="SimSun"/>
          <w:sz w:val="21"/>
          <w:szCs w:val="21"/>
          <w:spacing w:val="-8"/>
        </w:rPr>
        <w:t>评价。</w:t>
      </w:r>
    </w:p>
    <w:p>
      <w:pPr>
        <w:spacing w:line="28" w:lineRule="exact"/>
        <w:rPr/>
      </w:pPr>
      <w:r>
        <w:rPr/>
        <w:pict>
          <v:shape id="_x0000_s104" style="mso-position-vertical-relative:line;mso-position-horizontal-relative:char;width:426.95pt;height:1.45pt;" fillcolor="#000000" filled="true" stroked="false" coordsize="8539,29" coordorigin="0,0" path="m0,28l8538,28l8538,0l0,0l0,28xe"/>
        </w:pict>
      </w:r>
    </w:p>
    <w:p>
      <w:pPr>
        <w:ind w:left="131" w:right="108" w:firstLine="480"/>
        <w:spacing w:before="32" w:line="360" w:lineRule="auto"/>
        <w:jc w:val="both"/>
        <w:rPr>
          <w:rFonts w:ascii="SimSun" w:hAnsi="SimSun" w:eastAsia="SimSun" w:cs="SimSun"/>
          <w:sz w:val="24"/>
          <w:szCs w:val="24"/>
        </w:rPr>
      </w:pPr>
      <w:r>
        <w:rPr>
          <w:rFonts w:ascii="SimSun" w:hAnsi="SimSun" w:eastAsia="SimSun" w:cs="SimSun"/>
          <w:sz w:val="24"/>
          <w:szCs w:val="24"/>
          <w:spacing w:val="3"/>
        </w:rPr>
        <w:t>本项目废水主要为生活污水和牛尿，生活污水进入防</w:t>
      </w:r>
      <w:r>
        <w:rPr>
          <w:rFonts w:ascii="SimSun" w:hAnsi="SimSun" w:eastAsia="SimSun" w:cs="SimSun"/>
          <w:sz w:val="24"/>
          <w:szCs w:val="24"/>
          <w:spacing w:val="2"/>
        </w:rPr>
        <w:t>渗池，定期由环卫部门</w:t>
      </w:r>
      <w:r>
        <w:rPr>
          <w:rFonts w:ascii="SimSun" w:hAnsi="SimSun" w:eastAsia="SimSun" w:cs="SimSun"/>
          <w:sz w:val="24"/>
          <w:szCs w:val="24"/>
          <w:spacing w:val="2"/>
        </w:rPr>
        <w:t>清抽处理；本项目牛舍铺设垫料，牛尿及牛粪进入垫料，废垫料暂存于储粪库，</w:t>
      </w:r>
      <w:r>
        <w:rPr>
          <w:rFonts w:ascii="SimSun" w:hAnsi="SimSun" w:eastAsia="SimSun" w:cs="SimSun"/>
          <w:sz w:val="24"/>
          <w:szCs w:val="24"/>
          <w:spacing w:val="-2"/>
        </w:rPr>
        <w:t>最终外售相关单位生产有机肥，不外排，按三级 </w:t>
      </w: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38"/>
        </w:rPr>
        <w:t xml:space="preserve"> </w:t>
      </w:r>
      <w:r>
        <w:rPr>
          <w:rFonts w:ascii="SimSun" w:hAnsi="SimSun" w:eastAsia="SimSun" w:cs="SimSun"/>
          <w:sz w:val="24"/>
          <w:szCs w:val="24"/>
          <w:spacing w:val="-2"/>
        </w:rPr>
        <w:t>评价</w:t>
      </w:r>
      <w:r>
        <w:rPr>
          <w:rFonts w:ascii="SimSun" w:hAnsi="SimSun" w:eastAsia="SimSun" w:cs="SimSun"/>
          <w:sz w:val="24"/>
          <w:szCs w:val="24"/>
          <w:spacing w:val="-88"/>
        </w:rPr>
        <w:t xml:space="preserve"> </w:t>
      </w:r>
      <w:r>
        <w:rPr>
          <w:rFonts w:ascii="SimSun" w:hAnsi="SimSun" w:eastAsia="SimSun" w:cs="SimSun"/>
          <w:sz w:val="24"/>
          <w:szCs w:val="24"/>
          <w:spacing w:val="-2"/>
        </w:rPr>
        <w:t>”，因此本项目</w:t>
      </w:r>
      <w:r>
        <w:rPr>
          <w:rFonts w:ascii="SimSun" w:hAnsi="SimSun" w:eastAsia="SimSun" w:cs="SimSun"/>
          <w:sz w:val="24"/>
          <w:szCs w:val="24"/>
          <w:spacing w:val="-3"/>
        </w:rPr>
        <w:t>地表水环</w:t>
      </w:r>
      <w:r>
        <w:rPr>
          <w:rFonts w:ascii="SimSun" w:hAnsi="SimSun" w:eastAsia="SimSun" w:cs="SimSun"/>
          <w:sz w:val="24"/>
          <w:szCs w:val="24"/>
          <w:spacing w:val="-2"/>
        </w:rPr>
        <w:t>境评价等级为三级</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B</w:t>
      </w:r>
      <w:r>
        <w:rPr>
          <w:rFonts w:ascii="SimSun" w:hAnsi="SimSun" w:eastAsia="SimSun" w:cs="SimSun"/>
          <w:sz w:val="24"/>
          <w:szCs w:val="24"/>
          <w:spacing w:val="-2"/>
        </w:rPr>
        <w:t>。</w:t>
      </w:r>
    </w:p>
    <w:p>
      <w:pPr>
        <w:ind w:left="618"/>
        <w:spacing w:before="1"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）地下水</w:t>
      </w:r>
    </w:p>
    <w:p>
      <w:pPr>
        <w:ind w:left="610"/>
        <w:spacing w:before="163" w:line="217" w:lineRule="auto"/>
        <w:rPr>
          <w:rFonts w:ascii="SimSun" w:hAnsi="SimSun" w:eastAsia="SimSun" w:cs="SimSun"/>
          <w:sz w:val="24"/>
          <w:szCs w:val="24"/>
        </w:rPr>
      </w:pPr>
      <w:r>
        <w:rPr>
          <w:rFonts w:ascii="SimSun" w:hAnsi="SimSun" w:eastAsia="SimSun" w:cs="SimSun"/>
          <w:sz w:val="24"/>
          <w:szCs w:val="24"/>
          <w:spacing w:val="-1"/>
        </w:rPr>
        <w:t>①地下水环境影响评价项目类别</w:t>
      </w:r>
    </w:p>
    <w:p>
      <w:pPr>
        <w:ind w:left="135" w:right="109" w:firstLine="476"/>
        <w:spacing w:before="185" w:line="359" w:lineRule="auto"/>
        <w:jc w:val="both"/>
        <w:rPr>
          <w:rFonts w:ascii="SimSun" w:hAnsi="SimSun" w:eastAsia="SimSun" w:cs="SimSun"/>
          <w:sz w:val="24"/>
          <w:szCs w:val="24"/>
        </w:rPr>
      </w:pPr>
      <w:r>
        <w:rPr>
          <w:rFonts w:ascii="SimSun" w:hAnsi="SimSun" w:eastAsia="SimSun" w:cs="SimSun"/>
          <w:sz w:val="24"/>
          <w:szCs w:val="24"/>
          <w:spacing w:val="-4"/>
        </w:rPr>
        <w:t>根据</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4"/>
        </w:rPr>
        <w:t>HJ610-2016</w:t>
      </w:r>
      <w:r>
        <w:rPr>
          <w:rFonts w:ascii="SimSun" w:hAnsi="SimSun" w:eastAsia="SimSun" w:cs="SimSun"/>
          <w:sz w:val="24"/>
          <w:szCs w:val="24"/>
          <w:spacing w:val="-4"/>
        </w:rPr>
        <w:t>《环境影响评价技术导则</w:t>
      </w:r>
      <w:r>
        <w:rPr>
          <w:rFonts w:ascii="Times New Roman" w:hAnsi="Times New Roman" w:eastAsia="Times New Roman" w:cs="Times New Roman"/>
          <w:sz w:val="24"/>
          <w:szCs w:val="24"/>
          <w:spacing w:val="-4"/>
        </w:rPr>
        <w:t>-</w:t>
      </w:r>
      <w:r>
        <w:rPr>
          <w:rFonts w:ascii="SimSun" w:hAnsi="SimSun" w:eastAsia="SimSun" w:cs="SimSun"/>
          <w:sz w:val="24"/>
          <w:szCs w:val="24"/>
          <w:spacing w:val="-4"/>
        </w:rPr>
        <w:t>地下水环境》规定， 评价工作等级</w:t>
      </w:r>
      <w:r>
        <w:rPr>
          <w:rFonts w:ascii="SimSun" w:hAnsi="SimSun" w:eastAsia="SimSun" w:cs="SimSun"/>
          <w:sz w:val="24"/>
          <w:szCs w:val="24"/>
          <w:spacing w:val="2"/>
        </w:rPr>
        <w:t>的划分应依据建设项目行业分类和地下水敏感程度进行判定，本项目行业分类详</w:t>
      </w:r>
      <w:r>
        <w:rPr>
          <w:rFonts w:ascii="SimSun" w:hAnsi="SimSun" w:eastAsia="SimSun" w:cs="SimSun"/>
          <w:sz w:val="24"/>
          <w:szCs w:val="24"/>
          <w:spacing w:val="-3"/>
        </w:rPr>
        <w:t>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2-14</w:t>
      </w:r>
      <w:r>
        <w:rPr>
          <w:rFonts w:ascii="SimSun" w:hAnsi="SimSun" w:eastAsia="SimSun" w:cs="SimSun"/>
          <w:sz w:val="24"/>
          <w:szCs w:val="24"/>
          <w:spacing w:val="-3"/>
        </w:rPr>
        <w:t>。</w:t>
      </w:r>
    </w:p>
    <w:p>
      <w:pPr>
        <w:ind w:left="2024"/>
        <w:spacing w:before="1" w:line="231"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39"/>
        </w:rPr>
        <w:t xml:space="preserve"> </w:t>
      </w:r>
      <w:r>
        <w:rPr>
          <w:rFonts w:ascii="Times New Roman" w:hAnsi="Times New Roman" w:eastAsia="Times New Roman" w:cs="Times New Roman"/>
          <w:sz w:val="24"/>
          <w:szCs w:val="24"/>
          <w:b/>
          <w:bCs/>
          <w:spacing w:val="-3"/>
        </w:rPr>
        <w:t>2-14  </w:t>
      </w:r>
      <w:r>
        <w:rPr>
          <w:rFonts w:ascii="SimSun" w:hAnsi="SimSun" w:eastAsia="SimSun" w:cs="SimSun"/>
          <w:sz w:val="24"/>
          <w:szCs w:val="24"/>
          <w:b/>
          <w:bCs/>
          <w:spacing w:val="-3"/>
        </w:rPr>
        <w:t>地下水环境影响评价行业分类表（摘录）</w:t>
      </w:r>
    </w:p>
    <w:p>
      <w:pPr>
        <w:spacing w:line="132"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64"/>
        <w:gridCol w:w="1786"/>
        <w:gridCol w:w="888"/>
        <w:gridCol w:w="1952"/>
        <w:gridCol w:w="1161"/>
        <w:gridCol w:w="984"/>
      </w:tblGrid>
      <w:tr>
        <w:trPr>
          <w:trHeight w:val="277" w:hRule="atLeast"/>
        </w:trPr>
        <w:tc>
          <w:tcPr>
            <w:tcW w:w="1964" w:type="dxa"/>
            <w:vAlign w:val="top"/>
            <w:vMerge w:val="restart"/>
            <w:tcBorders>
              <w:top w:val="single" w:color="000000" w:sz="10" w:space="0"/>
              <w:left w:val="nil"/>
              <w:tl2br w:val="single" w:color="000000" w:sz="2" w:space="0"/>
              <w:bottom w:val="nil"/>
            </w:tcBorders>
          </w:tcPr>
          <w:p>
            <w:pPr>
              <w:pStyle w:val="TableText"/>
              <w:ind w:left="345" w:right="151" w:firstLine="627"/>
              <w:spacing w:before="96"/>
              <w:rPr/>
            </w:pPr>
            <w:r>
              <w:rPr>
                <w:b/>
                <w:bCs/>
                <w:spacing w:val="-4"/>
              </w:rPr>
              <w:t>环评类别</w:t>
            </w:r>
            <w:r>
              <w:rPr>
                <w:b/>
                <w:bCs/>
                <w:spacing w:val="-4"/>
              </w:rPr>
              <w:t>行业类别</w:t>
            </w:r>
          </w:p>
        </w:tc>
        <w:tc>
          <w:tcPr>
            <w:tcW w:w="1786" w:type="dxa"/>
            <w:vAlign w:val="top"/>
            <w:vMerge w:val="restart"/>
            <w:tcBorders>
              <w:top w:val="single" w:color="000000" w:sz="10" w:space="0"/>
              <w:bottom w:val="nil"/>
            </w:tcBorders>
          </w:tcPr>
          <w:p>
            <w:pPr>
              <w:pStyle w:val="TableText"/>
              <w:ind w:left="577"/>
              <w:spacing w:before="230" w:line="219" w:lineRule="auto"/>
              <w:rPr/>
            </w:pPr>
            <w:r>
              <w:rPr>
                <w:b/>
                <w:bCs/>
                <w:spacing w:val="-3"/>
              </w:rPr>
              <w:t>报告书</w:t>
            </w:r>
          </w:p>
        </w:tc>
        <w:tc>
          <w:tcPr>
            <w:tcW w:w="888" w:type="dxa"/>
            <w:vAlign w:val="top"/>
            <w:vMerge w:val="restart"/>
            <w:tcBorders>
              <w:top w:val="single" w:color="000000" w:sz="10" w:space="0"/>
              <w:bottom w:val="nil"/>
            </w:tcBorders>
          </w:tcPr>
          <w:p>
            <w:pPr>
              <w:pStyle w:val="TableText"/>
              <w:ind w:left="130"/>
              <w:spacing w:before="230" w:line="219" w:lineRule="auto"/>
              <w:rPr/>
            </w:pPr>
            <w:r>
              <w:rPr>
                <w:b/>
                <w:bCs/>
                <w:spacing w:val="-3"/>
              </w:rPr>
              <w:t>报告表</w:t>
            </w:r>
          </w:p>
        </w:tc>
        <w:tc>
          <w:tcPr>
            <w:tcW w:w="3113" w:type="dxa"/>
            <w:vAlign w:val="top"/>
            <w:gridSpan w:val="2"/>
            <w:tcBorders>
              <w:top w:val="single" w:color="000000" w:sz="10" w:space="0"/>
            </w:tcBorders>
          </w:tcPr>
          <w:p>
            <w:pPr>
              <w:pStyle w:val="TableText"/>
              <w:ind w:left="401"/>
              <w:spacing w:before="33" w:line="205" w:lineRule="auto"/>
              <w:rPr/>
            </w:pPr>
            <w:r>
              <w:rPr>
                <w:b/>
                <w:bCs/>
                <w:spacing w:val="-2"/>
              </w:rPr>
              <w:t>地下水环境影响评价类别</w:t>
            </w:r>
          </w:p>
        </w:tc>
        <w:tc>
          <w:tcPr>
            <w:tcW w:w="984" w:type="dxa"/>
            <w:vAlign w:val="top"/>
            <w:tcBorders>
              <w:top w:val="single" w:color="000000" w:sz="10" w:space="0"/>
              <w:right w:val="nil"/>
            </w:tcBorders>
          </w:tcPr>
          <w:p>
            <w:pPr>
              <w:pStyle w:val="TableText"/>
              <w:ind w:left="181"/>
              <w:spacing w:before="33" w:line="205" w:lineRule="auto"/>
              <w:rPr/>
            </w:pPr>
            <w:r>
              <w:rPr>
                <w:b/>
                <w:bCs/>
                <w:spacing w:val="-4"/>
              </w:rPr>
              <w:t>本项目</w:t>
            </w:r>
          </w:p>
        </w:tc>
      </w:tr>
      <w:tr>
        <w:trPr>
          <w:trHeight w:val="382" w:hRule="atLeast"/>
        </w:trPr>
        <w:tc>
          <w:tcPr>
            <w:tcW w:w="1964" w:type="dxa"/>
            <w:vAlign w:val="top"/>
            <w:vMerge w:val="continue"/>
            <w:tcBorders>
              <w:top w:val="nil"/>
              <w:left w:val="nil"/>
              <w:tl2br w:val="single" w:color="000000" w:sz="2" w:space="0"/>
            </w:tcBorders>
          </w:tcPr>
          <w:p>
            <w:pPr>
              <w:rPr>
                <w:rFonts w:ascii="Arial"/>
                <w:sz w:val="21"/>
              </w:rPr>
            </w:pPr>
            <w:r/>
          </w:p>
        </w:tc>
        <w:tc>
          <w:tcPr>
            <w:tcW w:w="1786" w:type="dxa"/>
            <w:vAlign w:val="top"/>
            <w:vMerge w:val="continue"/>
            <w:tcBorders>
              <w:top w:val="nil"/>
            </w:tcBorders>
          </w:tcPr>
          <w:p>
            <w:pPr>
              <w:rPr>
                <w:rFonts w:ascii="Arial"/>
                <w:sz w:val="21"/>
              </w:rPr>
            </w:pPr>
            <w:r/>
          </w:p>
        </w:tc>
        <w:tc>
          <w:tcPr>
            <w:tcW w:w="888" w:type="dxa"/>
            <w:vAlign w:val="top"/>
            <w:vMerge w:val="continue"/>
            <w:tcBorders>
              <w:top w:val="nil"/>
            </w:tcBorders>
          </w:tcPr>
          <w:p>
            <w:pPr>
              <w:rPr>
                <w:rFonts w:ascii="Arial"/>
                <w:sz w:val="21"/>
              </w:rPr>
            </w:pPr>
            <w:r/>
          </w:p>
        </w:tc>
        <w:tc>
          <w:tcPr>
            <w:tcW w:w="1952" w:type="dxa"/>
            <w:vAlign w:val="top"/>
          </w:tcPr>
          <w:p>
            <w:pPr>
              <w:pStyle w:val="TableText"/>
              <w:ind w:left="661"/>
              <w:spacing w:before="90" w:line="219" w:lineRule="auto"/>
              <w:rPr/>
            </w:pPr>
            <w:r>
              <w:rPr>
                <w:b/>
                <w:bCs/>
                <w:spacing w:val="-3"/>
              </w:rPr>
              <w:t>报告书</w:t>
            </w:r>
          </w:p>
        </w:tc>
        <w:tc>
          <w:tcPr>
            <w:tcW w:w="1161" w:type="dxa"/>
            <w:vAlign w:val="top"/>
          </w:tcPr>
          <w:p>
            <w:pPr>
              <w:pStyle w:val="TableText"/>
              <w:ind w:left="265"/>
              <w:spacing w:before="90" w:line="219" w:lineRule="auto"/>
              <w:rPr/>
            </w:pPr>
            <w:r>
              <w:rPr>
                <w:b/>
                <w:bCs/>
                <w:spacing w:val="-3"/>
              </w:rPr>
              <w:t>报告表</w:t>
            </w:r>
          </w:p>
        </w:tc>
        <w:tc>
          <w:tcPr>
            <w:tcW w:w="984" w:type="dxa"/>
            <w:vAlign w:val="top"/>
            <w:tcBorders>
              <w:right w:val="nil"/>
            </w:tcBorders>
          </w:tcPr>
          <w:p>
            <w:pPr>
              <w:pStyle w:val="TableText"/>
              <w:ind w:left="179"/>
              <w:spacing w:before="90" w:line="219" w:lineRule="auto"/>
              <w:rPr/>
            </w:pPr>
            <w:r>
              <w:rPr>
                <w:b/>
                <w:bCs/>
                <w:spacing w:val="-3"/>
              </w:rPr>
              <w:t>报告书</w:t>
            </w:r>
          </w:p>
        </w:tc>
      </w:tr>
      <w:tr>
        <w:trPr>
          <w:trHeight w:val="833" w:hRule="atLeast"/>
        </w:trPr>
        <w:tc>
          <w:tcPr>
            <w:tcW w:w="1964" w:type="dxa"/>
            <w:vAlign w:val="top"/>
            <w:tcBorders>
              <w:bottom w:val="single" w:color="000000" w:sz="10" w:space="0"/>
              <w:left w:val="nil"/>
            </w:tcBorders>
          </w:tcPr>
          <w:p>
            <w:pPr>
              <w:pStyle w:val="TableText"/>
              <w:ind w:left="791" w:right="130" w:hanging="621"/>
              <w:spacing w:before="179" w:line="241" w:lineRule="auto"/>
              <w:rPr/>
            </w:pPr>
            <w:r>
              <w:rPr>
                <w:spacing w:val="-3"/>
              </w:rPr>
              <w:t>畜禽养殖场、养殖</w:t>
            </w:r>
            <w:r>
              <w:rPr>
                <w:spacing w:val="-3"/>
              </w:rPr>
              <w:t>小区</w:t>
            </w:r>
          </w:p>
        </w:tc>
        <w:tc>
          <w:tcPr>
            <w:tcW w:w="1786" w:type="dxa"/>
            <w:vAlign w:val="top"/>
            <w:tcBorders>
              <w:bottom w:val="single" w:color="000000" w:sz="10" w:space="0"/>
            </w:tcBorders>
          </w:tcPr>
          <w:p>
            <w:pPr>
              <w:pStyle w:val="TableText"/>
              <w:ind w:left="135"/>
              <w:spacing w:before="41" w:line="234" w:lineRule="auto"/>
              <w:rPr>
                <w:rFonts w:ascii="Times New Roman" w:hAnsi="Times New Roman" w:eastAsia="Times New Roman" w:cs="Times New Roman"/>
              </w:rPr>
            </w:pPr>
            <w:r>
              <w:rPr>
                <w:spacing w:val="-2"/>
              </w:rPr>
              <w:t>年出栏生猪</w:t>
            </w:r>
            <w:r>
              <w:rPr>
                <w:spacing w:val="-42"/>
              </w:rPr>
              <w:t xml:space="preserve"> </w:t>
            </w:r>
            <w:r>
              <w:rPr>
                <w:rFonts w:ascii="Times New Roman" w:hAnsi="Times New Roman" w:eastAsia="Times New Roman" w:cs="Times New Roman"/>
                <w:spacing w:val="-2"/>
              </w:rPr>
              <w:t>5000</w:t>
            </w:r>
          </w:p>
          <w:p>
            <w:pPr>
              <w:pStyle w:val="TableText"/>
              <w:ind w:left="164"/>
              <w:spacing w:before="6" w:line="221" w:lineRule="auto"/>
              <w:rPr/>
            </w:pPr>
            <w:r>
              <w:rPr>
                <w:spacing w:val="-1"/>
              </w:rPr>
              <w:t>头及以上；涉及</w:t>
            </w:r>
          </w:p>
          <w:p>
            <w:pPr>
              <w:pStyle w:val="TableText"/>
              <w:ind w:left="267"/>
              <w:spacing w:before="20" w:line="208" w:lineRule="auto"/>
              <w:rPr/>
            </w:pPr>
            <w:r>
              <w:rPr>
                <w:spacing w:val="-1"/>
              </w:rPr>
              <w:t>环境敏感区的</w:t>
            </w:r>
          </w:p>
        </w:tc>
        <w:tc>
          <w:tcPr>
            <w:tcW w:w="888" w:type="dxa"/>
            <w:vAlign w:val="top"/>
            <w:tcBorders>
              <w:bottom w:val="single" w:color="000000" w:sz="10" w:space="0"/>
            </w:tcBorders>
          </w:tcPr>
          <w:p>
            <w:pPr>
              <w:spacing w:line="280" w:lineRule="auto"/>
              <w:rPr>
                <w:rFonts w:ascii="Arial"/>
                <w:sz w:val="21"/>
              </w:rPr>
            </w:pPr>
            <w:r/>
          </w:p>
          <w:p>
            <w:pPr>
              <w:ind w:left="412"/>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52" w:type="dxa"/>
            <w:vAlign w:val="top"/>
            <w:tcBorders>
              <w:bottom w:val="single" w:color="000000" w:sz="10" w:space="0"/>
            </w:tcBorders>
          </w:tcPr>
          <w:p>
            <w:pPr>
              <w:spacing w:line="244" w:lineRule="auto"/>
              <w:rPr>
                <w:rFonts w:ascii="Arial"/>
                <w:sz w:val="21"/>
              </w:rPr>
            </w:pPr>
            <w:r/>
          </w:p>
          <w:p>
            <w:pPr>
              <w:pStyle w:val="TableText"/>
              <w:ind w:left="770"/>
              <w:spacing w:before="68" w:line="221" w:lineRule="auto"/>
              <w:rPr/>
            </w:pPr>
            <w:r>
              <w:rPr>
                <w:rFonts w:ascii="Times New Roman" w:hAnsi="Times New Roman" w:eastAsia="Times New Roman" w:cs="Times New Roman"/>
                <w:spacing w:val="-2"/>
              </w:rPr>
              <w:t>Ⅲ</w:t>
            </w:r>
            <w:r>
              <w:rPr>
                <w:spacing w:val="-2"/>
              </w:rPr>
              <w:t>类</w:t>
            </w:r>
          </w:p>
        </w:tc>
        <w:tc>
          <w:tcPr>
            <w:tcW w:w="1161" w:type="dxa"/>
            <w:vAlign w:val="top"/>
            <w:tcBorders>
              <w:bottom w:val="single" w:color="000000" w:sz="10" w:space="0"/>
            </w:tcBorders>
          </w:tcPr>
          <w:p>
            <w:pPr>
              <w:spacing w:line="280" w:lineRule="auto"/>
              <w:rPr>
                <w:rFonts w:ascii="Arial"/>
                <w:sz w:val="21"/>
              </w:rPr>
            </w:pPr>
            <w:r/>
          </w:p>
          <w:p>
            <w:pPr>
              <w:ind w:left="546"/>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984" w:type="dxa"/>
            <w:vAlign w:val="top"/>
            <w:tcBorders>
              <w:bottom w:val="single" w:color="000000" w:sz="10" w:space="0"/>
              <w:right w:val="nil"/>
            </w:tcBorders>
          </w:tcPr>
          <w:p>
            <w:pPr>
              <w:spacing w:line="244" w:lineRule="auto"/>
              <w:rPr>
                <w:rFonts w:ascii="Arial"/>
                <w:sz w:val="21"/>
              </w:rPr>
            </w:pPr>
            <w:r/>
          </w:p>
          <w:p>
            <w:pPr>
              <w:pStyle w:val="TableText"/>
              <w:ind w:left="288"/>
              <w:spacing w:before="68" w:line="221" w:lineRule="auto"/>
              <w:rPr/>
            </w:pPr>
            <w:r>
              <w:rPr>
                <w:rFonts w:ascii="Times New Roman" w:hAnsi="Times New Roman" w:eastAsia="Times New Roman" w:cs="Times New Roman"/>
                <w:spacing w:val="-2"/>
              </w:rPr>
              <w:t>Ⅲ</w:t>
            </w:r>
            <w:r>
              <w:rPr>
                <w:spacing w:val="-2"/>
              </w:rPr>
              <w:t>类</w:t>
            </w:r>
          </w:p>
        </w:tc>
      </w:tr>
    </w:tbl>
    <w:p>
      <w:pPr>
        <w:ind w:left="130"/>
        <w:spacing w:before="30" w:line="234" w:lineRule="auto"/>
        <w:rPr>
          <w:rFonts w:ascii="SimSun" w:hAnsi="SimSun" w:eastAsia="SimSun" w:cs="SimSun"/>
          <w:sz w:val="21"/>
          <w:szCs w:val="21"/>
        </w:rPr>
      </w:pPr>
      <w:r>
        <w:rPr>
          <w:rFonts w:ascii="SimSun" w:hAnsi="SimSun" w:eastAsia="SimSun" w:cs="SimSun"/>
          <w:sz w:val="21"/>
          <w:szCs w:val="21"/>
          <w:spacing w:val="-2"/>
        </w:rPr>
        <w:t>注：本项目年存栏肉牛</w:t>
      </w:r>
      <w:r>
        <w:rPr>
          <w:rFonts w:ascii="SimSun" w:hAnsi="SimSun" w:eastAsia="SimSun" w:cs="SimSun"/>
          <w:sz w:val="21"/>
          <w:szCs w:val="21"/>
          <w:spacing w:val="-37"/>
        </w:rPr>
        <w:t xml:space="preserve"> </w:t>
      </w:r>
      <w:r>
        <w:rPr>
          <w:rFonts w:ascii="Times New Roman" w:hAnsi="Times New Roman" w:eastAsia="Times New Roman" w:cs="Times New Roman"/>
          <w:sz w:val="21"/>
          <w:szCs w:val="21"/>
          <w:spacing w:val="-2"/>
        </w:rPr>
        <w:t>600 </w:t>
      </w:r>
      <w:r>
        <w:rPr>
          <w:rFonts w:ascii="SimSun" w:hAnsi="SimSun" w:eastAsia="SimSun" w:cs="SimSun"/>
          <w:sz w:val="21"/>
          <w:szCs w:val="21"/>
          <w:spacing w:val="-2"/>
        </w:rPr>
        <w:t>头，年出栏育肥牛</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2"/>
        </w:rPr>
        <w:t>1200 </w:t>
      </w:r>
      <w:r>
        <w:rPr>
          <w:rFonts w:ascii="SimSun" w:hAnsi="SimSun" w:eastAsia="SimSun" w:cs="SimSun"/>
          <w:sz w:val="21"/>
          <w:szCs w:val="21"/>
          <w:spacing w:val="-2"/>
        </w:rPr>
        <w:t>头。</w:t>
      </w:r>
    </w:p>
    <w:p>
      <w:pPr>
        <w:ind w:left="609"/>
        <w:spacing w:before="147" w:line="217" w:lineRule="auto"/>
        <w:rPr>
          <w:rFonts w:ascii="SimSun" w:hAnsi="SimSun" w:eastAsia="SimSun" w:cs="SimSun"/>
          <w:sz w:val="24"/>
          <w:szCs w:val="24"/>
        </w:rPr>
      </w:pPr>
      <w:r>
        <w:rPr>
          <w:rFonts w:ascii="SimSun" w:hAnsi="SimSun" w:eastAsia="SimSun" w:cs="SimSun"/>
          <w:sz w:val="24"/>
          <w:szCs w:val="24"/>
          <w:spacing w:val="-1"/>
        </w:rPr>
        <w:t>②地下水环境敏感程度</w:t>
      </w:r>
    </w:p>
    <w:p>
      <w:pPr>
        <w:ind w:left="611"/>
        <w:spacing w:before="186" w:line="233" w:lineRule="auto"/>
        <w:rPr>
          <w:rFonts w:ascii="SimSun" w:hAnsi="SimSun" w:eastAsia="SimSun" w:cs="SimSun"/>
          <w:sz w:val="24"/>
          <w:szCs w:val="24"/>
        </w:rPr>
      </w:pPr>
      <w:r>
        <w:rPr>
          <w:rFonts w:ascii="SimSun" w:hAnsi="SimSun" w:eastAsia="SimSun" w:cs="SimSun"/>
          <w:sz w:val="24"/>
          <w:szCs w:val="24"/>
          <w:spacing w:val="-1"/>
        </w:rPr>
        <w:t>地下水敏感程度划分详见表</w:t>
      </w:r>
      <w:r>
        <w:rPr>
          <w:rFonts w:ascii="Times New Roman" w:hAnsi="Times New Roman" w:eastAsia="Times New Roman" w:cs="Times New Roman"/>
          <w:sz w:val="24"/>
          <w:szCs w:val="24"/>
          <w:spacing w:val="-1"/>
        </w:rPr>
        <w:t>2-15</w:t>
      </w:r>
      <w:r>
        <w:rPr>
          <w:rFonts w:ascii="SimSun" w:hAnsi="SimSun" w:eastAsia="SimSun" w:cs="SimSun"/>
          <w:sz w:val="24"/>
          <w:szCs w:val="24"/>
          <w:spacing w:val="-1"/>
        </w:rPr>
        <w:t>。</w:t>
      </w:r>
    </w:p>
    <w:p>
      <w:pPr>
        <w:ind w:left="2687"/>
        <w:spacing w:before="163"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8"/>
        </w:rPr>
        <w:t xml:space="preserve"> </w:t>
      </w:r>
      <w:r>
        <w:rPr>
          <w:rFonts w:ascii="Times New Roman" w:hAnsi="Times New Roman" w:eastAsia="Times New Roman" w:cs="Times New Roman"/>
          <w:sz w:val="24"/>
          <w:szCs w:val="24"/>
          <w:b/>
          <w:bCs/>
          <w:spacing w:val="-2"/>
        </w:rPr>
        <w:t>2-15    </w:t>
      </w:r>
      <w:r>
        <w:rPr>
          <w:rFonts w:ascii="SimSun" w:hAnsi="SimSun" w:eastAsia="SimSun" w:cs="SimSun"/>
          <w:sz w:val="24"/>
          <w:szCs w:val="24"/>
          <w:b/>
          <w:bCs/>
          <w:spacing w:val="-2"/>
        </w:rPr>
        <w:t>地下水环境敏感程度分级表</w:t>
      </w:r>
    </w:p>
    <w:p>
      <w:pPr>
        <w:spacing w:line="131" w:lineRule="exact"/>
        <w:rPr/>
      </w:pPr>
      <w:r/>
    </w:p>
    <w:tbl>
      <w:tblPr>
        <w:tblStyle w:val="TableNormal"/>
        <w:tblW w:w="853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7336"/>
      </w:tblGrid>
      <w:tr>
        <w:trPr>
          <w:trHeight w:val="278" w:hRule="atLeast"/>
        </w:trPr>
        <w:tc>
          <w:tcPr>
            <w:tcW w:w="1202" w:type="dxa"/>
            <w:vAlign w:val="top"/>
            <w:tcBorders>
              <w:left w:val="nil"/>
              <w:top w:val="single" w:color="000000" w:sz="10" w:space="0"/>
            </w:tcBorders>
          </w:tcPr>
          <w:p>
            <w:pPr>
              <w:pStyle w:val="TableText"/>
              <w:ind w:left="196"/>
              <w:spacing w:before="33" w:line="206" w:lineRule="auto"/>
              <w:rPr/>
            </w:pPr>
            <w:r>
              <w:rPr>
                <w:b/>
                <w:bCs/>
                <w:spacing w:val="-4"/>
              </w:rPr>
              <w:t>敏感程度</w:t>
            </w:r>
          </w:p>
        </w:tc>
        <w:tc>
          <w:tcPr>
            <w:tcW w:w="7336" w:type="dxa"/>
            <w:vAlign w:val="top"/>
            <w:tcBorders>
              <w:right w:val="nil"/>
              <w:top w:val="single" w:color="000000" w:sz="10" w:space="0"/>
            </w:tcBorders>
          </w:tcPr>
          <w:p>
            <w:pPr>
              <w:pStyle w:val="TableText"/>
              <w:ind w:left="2723"/>
              <w:spacing w:before="33" w:line="206" w:lineRule="auto"/>
              <w:rPr/>
            </w:pPr>
            <w:r>
              <w:rPr>
                <w:b/>
                <w:bCs/>
                <w:spacing w:val="-2"/>
              </w:rPr>
              <w:t>地下水环境敏感特征</w:t>
            </w:r>
          </w:p>
        </w:tc>
      </w:tr>
      <w:tr>
        <w:trPr>
          <w:trHeight w:val="810" w:hRule="atLeast"/>
        </w:trPr>
        <w:tc>
          <w:tcPr>
            <w:tcW w:w="1202" w:type="dxa"/>
            <w:vAlign w:val="top"/>
            <w:tcBorders>
              <w:left w:val="nil"/>
            </w:tcBorders>
          </w:tcPr>
          <w:p>
            <w:pPr>
              <w:pStyle w:val="TableText"/>
              <w:ind w:left="407"/>
              <w:spacing w:before="304" w:line="221" w:lineRule="auto"/>
              <w:rPr/>
            </w:pPr>
            <w:r>
              <w:rPr>
                <w:spacing w:val="-2"/>
              </w:rPr>
              <w:t>敏感</w:t>
            </w:r>
          </w:p>
        </w:tc>
        <w:tc>
          <w:tcPr>
            <w:tcW w:w="7336" w:type="dxa"/>
            <w:vAlign w:val="top"/>
            <w:tcBorders>
              <w:right w:val="nil"/>
            </w:tcBorders>
          </w:tcPr>
          <w:p>
            <w:pPr>
              <w:pStyle w:val="TableText"/>
              <w:ind w:left="116" w:right="105" w:hanging="2"/>
              <w:spacing w:before="32" w:line="225" w:lineRule="auto"/>
              <w:jc w:val="both"/>
              <w:rPr/>
            </w:pPr>
            <w:r>
              <w:rPr>
                <w:spacing w:val="-1"/>
              </w:rPr>
              <w:t>集中式饮用水水源（包括已建成的在用、备用、应急水源，在建和规划的饮用</w:t>
            </w:r>
            <w:r>
              <w:rPr>
                <w:spacing w:val="-1"/>
              </w:rPr>
              <w:t>水水源）准保护区；除集中式饮用水水源以外的国家或地方政府设定的与地下</w:t>
            </w:r>
            <w:r>
              <w:rPr>
                <w:spacing w:val="-1"/>
              </w:rPr>
              <w:t>水环境相关的其它保护区，如热水、矿泉水、温泉等特殊地下水</w:t>
            </w:r>
            <w:r>
              <w:rPr>
                <w:spacing w:val="-2"/>
              </w:rPr>
              <w:t>资源保护区。</w:t>
            </w:r>
          </w:p>
        </w:tc>
      </w:tr>
      <w:tr>
        <w:trPr>
          <w:trHeight w:val="836" w:hRule="atLeast"/>
        </w:trPr>
        <w:tc>
          <w:tcPr>
            <w:tcW w:w="1202" w:type="dxa"/>
            <w:vAlign w:val="top"/>
            <w:tcBorders>
              <w:left w:val="nil"/>
              <w:bottom w:val="single" w:color="000000" w:sz="10" w:space="0"/>
            </w:tcBorders>
          </w:tcPr>
          <w:p>
            <w:pPr>
              <w:spacing w:line="247" w:lineRule="auto"/>
              <w:rPr>
                <w:rFonts w:ascii="Arial"/>
                <w:sz w:val="21"/>
              </w:rPr>
            </w:pPr>
            <w:r/>
          </w:p>
          <w:p>
            <w:pPr>
              <w:pStyle w:val="TableText"/>
              <w:ind w:left="301"/>
              <w:spacing w:before="68" w:line="221" w:lineRule="auto"/>
              <w:rPr/>
            </w:pPr>
            <w:r>
              <w:rPr>
                <w:spacing w:val="-2"/>
              </w:rPr>
              <w:t>较敏感</w:t>
            </w:r>
          </w:p>
        </w:tc>
        <w:tc>
          <w:tcPr>
            <w:tcW w:w="7336" w:type="dxa"/>
            <w:vAlign w:val="top"/>
            <w:tcBorders>
              <w:right w:val="nil"/>
              <w:bottom w:val="single" w:color="000000" w:sz="10" w:space="0"/>
            </w:tcBorders>
          </w:tcPr>
          <w:p>
            <w:pPr>
              <w:pStyle w:val="TableText"/>
              <w:ind w:left="114" w:right="105"/>
              <w:spacing w:before="47" w:line="228" w:lineRule="auto"/>
              <w:jc w:val="both"/>
              <w:rPr/>
            </w:pPr>
            <w:r>
              <w:rPr>
                <w:spacing w:val="-1"/>
              </w:rPr>
              <w:t>集中式饮用水水源（包括已建成的在用、备用、应急水源，在建和规划的饮用</w:t>
            </w:r>
            <w:r>
              <w:rPr>
                <w:spacing w:val="-1"/>
              </w:rPr>
              <w:t>水水源）准保护区以外的补给径流区；未划定准保护区的集中式饮用水水源，</w:t>
            </w:r>
            <w:r>
              <w:rPr>
                <w:spacing w:val="-1"/>
              </w:rPr>
              <w:t>其保护区以外的补给径流区；分散式饮用水水源地；特殊地下水资源（如矿泉</w:t>
            </w:r>
          </w:p>
        </w:tc>
      </w:tr>
    </w:tbl>
    <w:p>
      <w:pPr>
        <w:pStyle w:val="BodyText"/>
        <w:spacing w:line="162" w:lineRule="exact"/>
        <w:rPr>
          <w:sz w:val="14"/>
        </w:rPr>
      </w:pPr>
      <w:r>
        <w:pict>
          <v:shape id="_x0000_s106" style="position:absolute;margin-left:6.36601pt;margin-top:7.874pt;mso-position-vertical-relative:text;mso-position-horizontal-relative:text;width:425.7pt;height:0.6pt;z-index:251688960;" filled="false" strokecolor="#808080" strokeweight="0.50pt" coordsize="8514,12" coordorigin="0,0" path="m5,5l8508,6e">
            <v:stroke endcap="round" miterlimit="10"/>
          </v:shape>
        </w:pict>
      </w:r>
      <w:r/>
    </w:p>
    <w:p>
      <w:pPr>
        <w:spacing w:line="162" w:lineRule="exact"/>
        <w:sectPr>
          <w:headerReference w:type="default" r:id="rId17"/>
          <w:footerReference w:type="default" r:id="rId54"/>
          <w:pgSz w:w="11907" w:h="16839"/>
          <w:pgMar w:top="1422" w:right="1591" w:bottom="1618" w:left="1579" w:header="1033" w:footer="1417" w:gutter="0"/>
        </w:sectPr>
        <w:rPr>
          <w:sz w:val="14"/>
          <w:szCs w:val="14"/>
        </w:rPr>
      </w:pPr>
    </w:p>
    <w:p>
      <w:pPr>
        <w:spacing w:before="37"/>
        <w:rPr/>
      </w:pPr>
      <w:r/>
    </w:p>
    <w:tbl>
      <w:tblPr>
        <w:tblStyle w:val="TableNormal"/>
        <w:tblW w:w="8524"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8"/>
        <w:gridCol w:w="7336"/>
      </w:tblGrid>
      <w:tr>
        <w:trPr>
          <w:trHeight w:val="280" w:hRule="atLeast"/>
        </w:trPr>
        <w:tc>
          <w:tcPr>
            <w:tcW w:w="1188" w:type="dxa"/>
            <w:vAlign w:val="top"/>
            <w:tcBorders>
              <w:left w:val="nil"/>
              <w:top w:val="single" w:color="000000" w:sz="10" w:space="0"/>
            </w:tcBorders>
          </w:tcPr>
          <w:p>
            <w:pPr>
              <w:rPr>
                <w:rFonts w:ascii="Arial"/>
                <w:sz w:val="21"/>
              </w:rPr>
            </w:pPr>
            <w:r/>
          </w:p>
        </w:tc>
        <w:tc>
          <w:tcPr>
            <w:tcW w:w="7336" w:type="dxa"/>
            <w:vAlign w:val="top"/>
            <w:tcBorders>
              <w:right w:val="nil"/>
              <w:top w:val="single" w:color="000000" w:sz="10" w:space="0"/>
            </w:tcBorders>
          </w:tcPr>
          <w:p>
            <w:pPr>
              <w:pStyle w:val="TableText"/>
              <w:ind w:right="1"/>
              <w:spacing w:before="18" w:line="221" w:lineRule="auto"/>
              <w:jc w:val="right"/>
              <w:rPr/>
            </w:pPr>
            <w:r>
              <w:rPr>
                <w:spacing w:val="-1"/>
              </w:rPr>
              <w:t>水、温泉等）保护区以外的分布区等其他未列入上述敏感分级的</w:t>
            </w:r>
            <w:r>
              <w:rPr>
                <w:spacing w:val="-2"/>
              </w:rPr>
              <w:t>环境敏感区</w:t>
            </w:r>
            <w:r>
              <w:rPr>
                <w:spacing w:val="-46"/>
              </w:rPr>
              <w:t xml:space="preserve"> </w:t>
            </w:r>
            <w:r>
              <w:rPr>
                <w:rFonts w:ascii="Times New Roman" w:hAnsi="Times New Roman" w:eastAsia="Times New Roman" w:cs="Times New Roman"/>
                <w:sz w:val="13"/>
                <w:szCs w:val="13"/>
                <w:spacing w:val="-2"/>
                <w:position w:val="9"/>
              </w:rPr>
              <w:t>a</w:t>
            </w:r>
            <w:r>
              <w:rPr>
                <w:spacing w:val="-2"/>
              </w:rPr>
              <w:t>。</w:t>
            </w:r>
          </w:p>
        </w:tc>
      </w:tr>
      <w:tr>
        <w:trPr>
          <w:trHeight w:val="278" w:hRule="atLeast"/>
        </w:trPr>
        <w:tc>
          <w:tcPr>
            <w:tcW w:w="1188" w:type="dxa"/>
            <w:vAlign w:val="top"/>
            <w:tcBorders>
              <w:left w:val="nil"/>
            </w:tcBorders>
          </w:tcPr>
          <w:p>
            <w:pPr>
              <w:pStyle w:val="TableText"/>
              <w:ind w:left="290"/>
              <w:spacing w:before="32" w:line="207" w:lineRule="auto"/>
              <w:rPr/>
            </w:pPr>
            <w:r>
              <w:rPr>
                <w:spacing w:val="-2"/>
              </w:rPr>
              <w:t>不敏感</w:t>
            </w:r>
          </w:p>
        </w:tc>
        <w:tc>
          <w:tcPr>
            <w:tcW w:w="7336" w:type="dxa"/>
            <w:vAlign w:val="top"/>
            <w:tcBorders>
              <w:right w:val="nil"/>
            </w:tcBorders>
          </w:tcPr>
          <w:p>
            <w:pPr>
              <w:pStyle w:val="TableText"/>
              <w:ind w:left="2412"/>
              <w:spacing w:before="32" w:line="207" w:lineRule="auto"/>
              <w:rPr/>
            </w:pPr>
            <w:r>
              <w:rPr>
                <w:spacing w:val="-1"/>
              </w:rPr>
              <w:t>上述地区之外的其它地区。</w:t>
            </w:r>
          </w:p>
        </w:tc>
      </w:tr>
    </w:tbl>
    <w:p>
      <w:pPr>
        <w:ind w:left="130" w:right="277"/>
        <w:spacing w:before="33" w:line="226"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a“</w:t>
      </w:r>
      <w:r>
        <w:rPr>
          <w:rFonts w:ascii="SimSun" w:hAnsi="SimSun" w:eastAsia="SimSun" w:cs="SimSun"/>
          <w:sz w:val="21"/>
          <w:szCs w:val="21"/>
          <w:spacing w:val="1"/>
        </w:rPr>
        <w:t>环境敏感区</w:t>
      </w:r>
      <w:r>
        <w:rPr>
          <w:rFonts w:ascii="Times New Roman" w:hAnsi="Times New Roman" w:eastAsia="Times New Roman" w:cs="Times New Roman"/>
          <w:sz w:val="21"/>
          <w:szCs w:val="21"/>
          <w:spacing w:val="1"/>
        </w:rPr>
        <w:t>”</w:t>
      </w:r>
      <w:r>
        <w:rPr>
          <w:rFonts w:ascii="SimSun" w:hAnsi="SimSun" w:eastAsia="SimSun" w:cs="SimSun"/>
          <w:sz w:val="21"/>
          <w:szCs w:val="21"/>
          <w:spacing w:val="1"/>
        </w:rPr>
        <w:t>是指《建设项目环境影响评价分类管理名录》中所界定的涉及地下水的</w:t>
      </w:r>
      <w:r>
        <w:rPr>
          <w:rFonts w:ascii="SimSun" w:hAnsi="SimSun" w:eastAsia="SimSun" w:cs="SimSun"/>
          <w:sz w:val="21"/>
          <w:szCs w:val="21"/>
          <w:spacing w:val="-1"/>
        </w:rPr>
        <w:t>环境敏感区。</w:t>
      </w:r>
    </w:p>
    <w:p>
      <w:pPr>
        <w:spacing w:line="28" w:lineRule="exact"/>
        <w:rPr/>
      </w:pPr>
      <w:r>
        <w:rPr/>
        <w:pict>
          <v:shape id="_x0000_s110" style="mso-position-vertical-relative:line;mso-position-horizontal-relative:char;width:426.95pt;height:1.45pt;" fillcolor="#000000" filled="true" stroked="false" coordsize="8539,29" coordorigin="0,0" path="m0,28l8538,28l8538,0l0,0l0,28xe"/>
        </w:pict>
      </w:r>
    </w:p>
    <w:p>
      <w:pPr>
        <w:ind w:left="132" w:right="91" w:firstLine="478"/>
        <w:spacing w:before="35" w:line="359" w:lineRule="auto"/>
        <w:jc w:val="both"/>
        <w:rPr>
          <w:rFonts w:ascii="SimSun" w:hAnsi="SimSun" w:eastAsia="SimSun" w:cs="SimSun"/>
          <w:sz w:val="24"/>
          <w:szCs w:val="24"/>
        </w:rPr>
      </w:pPr>
      <w:r>
        <w:rPr>
          <w:rFonts w:ascii="SimSun" w:hAnsi="SimSun" w:eastAsia="SimSun" w:cs="SimSun"/>
          <w:sz w:val="24"/>
          <w:szCs w:val="24"/>
          <w:spacing w:val="3"/>
        </w:rPr>
        <w:t>评价区不在集中式饮用水水源准保护区范围内</w:t>
      </w:r>
      <w:r>
        <w:rPr>
          <w:rFonts w:ascii="SimSun" w:hAnsi="SimSun" w:eastAsia="SimSun" w:cs="SimSun"/>
          <w:sz w:val="24"/>
          <w:szCs w:val="24"/>
          <w:spacing w:val="2"/>
        </w:rPr>
        <w:t>，不在集中式饮用水水源准保</w:t>
      </w:r>
      <w:r>
        <w:rPr>
          <w:rFonts w:ascii="SimSun" w:hAnsi="SimSun" w:eastAsia="SimSun" w:cs="SimSun"/>
          <w:sz w:val="24"/>
          <w:szCs w:val="24"/>
          <w:spacing w:val="2"/>
        </w:rPr>
        <w:t>护区以外的补给径流区，也不在国家或地方政府设定的与地下水环境相关的其它</w:t>
      </w:r>
      <w:r>
        <w:rPr>
          <w:rFonts w:ascii="SimSun" w:hAnsi="SimSun" w:eastAsia="SimSun" w:cs="SimSun"/>
          <w:sz w:val="24"/>
          <w:szCs w:val="24"/>
          <w:spacing w:val="-5"/>
        </w:rPr>
        <w:t>保护区及环境敏感区。</w:t>
      </w:r>
    </w:p>
    <w:p>
      <w:pPr>
        <w:ind w:left="132" w:right="83" w:firstLine="478"/>
        <w:spacing w:line="359" w:lineRule="auto"/>
        <w:rPr>
          <w:rFonts w:ascii="SimSun" w:hAnsi="SimSun" w:eastAsia="SimSun" w:cs="SimSun"/>
          <w:sz w:val="24"/>
          <w:szCs w:val="24"/>
        </w:rPr>
      </w:pPr>
      <w:r>
        <w:rPr>
          <w:rFonts w:ascii="SimSun" w:hAnsi="SimSun" w:eastAsia="SimSun" w:cs="SimSun"/>
          <w:sz w:val="24"/>
          <w:szCs w:val="24"/>
          <w:spacing w:val="3"/>
        </w:rPr>
        <w:t>据调查走访，厂区下游无牧户饮用水井，因此，地下水环境敏</w:t>
      </w:r>
      <w:r>
        <w:rPr>
          <w:rFonts w:ascii="SimSun" w:hAnsi="SimSun" w:eastAsia="SimSun" w:cs="SimSun"/>
          <w:sz w:val="24"/>
          <w:szCs w:val="24"/>
          <w:spacing w:val="2"/>
        </w:rPr>
        <w:t>感程度为“不</w:t>
      </w:r>
      <w:r>
        <w:rPr>
          <w:rFonts w:ascii="SimSun" w:hAnsi="SimSun" w:eastAsia="SimSun" w:cs="SimSun"/>
          <w:sz w:val="24"/>
          <w:szCs w:val="24"/>
          <w:spacing w:val="-9"/>
        </w:rPr>
        <w:t>敏感”。</w:t>
      </w:r>
    </w:p>
    <w:p>
      <w:pPr>
        <w:ind w:left="609"/>
        <w:spacing w:before="1" w:line="217" w:lineRule="auto"/>
        <w:rPr>
          <w:rFonts w:ascii="SimSun" w:hAnsi="SimSun" w:eastAsia="SimSun" w:cs="SimSun"/>
          <w:sz w:val="24"/>
          <w:szCs w:val="24"/>
        </w:rPr>
      </w:pPr>
      <w:r>
        <w:rPr>
          <w:rFonts w:ascii="SimSun" w:hAnsi="SimSun" w:eastAsia="SimSun" w:cs="SimSun"/>
          <w:sz w:val="24"/>
          <w:szCs w:val="24"/>
          <w:spacing w:val="-1"/>
        </w:rPr>
        <w:t>③工作等级的确定</w:t>
      </w:r>
    </w:p>
    <w:p>
      <w:pPr>
        <w:ind w:left="610"/>
        <w:spacing w:before="182" w:line="232" w:lineRule="auto"/>
        <w:rPr>
          <w:rFonts w:ascii="SimSun" w:hAnsi="SimSun" w:eastAsia="SimSun" w:cs="SimSun"/>
          <w:sz w:val="24"/>
          <w:szCs w:val="24"/>
        </w:rPr>
      </w:pPr>
      <w:r>
        <w:rPr>
          <w:rFonts w:ascii="SimSun" w:hAnsi="SimSun" w:eastAsia="SimSun" w:cs="SimSun"/>
          <w:sz w:val="24"/>
          <w:szCs w:val="24"/>
          <w:spacing w:val="-1"/>
        </w:rPr>
        <w:t>评价工作等级分级表详见表</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2-16</w:t>
      </w:r>
      <w:r>
        <w:rPr>
          <w:rFonts w:ascii="SimSun" w:hAnsi="SimSun" w:eastAsia="SimSun" w:cs="SimSun"/>
          <w:sz w:val="24"/>
          <w:szCs w:val="24"/>
          <w:spacing w:val="-1"/>
        </w:rPr>
        <w:t>。</w:t>
      </w:r>
    </w:p>
    <w:p>
      <w:pPr>
        <w:ind w:left="2807"/>
        <w:spacing w:before="167"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2-16    </w:t>
      </w:r>
      <w:r>
        <w:rPr>
          <w:rFonts w:ascii="SimSun" w:hAnsi="SimSun" w:eastAsia="SimSun" w:cs="SimSun"/>
          <w:sz w:val="24"/>
          <w:szCs w:val="24"/>
          <w:b/>
          <w:bCs/>
          <w:spacing w:val="-2"/>
        </w:rPr>
        <w:t>评价工作等级分级表</w:t>
      </w:r>
    </w:p>
    <w:p>
      <w:pPr>
        <w:spacing w:line="130" w:lineRule="exact"/>
        <w:rPr/>
      </w:pPr>
      <w:r/>
    </w:p>
    <w:tbl>
      <w:tblPr>
        <w:tblStyle w:val="TableNormal"/>
        <w:tblW w:w="8490" w:type="dxa"/>
        <w:tblInd w:w="1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34"/>
        <w:gridCol w:w="2117"/>
        <w:gridCol w:w="2120"/>
        <w:gridCol w:w="2119"/>
      </w:tblGrid>
      <w:tr>
        <w:trPr>
          <w:trHeight w:val="853" w:hRule="atLeast"/>
        </w:trPr>
        <w:tc>
          <w:tcPr>
            <w:tcW w:w="2134" w:type="dxa"/>
            <w:vAlign w:val="top"/>
            <w:tcBorders>
              <w:left w:val="nil"/>
              <w:top w:val="single" w:color="000000" w:sz="10" w:space="0"/>
              <w:tl2br w:val="single" w:color="000000" w:sz="2" w:space="0"/>
            </w:tcBorders>
          </w:tcPr>
          <w:p>
            <w:pPr>
              <w:pStyle w:val="TableText"/>
              <w:ind w:left="130" w:right="744" w:firstLine="845"/>
              <w:spacing w:before="155" w:line="302" w:lineRule="auto"/>
              <w:rPr/>
            </w:pPr>
            <w:r>
              <w:rPr>
                <w:b/>
                <w:bCs/>
                <w:spacing w:val="-7"/>
              </w:rPr>
              <w:t>项目</w:t>
            </w:r>
            <w:r>
              <w:rPr>
                <w:b/>
                <w:bCs/>
                <w:spacing w:val="-4"/>
              </w:rPr>
              <w:t>类别</w:t>
            </w:r>
          </w:p>
        </w:tc>
        <w:tc>
          <w:tcPr>
            <w:tcW w:w="2117" w:type="dxa"/>
            <w:vAlign w:val="top"/>
            <w:tcBorders>
              <w:top w:val="single" w:color="000000" w:sz="10" w:space="0"/>
            </w:tcBorders>
          </w:tcPr>
          <w:p>
            <w:pPr>
              <w:spacing w:line="257" w:lineRule="auto"/>
              <w:rPr>
                <w:rFonts w:ascii="Arial"/>
                <w:sz w:val="21"/>
              </w:rPr>
            </w:pPr>
            <w:r/>
          </w:p>
          <w:p>
            <w:pPr>
              <w:pStyle w:val="TableText"/>
              <w:ind w:left="700"/>
              <w:spacing w:before="68" w:line="234" w:lineRule="auto"/>
              <w:rPr/>
            </w:pPr>
            <w:r>
              <w:rPr>
                <w:rFonts w:ascii="Times New Roman" w:hAnsi="Times New Roman" w:eastAsia="Times New Roman" w:cs="Times New Roman"/>
                <w:b/>
                <w:bCs/>
                <w:spacing w:val="-2"/>
              </w:rPr>
              <w:t>Ⅰ</w:t>
            </w:r>
            <w:r>
              <w:rPr>
                <w:b/>
                <w:bCs/>
                <w:spacing w:val="-2"/>
              </w:rPr>
              <w:t>类项目</w:t>
            </w:r>
          </w:p>
        </w:tc>
        <w:tc>
          <w:tcPr>
            <w:tcW w:w="2120" w:type="dxa"/>
            <w:vAlign w:val="top"/>
            <w:tcBorders>
              <w:top w:val="single" w:color="000000" w:sz="10" w:space="0"/>
            </w:tcBorders>
          </w:tcPr>
          <w:p>
            <w:pPr>
              <w:spacing w:line="256" w:lineRule="auto"/>
              <w:rPr>
                <w:rFonts w:ascii="Arial"/>
                <w:sz w:val="21"/>
              </w:rPr>
            </w:pPr>
            <w:r/>
          </w:p>
          <w:p>
            <w:pPr>
              <w:pStyle w:val="TableText"/>
              <w:ind w:left="664"/>
              <w:spacing w:before="68" w:line="221" w:lineRule="auto"/>
              <w:rPr/>
            </w:pPr>
            <w:r>
              <w:rPr>
                <w:rFonts w:ascii="Times New Roman" w:hAnsi="Times New Roman" w:eastAsia="Times New Roman" w:cs="Times New Roman"/>
                <w:b/>
                <w:bCs/>
                <w:spacing w:val="-2"/>
              </w:rPr>
              <w:t>Ⅱ</w:t>
            </w:r>
            <w:r>
              <w:rPr>
                <w:b/>
                <w:bCs/>
                <w:spacing w:val="-2"/>
              </w:rPr>
              <w:t>类项目</w:t>
            </w:r>
          </w:p>
        </w:tc>
        <w:tc>
          <w:tcPr>
            <w:tcW w:w="2119" w:type="dxa"/>
            <w:vAlign w:val="top"/>
            <w:tcBorders>
              <w:right w:val="nil"/>
              <w:top w:val="single" w:color="000000" w:sz="10" w:space="0"/>
            </w:tcBorders>
          </w:tcPr>
          <w:p>
            <w:pPr>
              <w:spacing w:line="256" w:lineRule="auto"/>
              <w:rPr>
                <w:rFonts w:ascii="Arial"/>
                <w:sz w:val="21"/>
              </w:rPr>
            </w:pPr>
            <w:r/>
          </w:p>
          <w:p>
            <w:pPr>
              <w:pStyle w:val="TableText"/>
              <w:ind w:left="623"/>
              <w:spacing w:before="68" w:line="221" w:lineRule="auto"/>
              <w:rPr/>
            </w:pPr>
            <w:r>
              <w:rPr>
                <w:rFonts w:ascii="Times New Roman" w:hAnsi="Times New Roman" w:eastAsia="Times New Roman" w:cs="Times New Roman"/>
                <w:b/>
                <w:bCs/>
                <w:spacing w:val="-2"/>
              </w:rPr>
              <w:t>Ⅲ</w:t>
            </w:r>
            <w:r>
              <w:rPr>
                <w:b/>
                <w:bCs/>
                <w:spacing w:val="-2"/>
              </w:rPr>
              <w:t>类项目</w:t>
            </w:r>
          </w:p>
        </w:tc>
      </w:tr>
      <w:tr>
        <w:trPr>
          <w:trHeight w:val="329" w:hRule="atLeast"/>
        </w:trPr>
        <w:tc>
          <w:tcPr>
            <w:tcW w:w="2134" w:type="dxa"/>
            <w:vAlign w:val="top"/>
            <w:tcBorders>
              <w:left w:val="nil"/>
            </w:tcBorders>
          </w:tcPr>
          <w:p>
            <w:pPr>
              <w:pStyle w:val="TableText"/>
              <w:ind w:left="873"/>
              <w:spacing w:before="71" w:line="218" w:lineRule="auto"/>
              <w:rPr/>
            </w:pPr>
            <w:r>
              <w:rPr>
                <w:spacing w:val="-2"/>
              </w:rPr>
              <w:t>敏感</w:t>
            </w:r>
          </w:p>
        </w:tc>
        <w:tc>
          <w:tcPr>
            <w:tcW w:w="2117" w:type="dxa"/>
            <w:vAlign w:val="top"/>
          </w:tcPr>
          <w:p>
            <w:pPr>
              <w:pStyle w:val="TableText"/>
              <w:ind w:left="959"/>
              <w:spacing w:before="149" w:line="163" w:lineRule="exact"/>
              <w:rPr/>
            </w:pPr>
            <w:r>
              <w:rPr>
                <w:position w:val="-4"/>
              </w:rPr>
              <w:t>一</w:t>
            </w:r>
          </w:p>
        </w:tc>
        <w:tc>
          <w:tcPr>
            <w:tcW w:w="2120" w:type="dxa"/>
            <w:vAlign w:val="top"/>
          </w:tcPr>
          <w:p>
            <w:pPr>
              <w:pStyle w:val="TableText"/>
              <w:ind w:left="962"/>
              <w:spacing w:before="149" w:line="163" w:lineRule="exact"/>
              <w:rPr/>
            </w:pPr>
            <w:r>
              <w:rPr>
                <w:position w:val="-4"/>
              </w:rPr>
              <w:t>一</w:t>
            </w:r>
          </w:p>
        </w:tc>
        <w:tc>
          <w:tcPr>
            <w:tcW w:w="2119" w:type="dxa"/>
            <w:vAlign w:val="top"/>
            <w:tcBorders>
              <w:right w:val="nil"/>
            </w:tcBorders>
          </w:tcPr>
          <w:p>
            <w:pPr>
              <w:pStyle w:val="TableText"/>
              <w:ind w:left="959"/>
              <w:spacing w:before="109" w:line="179" w:lineRule="auto"/>
              <w:rPr/>
            </w:pPr>
            <w:r>
              <w:rPr/>
              <w:t>二</w:t>
            </w:r>
          </w:p>
        </w:tc>
      </w:tr>
      <w:tr>
        <w:trPr>
          <w:trHeight w:val="329" w:hRule="atLeast"/>
        </w:trPr>
        <w:tc>
          <w:tcPr>
            <w:tcW w:w="2134" w:type="dxa"/>
            <w:vAlign w:val="top"/>
            <w:tcBorders>
              <w:left w:val="nil"/>
            </w:tcBorders>
          </w:tcPr>
          <w:p>
            <w:pPr>
              <w:pStyle w:val="TableText"/>
              <w:ind w:left="766"/>
              <w:spacing w:before="75" w:line="214" w:lineRule="auto"/>
              <w:rPr/>
            </w:pPr>
            <w:r>
              <w:rPr>
                <w:spacing w:val="-2"/>
              </w:rPr>
              <w:t>较敏感</w:t>
            </w:r>
          </w:p>
        </w:tc>
        <w:tc>
          <w:tcPr>
            <w:tcW w:w="2117" w:type="dxa"/>
            <w:vAlign w:val="top"/>
          </w:tcPr>
          <w:p>
            <w:pPr>
              <w:pStyle w:val="TableText"/>
              <w:ind w:left="959"/>
              <w:spacing w:before="154" w:line="163" w:lineRule="exact"/>
              <w:rPr/>
            </w:pPr>
            <w:r>
              <w:rPr>
                <w:position w:val="-4"/>
              </w:rPr>
              <w:t>一</w:t>
            </w:r>
          </w:p>
        </w:tc>
        <w:tc>
          <w:tcPr>
            <w:tcW w:w="2120" w:type="dxa"/>
            <w:vAlign w:val="top"/>
          </w:tcPr>
          <w:p>
            <w:pPr>
              <w:pStyle w:val="TableText"/>
              <w:ind w:left="962"/>
              <w:spacing w:before="114" w:line="179" w:lineRule="auto"/>
              <w:rPr/>
            </w:pPr>
            <w:r>
              <w:rPr/>
              <w:t>二</w:t>
            </w:r>
          </w:p>
        </w:tc>
        <w:tc>
          <w:tcPr>
            <w:tcW w:w="2119" w:type="dxa"/>
            <w:vAlign w:val="top"/>
            <w:tcBorders>
              <w:right w:val="nil"/>
            </w:tcBorders>
          </w:tcPr>
          <w:p>
            <w:pPr>
              <w:pStyle w:val="TableText"/>
              <w:ind w:left="956"/>
              <w:spacing w:before="75" w:line="214" w:lineRule="auto"/>
              <w:rPr/>
            </w:pPr>
            <w:r>
              <w:rPr/>
              <w:t>三</w:t>
            </w:r>
          </w:p>
        </w:tc>
      </w:tr>
      <w:tr>
        <w:trPr>
          <w:trHeight w:val="298" w:hRule="atLeast"/>
        </w:trPr>
        <w:tc>
          <w:tcPr>
            <w:tcW w:w="2134" w:type="dxa"/>
            <w:vAlign w:val="top"/>
            <w:tcBorders>
              <w:left w:val="nil"/>
              <w:bottom w:val="single" w:color="000000" w:sz="10" w:space="0"/>
            </w:tcBorders>
          </w:tcPr>
          <w:p>
            <w:pPr>
              <w:pStyle w:val="TableText"/>
              <w:ind w:left="769"/>
              <w:spacing w:before="50" w:line="209" w:lineRule="auto"/>
              <w:rPr/>
            </w:pPr>
            <w:r>
              <w:rPr>
                <w:spacing w:val="-2"/>
              </w:rPr>
              <w:t>不敏感</w:t>
            </w:r>
          </w:p>
        </w:tc>
        <w:tc>
          <w:tcPr>
            <w:tcW w:w="2117" w:type="dxa"/>
            <w:vAlign w:val="top"/>
            <w:tcBorders>
              <w:bottom w:val="single" w:color="000000" w:sz="10" w:space="0"/>
            </w:tcBorders>
          </w:tcPr>
          <w:p>
            <w:pPr>
              <w:pStyle w:val="TableText"/>
              <w:ind w:left="959"/>
              <w:spacing w:before="90" w:line="174" w:lineRule="auto"/>
              <w:rPr/>
            </w:pPr>
            <w:r>
              <w:rPr/>
              <w:t>二</w:t>
            </w:r>
          </w:p>
        </w:tc>
        <w:tc>
          <w:tcPr>
            <w:tcW w:w="2120" w:type="dxa"/>
            <w:vAlign w:val="top"/>
            <w:tcBorders>
              <w:bottom w:val="single" w:color="000000" w:sz="10" w:space="0"/>
            </w:tcBorders>
          </w:tcPr>
          <w:p>
            <w:pPr>
              <w:pStyle w:val="TableText"/>
              <w:ind w:left="958"/>
              <w:spacing w:before="50" w:line="209" w:lineRule="auto"/>
              <w:rPr/>
            </w:pPr>
            <w:r>
              <w:rPr/>
              <w:t>三</w:t>
            </w:r>
          </w:p>
        </w:tc>
        <w:tc>
          <w:tcPr>
            <w:tcW w:w="2119" w:type="dxa"/>
            <w:vAlign w:val="top"/>
            <w:tcBorders>
              <w:right w:val="nil"/>
              <w:bottom w:val="single" w:color="000000" w:sz="10" w:space="0"/>
            </w:tcBorders>
          </w:tcPr>
          <w:p>
            <w:pPr>
              <w:pStyle w:val="TableText"/>
              <w:ind w:left="956"/>
              <w:spacing w:before="50" w:line="209" w:lineRule="auto"/>
              <w:rPr/>
            </w:pPr>
            <w:r>
              <w:rPr>
                <w:shd w:val="clear" w:fill="D9D9D9"/>
              </w:rPr>
              <w:t>三</w:t>
            </w:r>
          </w:p>
        </w:tc>
      </w:tr>
    </w:tbl>
    <w:p>
      <w:pPr>
        <w:ind w:left="133" w:right="104" w:firstLine="480"/>
        <w:spacing w:before="35" w:line="359" w:lineRule="auto"/>
        <w:rPr>
          <w:rFonts w:ascii="SimSun" w:hAnsi="SimSun" w:eastAsia="SimSun" w:cs="SimSun"/>
          <w:sz w:val="24"/>
          <w:szCs w:val="24"/>
        </w:rPr>
      </w:pPr>
      <w:r>
        <w:rPr>
          <w:rFonts w:ascii="SimSun" w:hAnsi="SimSun" w:eastAsia="SimSun" w:cs="SimSun"/>
          <w:sz w:val="24"/>
          <w:szCs w:val="24"/>
          <w:spacing w:val="1"/>
        </w:rPr>
        <w:t>综上，本项目为</w:t>
      </w:r>
      <w:r>
        <w:rPr>
          <w:rFonts w:ascii="Times New Roman" w:hAnsi="Times New Roman" w:eastAsia="Times New Roman" w:cs="Times New Roman"/>
          <w:sz w:val="24"/>
          <w:szCs w:val="24"/>
          <w:spacing w:val="1"/>
        </w:rPr>
        <w:t>Ⅲ</w:t>
      </w:r>
      <w:r>
        <w:rPr>
          <w:rFonts w:ascii="SimSun" w:hAnsi="SimSun" w:eastAsia="SimSun" w:cs="SimSun"/>
          <w:sz w:val="24"/>
          <w:szCs w:val="24"/>
          <w:spacing w:val="1"/>
        </w:rPr>
        <w:t>类项目，所在区域地下水敏感程度为“不敏感</w:t>
      </w:r>
      <w:r>
        <w:rPr>
          <w:rFonts w:ascii="SimSun" w:hAnsi="SimSun" w:eastAsia="SimSun" w:cs="SimSun"/>
          <w:sz w:val="24"/>
          <w:szCs w:val="24"/>
          <w:spacing w:val="-75"/>
        </w:rPr>
        <w:t xml:space="preserve"> </w:t>
      </w:r>
      <w:r>
        <w:rPr>
          <w:rFonts w:ascii="SimSun" w:hAnsi="SimSun" w:eastAsia="SimSun" w:cs="SimSun"/>
          <w:sz w:val="24"/>
          <w:szCs w:val="24"/>
          <w:spacing w:val="1"/>
        </w:rPr>
        <w:t>”，根据以</w:t>
      </w:r>
      <w:r>
        <w:rPr>
          <w:rFonts w:ascii="SimSun" w:hAnsi="SimSun" w:eastAsia="SimSun" w:cs="SimSun"/>
          <w:sz w:val="24"/>
          <w:szCs w:val="24"/>
          <w:spacing w:val="-3"/>
        </w:rPr>
        <w:t>上判据，确定地下水评价等级为三级。</w:t>
      </w:r>
    </w:p>
    <w:p>
      <w:pPr>
        <w:ind w:left="618"/>
        <w:spacing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）环境空气</w:t>
      </w:r>
    </w:p>
    <w:p>
      <w:pPr>
        <w:ind w:left="610"/>
        <w:spacing w:before="164" w:line="217" w:lineRule="auto"/>
        <w:rPr>
          <w:rFonts w:ascii="SimSun" w:hAnsi="SimSun" w:eastAsia="SimSun" w:cs="SimSun"/>
          <w:sz w:val="24"/>
          <w:szCs w:val="24"/>
        </w:rPr>
      </w:pPr>
      <w:r>
        <w:rPr>
          <w:rFonts w:ascii="SimSun" w:hAnsi="SimSun" w:eastAsia="SimSun" w:cs="SimSun"/>
          <w:sz w:val="24"/>
          <w:szCs w:val="24"/>
          <w:spacing w:val="-1"/>
        </w:rPr>
        <w:t>①评价等级判定依据</w:t>
      </w:r>
    </w:p>
    <w:p>
      <w:pPr>
        <w:ind w:left="131" w:right="82" w:firstLine="479"/>
        <w:spacing w:before="184" w:line="359" w:lineRule="auto"/>
        <w:jc w:val="both"/>
        <w:rPr>
          <w:rFonts w:ascii="SimSun" w:hAnsi="SimSun" w:eastAsia="SimSun" w:cs="SimSun"/>
          <w:sz w:val="24"/>
          <w:szCs w:val="24"/>
        </w:rPr>
      </w:pPr>
      <w:r>
        <w:rPr>
          <w:rFonts w:ascii="SimSun" w:hAnsi="SimSun" w:eastAsia="SimSun" w:cs="SimSun"/>
          <w:sz w:val="24"/>
          <w:szCs w:val="24"/>
        </w:rPr>
        <w:t>根据</w:t>
      </w:r>
      <w:r>
        <w:rPr>
          <w:rFonts w:ascii="SimSun" w:hAnsi="SimSun" w:eastAsia="SimSun" w:cs="SimSun"/>
          <w:sz w:val="24"/>
          <w:szCs w:val="24"/>
          <w:spacing w:val="-56"/>
        </w:rPr>
        <w:t xml:space="preserve"> </w:t>
      </w:r>
      <w:r>
        <w:rPr>
          <w:rFonts w:ascii="Times New Roman" w:hAnsi="Times New Roman" w:eastAsia="Times New Roman" w:cs="Times New Roman"/>
          <w:sz w:val="24"/>
          <w:szCs w:val="24"/>
        </w:rPr>
        <w:t>HJ2.2-2018</w:t>
      </w:r>
      <w:r>
        <w:rPr>
          <w:rFonts w:ascii="SimSun" w:hAnsi="SimSun" w:eastAsia="SimSun" w:cs="SimSun"/>
          <w:sz w:val="24"/>
          <w:szCs w:val="24"/>
        </w:rPr>
        <w:t>《环境影响评价技术导</w:t>
      </w:r>
      <w:r>
        <w:rPr>
          <w:rFonts w:ascii="SimSun" w:hAnsi="SimSun" w:eastAsia="SimSun" w:cs="SimSun"/>
          <w:sz w:val="24"/>
          <w:szCs w:val="24"/>
          <w:spacing w:val="-1"/>
        </w:rPr>
        <w:t>则 大气环境》规定，选择推荐模式中</w:t>
      </w:r>
      <w:r>
        <w:rPr>
          <w:rFonts w:ascii="SimSun" w:hAnsi="SimSun" w:eastAsia="SimSun" w:cs="SimSun"/>
          <w:sz w:val="24"/>
          <w:szCs w:val="24"/>
          <w:spacing w:val="-3"/>
        </w:rPr>
        <w:t>的估算模型（</w:t>
      </w:r>
      <w:r>
        <w:rPr>
          <w:rFonts w:ascii="Times New Roman" w:hAnsi="Times New Roman" w:eastAsia="Times New Roman" w:cs="Times New Roman"/>
          <w:sz w:val="24"/>
          <w:szCs w:val="24"/>
          <w:spacing w:val="-3"/>
        </w:rPr>
        <w:t>AERSCREEN</w:t>
      </w:r>
      <w:r>
        <w:rPr>
          <w:rFonts w:ascii="SimSun" w:hAnsi="SimSun" w:eastAsia="SimSun" w:cs="SimSun"/>
          <w:sz w:val="24"/>
          <w:szCs w:val="24"/>
          <w:spacing w:val="-3"/>
        </w:rPr>
        <w:t>）对项目的大气环境评价工作进行分级。选择正常排放</w:t>
      </w:r>
      <w:r>
        <w:rPr>
          <w:rFonts w:ascii="SimSun" w:hAnsi="SimSun" w:eastAsia="SimSun" w:cs="SimSun"/>
          <w:sz w:val="24"/>
          <w:szCs w:val="24"/>
          <w:spacing w:val="1"/>
        </w:rPr>
        <w:t>情况下的主要污染物及排放参数，采用估算模型计算各污染物的 </w:t>
      </w:r>
      <w:r>
        <w:rPr>
          <w:rFonts w:ascii="Times New Roman" w:hAnsi="Times New Roman" w:eastAsia="Times New Roman" w:cs="Times New Roman"/>
          <w:sz w:val="24"/>
          <w:szCs w:val="24"/>
        </w:rPr>
        <w:t>P</w:t>
      </w:r>
      <w:r>
        <w:rPr>
          <w:rFonts w:ascii="Times New Roman" w:hAnsi="Times New Roman" w:eastAsia="Times New Roman" w:cs="Times New Roman"/>
          <w:sz w:val="16"/>
          <w:szCs w:val="16"/>
          <w:position w:val="-3"/>
        </w:rPr>
        <w:t>max</w:t>
      </w:r>
      <w:r>
        <w:rPr>
          <w:rFonts w:ascii="SimSun" w:hAnsi="SimSun" w:eastAsia="SimSun" w:cs="SimSun"/>
          <w:sz w:val="24"/>
          <w:szCs w:val="24"/>
          <w:spacing w:val="1"/>
        </w:rPr>
        <w:t>（最大地面</w:t>
      </w:r>
      <w:r>
        <w:rPr>
          <w:rFonts w:ascii="SimSun" w:hAnsi="SimSun" w:eastAsia="SimSun" w:cs="SimSun"/>
          <w:sz w:val="24"/>
          <w:szCs w:val="24"/>
          <w:spacing w:val="-1"/>
        </w:rPr>
        <w:t>浓度占标率）。评价工作等级判据详见表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2-17</w:t>
      </w:r>
      <w:r>
        <w:rPr>
          <w:rFonts w:ascii="SimSun" w:hAnsi="SimSun" w:eastAsia="SimSun" w:cs="SimSun"/>
          <w:sz w:val="24"/>
          <w:szCs w:val="24"/>
          <w:spacing w:val="-1"/>
        </w:rPr>
        <w:t>。</w:t>
      </w:r>
    </w:p>
    <w:p>
      <w:pPr>
        <w:ind w:left="3318"/>
        <w:spacing w:before="1" w:line="231"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2-17      </w:t>
      </w:r>
      <w:r>
        <w:rPr>
          <w:rFonts w:ascii="SimSun" w:hAnsi="SimSun" w:eastAsia="SimSun" w:cs="SimSun"/>
          <w:sz w:val="24"/>
          <w:szCs w:val="24"/>
          <w:b/>
          <w:bCs/>
          <w:spacing w:val="-2"/>
        </w:rPr>
        <w:t>大气评价等级判据</w:t>
      </w:r>
    </w:p>
    <w:p>
      <w:pPr>
        <w:spacing w:before="11"/>
        <w:rPr/>
      </w:pPr>
      <w:r/>
    </w:p>
    <w:tbl>
      <w:tblPr>
        <w:tblStyle w:val="TableNormal"/>
        <w:tblW w:w="8680" w:type="dxa"/>
        <w:tblInd w:w="2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85"/>
        <w:gridCol w:w="6795"/>
      </w:tblGrid>
      <w:tr>
        <w:trPr>
          <w:trHeight w:val="276" w:hRule="atLeast"/>
        </w:trPr>
        <w:tc>
          <w:tcPr>
            <w:tcW w:w="1885" w:type="dxa"/>
            <w:vAlign w:val="top"/>
            <w:tcBorders>
              <w:left w:val="nil"/>
              <w:top w:val="single" w:color="000000" w:sz="10" w:space="0"/>
            </w:tcBorders>
          </w:tcPr>
          <w:p>
            <w:pPr>
              <w:pStyle w:val="TableText"/>
              <w:ind w:left="324"/>
              <w:spacing w:before="33" w:line="204" w:lineRule="auto"/>
              <w:rPr/>
            </w:pPr>
            <w:r>
              <w:rPr>
                <w:spacing w:val="-1"/>
              </w:rPr>
              <w:t>评价工作等级</w:t>
            </w:r>
          </w:p>
        </w:tc>
        <w:tc>
          <w:tcPr>
            <w:tcW w:w="6795" w:type="dxa"/>
            <w:vAlign w:val="top"/>
            <w:tcBorders>
              <w:right w:val="nil"/>
              <w:top w:val="single" w:color="000000" w:sz="10" w:space="0"/>
            </w:tcBorders>
          </w:tcPr>
          <w:p>
            <w:pPr>
              <w:pStyle w:val="TableText"/>
              <w:ind w:left="2560"/>
              <w:spacing w:before="33" w:line="204" w:lineRule="auto"/>
              <w:rPr/>
            </w:pPr>
            <w:r>
              <w:rPr>
                <w:spacing w:val="-1"/>
              </w:rPr>
              <w:t>评价工作分级判据</w:t>
            </w:r>
          </w:p>
        </w:tc>
      </w:tr>
      <w:tr>
        <w:trPr>
          <w:trHeight w:val="272" w:hRule="atLeast"/>
        </w:trPr>
        <w:tc>
          <w:tcPr>
            <w:tcW w:w="1885" w:type="dxa"/>
            <w:vAlign w:val="top"/>
            <w:tcBorders>
              <w:left w:val="nil"/>
            </w:tcBorders>
          </w:tcPr>
          <w:p>
            <w:pPr>
              <w:pStyle w:val="TableText"/>
              <w:ind w:left="748"/>
              <w:spacing w:before="35" w:line="199" w:lineRule="auto"/>
              <w:rPr/>
            </w:pPr>
            <w:r>
              <w:rPr>
                <w:spacing w:val="-5"/>
              </w:rPr>
              <w:t>一级</w:t>
            </w:r>
          </w:p>
        </w:tc>
        <w:tc>
          <w:tcPr>
            <w:tcW w:w="6795" w:type="dxa"/>
            <w:vAlign w:val="top"/>
            <w:tcBorders>
              <w:right w:val="nil"/>
            </w:tcBorders>
          </w:tcPr>
          <w:p>
            <w:pPr>
              <w:ind w:left="2967"/>
              <w:spacing w:before="66"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w:t>
            </w:r>
            <w:r>
              <w:rPr>
                <w:rFonts w:ascii="Times New Roman" w:hAnsi="Times New Roman" w:eastAsia="Times New Roman" w:cs="Times New Roman"/>
                <w:sz w:val="13"/>
                <w:szCs w:val="13"/>
                <w:position w:val="-2"/>
              </w:rPr>
              <w:t>max</w:t>
            </w:r>
            <w:r>
              <w:rPr>
                <w:rFonts w:ascii="Times New Roman" w:hAnsi="Times New Roman" w:eastAsia="Times New Roman" w:cs="Times New Roman"/>
                <w:sz w:val="21"/>
                <w:szCs w:val="21"/>
                <w:spacing w:val="3"/>
              </w:rPr>
              <w:t>≥10%</w:t>
            </w:r>
          </w:p>
        </w:tc>
      </w:tr>
      <w:tr>
        <w:trPr>
          <w:trHeight w:val="270" w:hRule="atLeast"/>
        </w:trPr>
        <w:tc>
          <w:tcPr>
            <w:tcW w:w="1885" w:type="dxa"/>
            <w:vAlign w:val="top"/>
            <w:tcBorders>
              <w:left w:val="nil"/>
            </w:tcBorders>
          </w:tcPr>
          <w:p>
            <w:pPr>
              <w:pStyle w:val="TableText"/>
              <w:ind w:left="748"/>
              <w:spacing w:before="41" w:line="192" w:lineRule="auto"/>
              <w:rPr/>
            </w:pPr>
            <w:r>
              <w:rPr>
                <w:spacing w:val="-3"/>
              </w:rPr>
              <w:t>二级</w:t>
            </w:r>
          </w:p>
        </w:tc>
        <w:tc>
          <w:tcPr>
            <w:tcW w:w="6795" w:type="dxa"/>
            <w:vAlign w:val="top"/>
            <w:tcBorders>
              <w:right w:val="nil"/>
            </w:tcBorders>
          </w:tcPr>
          <w:p>
            <w:pPr>
              <w:pStyle w:val="TableText"/>
              <w:ind w:left="2743"/>
              <w:spacing w:before="41" w:line="192" w:lineRule="auto"/>
              <w:rPr>
                <w:rFonts w:ascii="Times New Roman" w:hAnsi="Times New Roman" w:eastAsia="Times New Roman" w:cs="Times New Roman"/>
              </w:rPr>
            </w:pPr>
            <w:r>
              <w:rPr>
                <w:rFonts w:ascii="Times New Roman" w:hAnsi="Times New Roman" w:eastAsia="Times New Roman" w:cs="Times New Roman"/>
                <w:spacing w:val="-1"/>
              </w:rPr>
              <w:t>1%≤P</w:t>
            </w:r>
            <w:r>
              <w:rPr>
                <w:rFonts w:ascii="Times New Roman" w:hAnsi="Times New Roman" w:eastAsia="Times New Roman" w:cs="Times New Roman"/>
                <w:sz w:val="13"/>
                <w:szCs w:val="13"/>
                <w:spacing w:val="-1"/>
                <w:position w:val="-2"/>
              </w:rPr>
              <w:t>max</w:t>
            </w:r>
            <w:r>
              <w:rPr>
                <w:spacing w:val="-1"/>
              </w:rPr>
              <w:t>＜</w:t>
            </w:r>
            <w:r>
              <w:rPr>
                <w:rFonts w:ascii="Times New Roman" w:hAnsi="Times New Roman" w:eastAsia="Times New Roman" w:cs="Times New Roman"/>
                <w:spacing w:val="-1"/>
              </w:rPr>
              <w:t>10%</w:t>
            </w:r>
          </w:p>
        </w:tc>
      </w:tr>
      <w:tr>
        <w:trPr>
          <w:trHeight w:val="295" w:hRule="atLeast"/>
        </w:trPr>
        <w:tc>
          <w:tcPr>
            <w:tcW w:w="1885" w:type="dxa"/>
            <w:vAlign w:val="top"/>
            <w:tcBorders>
              <w:left w:val="nil"/>
              <w:bottom w:val="single" w:color="000000" w:sz="10" w:space="0"/>
            </w:tcBorders>
          </w:tcPr>
          <w:p>
            <w:pPr>
              <w:pStyle w:val="TableText"/>
              <w:ind w:left="744"/>
              <w:spacing w:before="47" w:line="209" w:lineRule="auto"/>
              <w:rPr/>
            </w:pPr>
            <w:r>
              <w:rPr>
                <w:spacing w:val="-2"/>
              </w:rPr>
              <w:t>三级</w:t>
            </w:r>
          </w:p>
        </w:tc>
        <w:tc>
          <w:tcPr>
            <w:tcW w:w="6795" w:type="dxa"/>
            <w:vAlign w:val="top"/>
            <w:tcBorders>
              <w:right w:val="nil"/>
              <w:bottom w:val="single" w:color="000000" w:sz="10" w:space="0"/>
            </w:tcBorders>
          </w:tcPr>
          <w:p>
            <w:pPr>
              <w:pStyle w:val="TableText"/>
              <w:ind w:left="2974"/>
              <w:spacing w:before="47" w:line="209" w:lineRule="auto"/>
              <w:rPr>
                <w:rFonts w:ascii="Times New Roman" w:hAnsi="Times New Roman" w:eastAsia="Times New Roman" w:cs="Times New Roman"/>
              </w:rPr>
            </w:pPr>
            <w:r>
              <w:rPr>
                <w:rFonts w:ascii="Times New Roman" w:hAnsi="Times New Roman" w:eastAsia="Times New Roman" w:cs="Times New Roman"/>
              </w:rPr>
              <w:t>P</w:t>
            </w:r>
            <w:r>
              <w:rPr>
                <w:rFonts w:ascii="Times New Roman" w:hAnsi="Times New Roman" w:eastAsia="Times New Roman" w:cs="Times New Roman"/>
                <w:sz w:val="13"/>
                <w:szCs w:val="13"/>
                <w:position w:val="-2"/>
              </w:rPr>
              <w:t>max</w:t>
            </w:r>
            <w:r>
              <w:rPr>
                <w:spacing w:val="4"/>
              </w:rPr>
              <w:t>＜</w:t>
            </w:r>
            <w:r>
              <w:rPr>
                <w:rFonts w:ascii="Times New Roman" w:hAnsi="Times New Roman" w:eastAsia="Times New Roman" w:cs="Times New Roman"/>
                <w:spacing w:val="4"/>
              </w:rPr>
              <w:t>1%</w:t>
            </w:r>
          </w:p>
        </w:tc>
      </w:tr>
    </w:tbl>
    <w:p>
      <w:pPr>
        <w:ind w:left="612"/>
        <w:spacing w:before="34" w:line="318" w:lineRule="exact"/>
        <w:rPr>
          <w:rFonts w:ascii="SimSun" w:hAnsi="SimSun" w:eastAsia="SimSun" w:cs="SimSun"/>
          <w:sz w:val="24"/>
          <w:szCs w:val="24"/>
        </w:rPr>
      </w:pPr>
      <w:r>
        <w:rPr>
          <w:rFonts w:ascii="SimSun" w:hAnsi="SimSun" w:eastAsia="SimSun" w:cs="SimSun"/>
          <w:sz w:val="24"/>
          <w:szCs w:val="24"/>
          <w:spacing w:val="-4"/>
          <w:position w:val="1"/>
        </w:rPr>
        <w:t>其中</w:t>
      </w:r>
      <w:r>
        <w:rPr>
          <w:rFonts w:ascii="SimSun" w:hAnsi="SimSun" w:eastAsia="SimSun" w:cs="SimSun"/>
          <w:sz w:val="24"/>
          <w:szCs w:val="24"/>
          <w:spacing w:val="-53"/>
          <w:position w:val="1"/>
        </w:rPr>
        <w:t xml:space="preserve"> </w:t>
      </w:r>
      <w:r>
        <w:rPr>
          <w:rFonts w:ascii="Times New Roman" w:hAnsi="Times New Roman" w:eastAsia="Times New Roman" w:cs="Times New Roman"/>
          <w:sz w:val="24"/>
          <w:szCs w:val="24"/>
          <w:spacing w:val="-4"/>
          <w:position w:val="1"/>
        </w:rPr>
        <w:t>P</w:t>
      </w:r>
      <w:r>
        <w:rPr>
          <w:rFonts w:ascii="Times New Roman" w:hAnsi="Times New Roman" w:eastAsia="Times New Roman" w:cs="Times New Roman"/>
          <w:sz w:val="16"/>
          <w:szCs w:val="16"/>
          <w:spacing w:val="-4"/>
          <w:position w:val="-1"/>
        </w:rPr>
        <w:t>max</w:t>
      </w:r>
      <w:r>
        <w:rPr>
          <w:rFonts w:ascii="SimSun" w:hAnsi="SimSun" w:eastAsia="SimSun" w:cs="SimSun"/>
          <w:sz w:val="24"/>
          <w:szCs w:val="24"/>
          <w:spacing w:val="-4"/>
          <w:position w:val="1"/>
        </w:rPr>
        <w:t>（又可表示为</w:t>
      </w:r>
      <w:r>
        <w:rPr>
          <w:rFonts w:ascii="SimSun" w:hAnsi="SimSun" w:eastAsia="SimSun" w:cs="SimSun"/>
          <w:sz w:val="24"/>
          <w:szCs w:val="24"/>
          <w:spacing w:val="-45"/>
          <w:position w:val="1"/>
        </w:rPr>
        <w:t xml:space="preserve"> </w:t>
      </w:r>
      <w:r>
        <w:rPr>
          <w:rFonts w:ascii="Times New Roman" w:hAnsi="Times New Roman" w:eastAsia="Times New Roman" w:cs="Times New Roman"/>
          <w:sz w:val="24"/>
          <w:szCs w:val="24"/>
          <w:spacing w:val="-4"/>
          <w:position w:val="1"/>
        </w:rPr>
        <w:t>P</w:t>
      </w:r>
      <w:r>
        <w:rPr>
          <w:rFonts w:ascii="Times New Roman" w:hAnsi="Times New Roman" w:eastAsia="Times New Roman" w:cs="Times New Roman"/>
          <w:sz w:val="16"/>
          <w:szCs w:val="16"/>
          <w:spacing w:val="-4"/>
          <w:position w:val="-1"/>
        </w:rPr>
        <w:t>i</w:t>
      </w:r>
      <w:r>
        <w:rPr>
          <w:rFonts w:ascii="SimSun" w:hAnsi="SimSun" w:eastAsia="SimSun" w:cs="SimSun"/>
          <w:sz w:val="24"/>
          <w:szCs w:val="24"/>
          <w:spacing w:val="-4"/>
          <w:position w:val="1"/>
        </w:rPr>
        <w:t>）定义为：</w:t>
      </w:r>
    </w:p>
    <w:p>
      <w:pPr>
        <w:ind w:left="3880"/>
        <w:spacing w:before="182" w:line="588" w:lineRule="exact"/>
        <w:rPr/>
      </w:pPr>
      <w:r>
        <w:pict>
          <v:shape id="_x0000_s112" style="position:absolute;margin-left:6.36601pt;margin-top:43.5377pt;mso-position-vertical-relative:text;mso-position-horizontal-relative:text;width:425.7pt;height:0.6pt;z-index:251689984;" filled="false" strokecolor="#808080" strokeweight="0.50pt" coordsize="8514,12" coordorigin="0,0" path="m5,5l8508,6e">
            <v:stroke endcap="round" miterlimit="10"/>
          </v:shape>
        </w:pict>
      </w:r>
      <w:r>
        <w:rPr>
          <w:position w:val="-12"/>
        </w:rPr>
        <w:drawing>
          <wp:inline distT="0" distB="0" distL="0" distR="0">
            <wp:extent cx="908301" cy="373722"/>
            <wp:effectExtent l="0" t="0" r="0" b="0"/>
            <wp:docPr id="4" name="IM 4"/>
            <wp:cNvGraphicFramePr/>
            <a:graphic>
              <a:graphicData uri="http://schemas.openxmlformats.org/drawingml/2006/picture">
                <pic:pic>
                  <pic:nvPicPr>
                    <pic:cNvPr id="4" name="IM 4"/>
                    <pic:cNvPicPr/>
                  </pic:nvPicPr>
                  <pic:blipFill>
                    <a:blip r:embed="rId57"/>
                    <a:stretch>
                      <a:fillRect/>
                    </a:stretch>
                  </pic:blipFill>
                  <pic:spPr>
                    <a:xfrm rot="0">
                      <a:off x="0" y="0"/>
                      <a:ext cx="908301" cy="373722"/>
                    </a:xfrm>
                    <a:prstGeom prst="rect">
                      <a:avLst/>
                    </a:prstGeom>
                  </pic:spPr>
                </pic:pic>
              </a:graphicData>
            </a:graphic>
          </wp:inline>
        </w:drawing>
      </w:r>
    </w:p>
    <w:p>
      <w:pPr>
        <w:spacing w:line="588" w:lineRule="exact"/>
        <w:sectPr>
          <w:headerReference w:type="default" r:id="rId55"/>
          <w:footerReference w:type="default" r:id="rId56"/>
          <w:pgSz w:w="11907" w:h="16839"/>
          <w:pgMar w:top="1422" w:right="1617" w:bottom="1618" w:left="1579" w:header="1033" w:footer="1417" w:gutter="0"/>
        </w:sectPr>
        <w:rPr/>
      </w:pPr>
    </w:p>
    <w:p>
      <w:pPr>
        <w:ind w:left="602"/>
        <w:spacing w:before="313"/>
        <w:rPr>
          <w:rFonts w:ascii="SimSun" w:hAnsi="SimSun" w:eastAsia="SimSun" w:cs="SimSun"/>
          <w:sz w:val="24"/>
          <w:szCs w:val="24"/>
        </w:rPr>
      </w:pPr>
      <w:r>
        <w:rPr>
          <w:rFonts w:ascii="SimSun" w:hAnsi="SimSun" w:eastAsia="SimSun" w:cs="SimSun"/>
          <w:sz w:val="24"/>
          <w:szCs w:val="24"/>
          <w:spacing w:val="-1"/>
        </w:rPr>
        <w:t>式中：</w:t>
      </w:r>
      <w:r>
        <w:rPr>
          <w:rFonts w:ascii="Times New Roman" w:hAnsi="Times New Roman" w:eastAsia="Times New Roman" w:cs="Times New Roman"/>
          <w:sz w:val="24"/>
          <w:szCs w:val="24"/>
          <w:spacing w:val="-1"/>
        </w:rPr>
        <w:t>P</w:t>
      </w:r>
      <w:r>
        <w:rPr>
          <w:rFonts w:ascii="Times New Roman" w:hAnsi="Times New Roman" w:eastAsia="Times New Roman" w:cs="Times New Roman"/>
          <w:sz w:val="16"/>
          <w:szCs w:val="16"/>
          <w:spacing w:val="-1"/>
          <w:position w:val="-3"/>
        </w:rPr>
        <w:t>i</w:t>
      </w:r>
      <w:r>
        <w:rPr>
          <w:rFonts w:ascii="Times New Roman" w:hAnsi="Times New Roman" w:eastAsia="Times New Roman" w:cs="Times New Roman"/>
          <w:sz w:val="24"/>
          <w:szCs w:val="24"/>
          <w:spacing w:val="-1"/>
        </w:rPr>
        <w:t>—</w:t>
      </w:r>
      <w:r>
        <w:rPr>
          <w:rFonts w:ascii="SimSun" w:hAnsi="SimSun" w:eastAsia="SimSun" w:cs="SimSun"/>
          <w:sz w:val="24"/>
          <w:szCs w:val="24"/>
          <w:spacing w:val="-1"/>
        </w:rPr>
        <w:t>第</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个污染物的最大地面空气质量浓度占标率，</w:t>
      </w:r>
      <w:r>
        <w:rPr>
          <w:rFonts w:ascii="Times New Roman" w:hAnsi="Times New Roman" w:eastAsia="Times New Roman" w:cs="Times New Roman"/>
          <w:sz w:val="24"/>
          <w:szCs w:val="24"/>
          <w:spacing w:val="-1"/>
        </w:rPr>
        <w:t>%</w:t>
      </w:r>
      <w:r>
        <w:rPr>
          <w:rFonts w:ascii="SimSun" w:hAnsi="SimSun" w:eastAsia="SimSun" w:cs="SimSun"/>
          <w:sz w:val="24"/>
          <w:szCs w:val="24"/>
          <w:spacing w:val="-1"/>
        </w:rPr>
        <w:t>；</w:t>
      </w:r>
    </w:p>
    <w:p>
      <w:pPr>
        <w:ind w:left="109" w:right="404" w:firstLine="1206"/>
        <w:spacing w:before="154" w:line="283" w:lineRule="auto"/>
        <w:rPr>
          <w:rFonts w:ascii="SimSun" w:hAnsi="SimSun" w:eastAsia="SimSun" w:cs="SimSun"/>
          <w:sz w:val="24"/>
          <w:szCs w:val="24"/>
        </w:rPr>
      </w:pPr>
      <w:r>
        <w:rPr>
          <w:rFonts w:ascii="Times New Roman" w:hAnsi="Times New Roman" w:eastAsia="Times New Roman" w:cs="Times New Roman"/>
          <w:sz w:val="24"/>
          <w:szCs w:val="24"/>
          <w:spacing w:val="-4"/>
        </w:rPr>
        <w:t>C</w:t>
      </w:r>
      <w:r>
        <w:rPr>
          <w:rFonts w:ascii="Times New Roman" w:hAnsi="Times New Roman" w:eastAsia="Times New Roman" w:cs="Times New Roman"/>
          <w:sz w:val="16"/>
          <w:szCs w:val="16"/>
          <w:spacing w:val="-4"/>
          <w:position w:val="-3"/>
        </w:rPr>
        <w:t>i</w:t>
      </w:r>
      <w:r>
        <w:rPr>
          <w:rFonts w:ascii="Times New Roman" w:hAnsi="Times New Roman" w:eastAsia="Times New Roman" w:cs="Times New Roman"/>
          <w:sz w:val="24"/>
          <w:szCs w:val="24"/>
          <w:spacing w:val="-4"/>
        </w:rPr>
        <w:t>—</w:t>
      </w:r>
      <w:r>
        <w:rPr>
          <w:rFonts w:ascii="SimSun" w:hAnsi="SimSun" w:eastAsia="SimSun" w:cs="SimSun"/>
          <w:sz w:val="24"/>
          <w:szCs w:val="24"/>
          <w:spacing w:val="-4"/>
        </w:rPr>
        <w:t>采用估算模式计算的第</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4"/>
        </w:rPr>
        <w:t>个污染物的最大 </w:t>
      </w:r>
      <w:r>
        <w:rPr>
          <w:rFonts w:ascii="Times New Roman" w:hAnsi="Times New Roman" w:eastAsia="Times New Roman" w:cs="Times New Roman"/>
          <w:sz w:val="24"/>
          <w:szCs w:val="24"/>
          <w:spacing w:val="-4"/>
        </w:rPr>
        <w:t>1h</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4"/>
        </w:rPr>
        <w:t>地面空气质量浓</w:t>
      </w:r>
      <w:r>
        <w:rPr>
          <w:rFonts w:ascii="SimSun" w:hAnsi="SimSun" w:eastAsia="SimSun" w:cs="SimSun"/>
          <w:sz w:val="24"/>
          <w:szCs w:val="24"/>
          <w:spacing w:val="-5"/>
        </w:rPr>
        <w:t>度，</w:t>
      </w:r>
      <w:r>
        <w:rPr>
          <w:rFonts w:ascii="SimSun" w:hAnsi="SimSun" w:eastAsia="SimSun" w:cs="SimSun"/>
          <w:sz w:val="24"/>
          <w:szCs w:val="24"/>
        </w:rPr>
        <w:t xml:space="preserve"> </w:t>
      </w:r>
      <w:r>
        <w:rPr>
          <w:rFonts w:ascii="Times New Roman" w:hAnsi="Times New Roman" w:eastAsia="Times New Roman" w:cs="Times New Roman"/>
          <w:sz w:val="24"/>
          <w:szCs w:val="24"/>
          <w:spacing w:val="-1"/>
        </w:rPr>
        <w:t>mg/m</w:t>
      </w:r>
      <w:r>
        <w:rPr>
          <w:rFonts w:ascii="Times New Roman" w:hAnsi="Times New Roman" w:eastAsia="Times New Roman" w:cs="Times New Roman"/>
          <w:sz w:val="16"/>
          <w:szCs w:val="16"/>
          <w:spacing w:val="-1"/>
          <w:position w:val="10"/>
        </w:rPr>
        <w:t>3</w:t>
      </w:r>
      <w:r>
        <w:rPr>
          <w:rFonts w:ascii="SimSun" w:hAnsi="SimSun" w:eastAsia="SimSun" w:cs="SimSun"/>
          <w:sz w:val="24"/>
          <w:szCs w:val="24"/>
          <w:spacing w:val="-1"/>
        </w:rPr>
        <w:t>；</w:t>
      </w:r>
    </w:p>
    <w:p>
      <w:pPr>
        <w:ind w:left="1316"/>
        <w:spacing w:before="189" w:line="223" w:lineRule="auto"/>
        <w:rPr>
          <w:rFonts w:ascii="SimSun" w:hAnsi="SimSun" w:eastAsia="SimSun" w:cs="SimSun"/>
          <w:sz w:val="24"/>
          <w:szCs w:val="24"/>
        </w:rPr>
      </w:pPr>
      <w:r>
        <w:rPr>
          <w:rFonts w:ascii="Times New Roman" w:hAnsi="Times New Roman" w:eastAsia="Times New Roman" w:cs="Times New Roman"/>
          <w:sz w:val="24"/>
          <w:szCs w:val="24"/>
          <w:spacing w:val="-3"/>
        </w:rPr>
        <w:t>C</w:t>
      </w:r>
      <w:r>
        <w:rPr>
          <w:rFonts w:ascii="Times New Roman" w:hAnsi="Times New Roman" w:eastAsia="Times New Roman" w:cs="Times New Roman"/>
          <w:sz w:val="16"/>
          <w:szCs w:val="16"/>
          <w:spacing w:val="-3"/>
          <w:position w:val="-3"/>
        </w:rPr>
        <w:t>0i</w:t>
      </w:r>
      <w:r>
        <w:rPr>
          <w:rFonts w:ascii="Times New Roman" w:hAnsi="Times New Roman" w:eastAsia="Times New Roman" w:cs="Times New Roman"/>
          <w:sz w:val="24"/>
          <w:szCs w:val="24"/>
          <w:spacing w:val="-3"/>
        </w:rPr>
        <w:t>—</w:t>
      </w:r>
      <w:r>
        <w:rPr>
          <w:rFonts w:ascii="SimSun" w:hAnsi="SimSun" w:eastAsia="SimSun" w:cs="SimSun"/>
          <w:sz w:val="24"/>
          <w:szCs w:val="24"/>
          <w:spacing w:val="-3"/>
        </w:rPr>
        <w:t>第</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i </w:t>
      </w:r>
      <w:r>
        <w:rPr>
          <w:rFonts w:ascii="SimSun" w:hAnsi="SimSun" w:eastAsia="SimSun" w:cs="SimSun"/>
          <w:sz w:val="24"/>
          <w:szCs w:val="24"/>
          <w:spacing w:val="-3"/>
        </w:rPr>
        <w:t>个污染物的环境空气质量标准，</w:t>
      </w:r>
      <w:r>
        <w:rPr>
          <w:rFonts w:ascii="SimSun" w:hAnsi="SimSun" w:eastAsia="SimSun" w:cs="SimSun"/>
          <w:sz w:val="24"/>
          <w:szCs w:val="24"/>
          <w:spacing w:val="-52"/>
        </w:rPr>
        <w:t xml:space="preserve"> </w:t>
      </w:r>
      <w:r>
        <w:rPr>
          <w:rFonts w:ascii="SimSun" w:hAnsi="SimSun" w:eastAsia="SimSun" w:cs="SimSun"/>
          <w:sz w:val="24"/>
          <w:szCs w:val="24"/>
          <w:spacing w:val="-3"/>
        </w:rPr>
        <w:t>μ</w:t>
      </w:r>
      <w:r>
        <w:rPr>
          <w:rFonts w:ascii="Times New Roman" w:hAnsi="Times New Roman" w:eastAsia="Times New Roman" w:cs="Times New Roman"/>
          <w:sz w:val="24"/>
          <w:szCs w:val="24"/>
          <w:spacing w:val="-3"/>
        </w:rPr>
        <w:t>g</w:t>
      </w:r>
      <w:r>
        <w:rPr>
          <w:rFonts w:ascii="Times New Roman" w:hAnsi="Times New Roman" w:eastAsia="Times New Roman" w:cs="Times New Roman"/>
          <w:sz w:val="24"/>
          <w:szCs w:val="24"/>
          <w:spacing w:val="-4"/>
        </w:rPr>
        <w:t>/m3</w:t>
      </w:r>
      <w:r>
        <w:rPr>
          <w:rFonts w:ascii="SimSun" w:hAnsi="SimSun" w:eastAsia="SimSun" w:cs="SimSun"/>
          <w:sz w:val="24"/>
          <w:szCs w:val="24"/>
          <w:spacing w:val="-4"/>
        </w:rPr>
        <w:t>；</w:t>
      </w:r>
    </w:p>
    <w:p>
      <w:pPr>
        <w:ind w:left="1316"/>
        <w:spacing w:before="178" w:line="238" w:lineRule="auto"/>
        <w:rPr>
          <w:rFonts w:ascii="SimSun" w:hAnsi="SimSun" w:eastAsia="SimSun" w:cs="SimSun"/>
          <w:sz w:val="24"/>
          <w:szCs w:val="24"/>
        </w:rPr>
      </w:pPr>
      <w:r>
        <w:rPr>
          <w:rFonts w:ascii="Times New Roman" w:hAnsi="Times New Roman" w:eastAsia="Times New Roman" w:cs="Times New Roman"/>
          <w:sz w:val="24"/>
          <w:szCs w:val="24"/>
          <w:spacing w:val="-4"/>
        </w:rPr>
        <w:t>C</w:t>
      </w:r>
      <w:r>
        <w:rPr>
          <w:rFonts w:ascii="Times New Roman" w:hAnsi="Times New Roman" w:eastAsia="Times New Roman" w:cs="Times New Roman"/>
          <w:sz w:val="16"/>
          <w:szCs w:val="16"/>
          <w:spacing w:val="-4"/>
          <w:position w:val="-3"/>
        </w:rPr>
        <w:t>0i</w:t>
      </w:r>
      <w:r>
        <w:rPr>
          <w:rFonts w:ascii="Times New Roman" w:hAnsi="Times New Roman" w:eastAsia="Times New Roman" w:cs="Times New Roman"/>
          <w:sz w:val="24"/>
          <w:szCs w:val="24"/>
          <w:spacing w:val="-4"/>
        </w:rPr>
        <w:t>—</w:t>
      </w:r>
      <w:r>
        <w:rPr>
          <w:rFonts w:ascii="SimSun" w:hAnsi="SimSun" w:eastAsia="SimSun" w:cs="SimSun"/>
          <w:sz w:val="24"/>
          <w:szCs w:val="24"/>
          <w:spacing w:val="-4"/>
        </w:rPr>
        <w:t>一般选用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GB3095</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4"/>
        </w:rPr>
        <w:t>中</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小时平均质量浓度的二级浓度限值。</w:t>
      </w:r>
    </w:p>
    <w:p>
      <w:pPr>
        <w:ind w:left="117" w:right="348" w:firstLine="483"/>
        <w:spacing w:before="156" w:line="358" w:lineRule="auto"/>
        <w:jc w:val="both"/>
        <w:rPr>
          <w:rFonts w:ascii="SimSun" w:hAnsi="SimSun" w:eastAsia="SimSun" w:cs="SimSun"/>
          <w:sz w:val="24"/>
          <w:szCs w:val="24"/>
        </w:rPr>
      </w:pPr>
      <w:r>
        <w:rPr>
          <w:rFonts w:ascii="SimSun" w:hAnsi="SimSun" w:eastAsia="SimSun" w:cs="SimSun"/>
          <w:sz w:val="24"/>
          <w:szCs w:val="24"/>
          <w:spacing w:val="-2"/>
        </w:rPr>
        <w:t>一般选用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GB3095</w:t>
      </w:r>
      <w:r>
        <w:rPr>
          <w:rFonts w:ascii="Times New Roman" w:hAnsi="Times New Roman" w:eastAsia="Times New Roman" w:cs="Times New Roman"/>
          <w:sz w:val="24"/>
          <w:szCs w:val="24"/>
          <w:spacing w:val="35"/>
          <w:w w:val="101"/>
        </w:rPr>
        <w:t xml:space="preserve"> </w:t>
      </w:r>
      <w:r>
        <w:rPr>
          <w:rFonts w:ascii="SimSun" w:hAnsi="SimSun" w:eastAsia="SimSun" w:cs="SimSun"/>
          <w:sz w:val="24"/>
          <w:szCs w:val="24"/>
          <w:spacing w:val="-2"/>
        </w:rPr>
        <w:t>中</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2"/>
        </w:rPr>
        <w:t>1h </w:t>
      </w:r>
      <w:r>
        <w:rPr>
          <w:rFonts w:ascii="SimSun" w:hAnsi="SimSun" w:eastAsia="SimSun" w:cs="SimSun"/>
          <w:sz w:val="24"/>
          <w:szCs w:val="24"/>
          <w:spacing w:val="-2"/>
        </w:rPr>
        <w:t>平均质量浓度的二级浓度限值，如项</w:t>
      </w:r>
      <w:r>
        <w:rPr>
          <w:rFonts w:ascii="SimSun" w:hAnsi="SimSun" w:eastAsia="SimSun" w:cs="SimSun"/>
          <w:sz w:val="24"/>
          <w:szCs w:val="24"/>
          <w:spacing w:val="-3"/>
        </w:rPr>
        <w:t>目位于一类环境</w:t>
      </w:r>
      <w:r>
        <w:rPr>
          <w:rFonts w:ascii="SimSun" w:hAnsi="SimSun" w:eastAsia="SimSun" w:cs="SimSun"/>
          <w:sz w:val="24"/>
          <w:szCs w:val="24"/>
          <w:spacing w:val="-1"/>
        </w:rPr>
        <w:t>空气功能区，应选择相应的一级浓度限值；对该标准中未包含的污染物，使用</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5.2</w:t>
      </w:r>
      <w:r>
        <w:rPr>
          <w:rFonts w:ascii="SimSun" w:hAnsi="SimSun" w:eastAsia="SimSun" w:cs="SimSun"/>
          <w:sz w:val="24"/>
          <w:szCs w:val="24"/>
          <w:spacing w:val="-2"/>
        </w:rPr>
        <w:t>确定的评价因子 </w:t>
      </w:r>
      <w:r>
        <w:rPr>
          <w:rFonts w:ascii="Times New Roman" w:hAnsi="Times New Roman" w:eastAsia="Times New Roman" w:cs="Times New Roman"/>
          <w:sz w:val="24"/>
          <w:szCs w:val="24"/>
          <w:spacing w:val="-2"/>
        </w:rPr>
        <w:t>1h</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2"/>
        </w:rPr>
        <w:t>平均质量浓度限值。对</w:t>
      </w:r>
      <w:r>
        <w:rPr>
          <w:rFonts w:ascii="SimSun" w:hAnsi="SimSun" w:eastAsia="SimSun" w:cs="SimSun"/>
          <w:sz w:val="24"/>
          <w:szCs w:val="24"/>
          <w:spacing w:val="-3"/>
        </w:rPr>
        <w:t>仅有 </w:t>
      </w:r>
      <w:r>
        <w:rPr>
          <w:rFonts w:ascii="Times New Roman" w:hAnsi="Times New Roman" w:eastAsia="Times New Roman" w:cs="Times New Roman"/>
          <w:sz w:val="24"/>
          <w:szCs w:val="24"/>
          <w:spacing w:val="-3"/>
        </w:rPr>
        <w:t>8h</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3"/>
        </w:rPr>
        <w:t>平均质量浓度限值、日平均质</w:t>
      </w:r>
      <w:r>
        <w:rPr>
          <w:rFonts w:ascii="SimSun" w:hAnsi="SimSun" w:eastAsia="SimSun" w:cs="SimSun"/>
          <w:sz w:val="24"/>
          <w:szCs w:val="24"/>
          <w:spacing w:val="-3"/>
        </w:rPr>
        <w:t>量浓度限值和年平均质量浓度限值的，可分别按</w:t>
      </w:r>
      <w:r>
        <w:rPr>
          <w:rFonts w:ascii="SimSun" w:hAnsi="SimSun" w:eastAsia="SimSun" w:cs="SimSun"/>
          <w:sz w:val="24"/>
          <w:szCs w:val="24"/>
          <w:spacing w:val="-19"/>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6"/>
        </w:rPr>
        <w:t xml:space="preserve"> </w:t>
      </w:r>
      <w:r>
        <w:rPr>
          <w:rFonts w:ascii="SimSun" w:hAnsi="SimSun" w:eastAsia="SimSun" w:cs="SimSun"/>
          <w:sz w:val="24"/>
          <w:szCs w:val="24"/>
          <w:spacing w:val="-3"/>
        </w:rPr>
        <w:t>倍、</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3"/>
        </w:rPr>
        <w:t>倍、</w:t>
      </w:r>
      <w:r>
        <w:rPr>
          <w:rFonts w:ascii="Times New Roman" w:hAnsi="Times New Roman" w:eastAsia="Times New Roman" w:cs="Times New Roman"/>
          <w:sz w:val="24"/>
          <w:szCs w:val="24"/>
          <w:spacing w:val="-3"/>
        </w:rPr>
        <w:t>6</w:t>
      </w:r>
      <w:r>
        <w:rPr>
          <w:rFonts w:ascii="Times New Roman" w:hAnsi="Times New Roman" w:eastAsia="Times New Roman" w:cs="Times New Roman"/>
          <w:sz w:val="24"/>
          <w:szCs w:val="24"/>
          <w:spacing w:val="26"/>
        </w:rPr>
        <w:t xml:space="preserve"> </w:t>
      </w:r>
      <w:r>
        <w:rPr>
          <w:rFonts w:ascii="SimSun" w:hAnsi="SimSun" w:eastAsia="SimSun" w:cs="SimSun"/>
          <w:sz w:val="24"/>
          <w:szCs w:val="24"/>
          <w:spacing w:val="-3"/>
        </w:rPr>
        <w:t>倍折算为 </w:t>
      </w:r>
      <w:r>
        <w:rPr>
          <w:rFonts w:ascii="Times New Roman" w:hAnsi="Times New Roman" w:eastAsia="Times New Roman" w:cs="Times New Roman"/>
          <w:sz w:val="24"/>
          <w:szCs w:val="24"/>
          <w:spacing w:val="-3"/>
        </w:rPr>
        <w:t>1h</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3"/>
        </w:rPr>
        <w:t>平均</w:t>
      </w:r>
      <w:r>
        <w:rPr>
          <w:rFonts w:ascii="SimSun" w:hAnsi="SimSun" w:eastAsia="SimSun" w:cs="SimSun"/>
          <w:sz w:val="24"/>
          <w:szCs w:val="24"/>
          <w:spacing w:val="-1"/>
        </w:rPr>
        <w:t>质量浓度限值。对该标准中未包含的污染物，可</w:t>
      </w:r>
      <w:r>
        <w:rPr>
          <w:rFonts w:ascii="SimSun" w:hAnsi="SimSun" w:eastAsia="SimSun" w:cs="SimSun"/>
          <w:sz w:val="24"/>
          <w:szCs w:val="24"/>
          <w:spacing w:val="-2"/>
        </w:rPr>
        <w:t>参照附录</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58"/>
        </w:rPr>
        <w:t xml:space="preserve"> </w:t>
      </w:r>
      <w:r>
        <w:rPr>
          <w:rFonts w:ascii="SimSun" w:hAnsi="SimSun" w:eastAsia="SimSun" w:cs="SimSun"/>
          <w:sz w:val="24"/>
          <w:szCs w:val="24"/>
          <w:spacing w:val="-2"/>
        </w:rPr>
        <w:t>中的浓度限值。如有</w:t>
      </w:r>
      <w:r>
        <w:rPr>
          <w:rFonts w:ascii="SimSun" w:hAnsi="SimSun" w:eastAsia="SimSun" w:cs="SimSun"/>
          <w:sz w:val="24"/>
          <w:szCs w:val="24"/>
          <w:spacing w:val="2"/>
        </w:rPr>
        <w:t>地方标准，应选用地方标准中的相应值。对某些上述标准中都未包含的污染物，</w:t>
      </w:r>
      <w:r>
        <w:rPr>
          <w:rFonts w:ascii="SimSun" w:hAnsi="SimSun" w:eastAsia="SimSun" w:cs="SimSun"/>
          <w:sz w:val="24"/>
          <w:szCs w:val="24"/>
          <w:spacing w:val="-1"/>
        </w:rPr>
        <w:t>可参照国外有关标准选用，但应作出说明，报生态环境</w:t>
      </w:r>
      <w:r>
        <w:rPr>
          <w:rFonts w:ascii="SimSun" w:hAnsi="SimSun" w:eastAsia="SimSun" w:cs="SimSun"/>
          <w:sz w:val="24"/>
          <w:szCs w:val="24"/>
          <w:spacing w:val="-2"/>
        </w:rPr>
        <w:t>主管部门批准后执行。</w:t>
      </w:r>
    </w:p>
    <w:p>
      <w:pPr>
        <w:ind w:left="595"/>
        <w:spacing w:before="12" w:line="217" w:lineRule="auto"/>
        <w:rPr>
          <w:rFonts w:ascii="SimSun" w:hAnsi="SimSun" w:eastAsia="SimSun" w:cs="SimSun"/>
          <w:sz w:val="24"/>
          <w:szCs w:val="24"/>
        </w:rPr>
      </w:pPr>
      <w:r>
        <w:rPr>
          <w:rFonts w:ascii="SimSun" w:hAnsi="SimSun" w:eastAsia="SimSun" w:cs="SimSun"/>
          <w:sz w:val="24"/>
          <w:szCs w:val="24"/>
          <w:spacing w:val="-1"/>
        </w:rPr>
        <w:t>②计算参数和判定依据</w:t>
      </w:r>
    </w:p>
    <w:p>
      <w:pPr>
        <w:ind w:left="119" w:right="348" w:firstLine="477"/>
        <w:spacing w:before="185" w:line="359" w:lineRule="auto"/>
        <w:rPr>
          <w:rFonts w:ascii="SimSun" w:hAnsi="SimSun" w:eastAsia="SimSun" w:cs="SimSun"/>
          <w:sz w:val="24"/>
          <w:szCs w:val="24"/>
        </w:rPr>
      </w:pPr>
      <w:r>
        <w:rPr>
          <w:rFonts w:ascii="SimSun" w:hAnsi="SimSun" w:eastAsia="SimSun" w:cs="SimSun"/>
          <w:sz w:val="24"/>
          <w:szCs w:val="24"/>
          <w:spacing w:val="-1"/>
        </w:rPr>
        <w:t>评价因子及评价标准见表</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1"/>
        </w:rPr>
        <w:t>2-18</w:t>
      </w:r>
      <w:r>
        <w:rPr>
          <w:rFonts w:ascii="SimSun" w:hAnsi="SimSun" w:eastAsia="SimSun" w:cs="SimSun"/>
          <w:sz w:val="24"/>
          <w:szCs w:val="24"/>
          <w:spacing w:val="-1"/>
        </w:rPr>
        <w:t>，估算模型参数详见表</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1"/>
        </w:rPr>
        <w:t>2-1</w:t>
      </w:r>
      <w:r>
        <w:rPr>
          <w:rFonts w:ascii="Times New Roman" w:hAnsi="Times New Roman" w:eastAsia="Times New Roman" w:cs="Times New Roman"/>
          <w:sz w:val="24"/>
          <w:szCs w:val="24"/>
          <w:spacing w:val="-2"/>
        </w:rPr>
        <w:t>9</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，恶臭气体污染源</w:t>
      </w:r>
      <w:r>
        <w:rPr>
          <w:rFonts w:ascii="SimSun" w:hAnsi="SimSun" w:eastAsia="SimSun" w:cs="SimSun"/>
          <w:sz w:val="24"/>
          <w:szCs w:val="24"/>
          <w:spacing w:val="-2"/>
        </w:rPr>
        <w:t>参数取值详见表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2-20</w:t>
      </w:r>
      <w:r>
        <w:rPr>
          <w:rFonts w:ascii="SimSun" w:hAnsi="SimSun" w:eastAsia="SimSun" w:cs="SimSun"/>
          <w:sz w:val="24"/>
          <w:szCs w:val="24"/>
          <w:spacing w:val="-2"/>
        </w:rPr>
        <w:t>。</w:t>
      </w:r>
    </w:p>
    <w:p>
      <w:pPr>
        <w:ind w:left="2912"/>
        <w:spacing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2"/>
        </w:rPr>
        <w:t>2-18    </w:t>
      </w:r>
      <w:r>
        <w:rPr>
          <w:rFonts w:ascii="SimSun" w:hAnsi="SimSun" w:eastAsia="SimSun" w:cs="SimSun"/>
          <w:sz w:val="24"/>
          <w:szCs w:val="24"/>
          <w:b/>
          <w:bCs/>
          <w:spacing w:val="-2"/>
        </w:rPr>
        <w:t>评价因子和评价标准表</w:t>
      </w:r>
    </w:p>
    <w:p>
      <w:pPr>
        <w:spacing w:line="131" w:lineRule="exact"/>
        <w:rPr/>
      </w:pPr>
      <w:r/>
    </w:p>
    <w:tbl>
      <w:tblPr>
        <w:tblStyle w:val="TableNormal"/>
        <w:tblW w:w="896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95"/>
        <w:gridCol w:w="1179"/>
        <w:gridCol w:w="1762"/>
        <w:gridCol w:w="4427"/>
      </w:tblGrid>
      <w:tr>
        <w:trPr>
          <w:trHeight w:val="273" w:hRule="atLeast"/>
        </w:trPr>
        <w:tc>
          <w:tcPr>
            <w:tcW w:w="1595" w:type="dxa"/>
            <w:vAlign w:val="top"/>
            <w:tcBorders>
              <w:top w:val="single" w:color="000000" w:sz="10" w:space="0"/>
              <w:left w:val="nil"/>
            </w:tcBorders>
          </w:tcPr>
          <w:p>
            <w:pPr>
              <w:pStyle w:val="TableText"/>
              <w:ind w:left="381"/>
              <w:spacing w:before="35" w:line="200" w:lineRule="auto"/>
              <w:rPr/>
            </w:pPr>
            <w:r>
              <w:rPr>
                <w:b/>
                <w:bCs/>
                <w:spacing w:val="-3"/>
              </w:rPr>
              <w:t>评价因子</w:t>
            </w:r>
          </w:p>
        </w:tc>
        <w:tc>
          <w:tcPr>
            <w:tcW w:w="1179" w:type="dxa"/>
            <w:vAlign w:val="top"/>
            <w:tcBorders>
              <w:top w:val="single" w:color="000000" w:sz="10" w:space="0"/>
            </w:tcBorders>
          </w:tcPr>
          <w:p>
            <w:pPr>
              <w:pStyle w:val="TableText"/>
              <w:ind w:left="169"/>
              <w:spacing w:before="35" w:line="200" w:lineRule="auto"/>
              <w:rPr/>
            </w:pPr>
            <w:r>
              <w:rPr>
                <w:b/>
                <w:bCs/>
                <w:spacing w:val="-3"/>
              </w:rPr>
              <w:t>平均时段</w:t>
            </w:r>
          </w:p>
        </w:tc>
        <w:tc>
          <w:tcPr>
            <w:tcW w:w="1762" w:type="dxa"/>
            <w:vAlign w:val="top"/>
            <w:tcBorders>
              <w:top w:val="single" w:color="000000" w:sz="10" w:space="0"/>
            </w:tcBorders>
          </w:tcPr>
          <w:p>
            <w:pPr>
              <w:pStyle w:val="TableText"/>
              <w:ind w:left="115"/>
              <w:spacing w:before="21" w:line="212" w:lineRule="auto"/>
              <w:rPr/>
            </w:pPr>
            <w:r>
              <w:rPr>
                <w:b/>
                <w:bCs/>
                <w:spacing w:val="9"/>
              </w:rPr>
              <w:t>标准值(</w:t>
            </w:r>
            <w:r>
              <w:rPr>
                <w:rFonts w:ascii="Times New Roman" w:hAnsi="Times New Roman" w:eastAsia="Times New Roman" w:cs="Times New Roman"/>
                <w:b/>
                <w:bCs/>
                <w:spacing w:val="9"/>
              </w:rPr>
              <w:t>μg/m</w:t>
            </w:r>
            <w:r>
              <w:rPr>
                <w:rFonts w:ascii="Times New Roman" w:hAnsi="Times New Roman" w:eastAsia="Times New Roman" w:cs="Times New Roman"/>
                <w:sz w:val="13"/>
                <w:szCs w:val="13"/>
                <w:b/>
                <w:bCs/>
                <w:spacing w:val="9"/>
                <w:position w:val="9"/>
              </w:rPr>
              <w:t>3</w:t>
            </w:r>
            <w:r>
              <w:rPr>
                <w:b/>
                <w:bCs/>
                <w:spacing w:val="9"/>
              </w:rPr>
              <w:t>）</w:t>
            </w:r>
          </w:p>
        </w:tc>
        <w:tc>
          <w:tcPr>
            <w:tcW w:w="4427" w:type="dxa"/>
            <w:vAlign w:val="top"/>
            <w:tcBorders>
              <w:top w:val="single" w:color="000000" w:sz="10" w:space="0"/>
              <w:right w:val="nil"/>
            </w:tcBorders>
          </w:tcPr>
          <w:p>
            <w:pPr>
              <w:pStyle w:val="TableText"/>
              <w:ind w:left="1800"/>
              <w:spacing w:before="35" w:line="200" w:lineRule="auto"/>
              <w:rPr/>
            </w:pPr>
            <w:r>
              <w:rPr>
                <w:b/>
                <w:bCs/>
                <w:spacing w:val="-4"/>
              </w:rPr>
              <w:t>标准来源</w:t>
            </w:r>
          </w:p>
        </w:tc>
      </w:tr>
      <w:tr>
        <w:trPr>
          <w:trHeight w:val="270" w:hRule="atLeast"/>
        </w:trPr>
        <w:tc>
          <w:tcPr>
            <w:tcW w:w="1595" w:type="dxa"/>
            <w:vAlign w:val="top"/>
            <w:tcBorders>
              <w:left w:val="nil"/>
            </w:tcBorders>
          </w:tcPr>
          <w:p>
            <w:pPr>
              <w:ind w:left="629"/>
              <w:spacing w:before="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179" w:type="dxa"/>
            <w:vAlign w:val="top"/>
          </w:tcPr>
          <w:p>
            <w:pPr>
              <w:pStyle w:val="TableText"/>
              <w:ind w:left="345"/>
              <w:spacing w:before="39" w:line="194" w:lineRule="auto"/>
              <w:rPr/>
            </w:pPr>
            <w:r>
              <w:rPr>
                <w:rFonts w:ascii="Times New Roman" w:hAnsi="Times New Roman" w:eastAsia="Times New Roman" w:cs="Times New Roman"/>
                <w:spacing w:val="-8"/>
              </w:rPr>
              <w:t>1</w:t>
            </w:r>
            <w:r>
              <w:rPr>
                <w:spacing w:val="-8"/>
              </w:rPr>
              <w:t>小时</w:t>
            </w:r>
          </w:p>
        </w:tc>
        <w:tc>
          <w:tcPr>
            <w:tcW w:w="1762" w:type="dxa"/>
            <w:vAlign w:val="top"/>
          </w:tcPr>
          <w:p>
            <w:pPr>
              <w:ind w:left="798"/>
              <w:spacing w:before="68"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4427" w:type="dxa"/>
            <w:vAlign w:val="top"/>
            <w:vMerge w:val="restart"/>
            <w:tcBorders>
              <w:bottom w:val="nil"/>
              <w:right w:val="nil"/>
            </w:tcBorders>
          </w:tcPr>
          <w:p>
            <w:pPr>
              <w:pStyle w:val="TableText"/>
              <w:ind w:left="1236" w:right="486" w:hanging="748"/>
              <w:spacing w:before="42" w:line="227" w:lineRule="auto"/>
              <w:rPr>
                <w:rFonts w:ascii="Times New Roman" w:hAnsi="Times New Roman" w:eastAsia="Times New Roman" w:cs="Times New Roman"/>
              </w:rPr>
            </w:pPr>
            <w:r>
              <w:rPr>
                <w:spacing w:val="-1"/>
              </w:rPr>
              <w:t>《环境影响评价技术导则 大气环境》</w:t>
            </w:r>
            <w:r>
              <w:rPr>
                <w:spacing w:val="1"/>
              </w:rPr>
              <w:t xml:space="preserve"> </w:t>
            </w:r>
            <w:r>
              <w:rPr>
                <w:spacing w:val="-1"/>
              </w:rPr>
              <w:t>（</w:t>
            </w:r>
            <w:r>
              <w:rPr>
                <w:rFonts w:ascii="Times New Roman" w:hAnsi="Times New Roman" w:eastAsia="Times New Roman" w:cs="Times New Roman"/>
                <w:spacing w:val="-1"/>
              </w:rPr>
              <w:t>HJ2.2-2018</w:t>
            </w:r>
            <w:r>
              <w:rPr>
                <w:spacing w:val="-1"/>
              </w:rPr>
              <w:t>）附录</w:t>
            </w:r>
            <w:r>
              <w:rPr>
                <w:rFonts w:ascii="Times New Roman" w:hAnsi="Times New Roman" w:eastAsia="Times New Roman" w:cs="Times New Roman"/>
                <w:spacing w:val="-1"/>
              </w:rPr>
              <w:t>D</w:t>
            </w:r>
          </w:p>
        </w:tc>
      </w:tr>
      <w:tr>
        <w:trPr>
          <w:trHeight w:val="294" w:hRule="atLeast"/>
        </w:trPr>
        <w:tc>
          <w:tcPr>
            <w:tcW w:w="1595" w:type="dxa"/>
            <w:vAlign w:val="top"/>
            <w:tcBorders>
              <w:bottom w:val="single" w:color="000000" w:sz="10" w:space="0"/>
              <w:left w:val="nil"/>
            </w:tcBorders>
          </w:tcPr>
          <w:p>
            <w:pPr>
              <w:ind w:left="606"/>
              <w:spacing w:before="81" w:line="199"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179" w:type="dxa"/>
            <w:vAlign w:val="top"/>
            <w:tcBorders>
              <w:bottom w:val="single" w:color="000000" w:sz="10" w:space="0"/>
            </w:tcBorders>
          </w:tcPr>
          <w:p>
            <w:pPr>
              <w:pStyle w:val="TableText"/>
              <w:ind w:left="345"/>
              <w:spacing w:before="47" w:line="208" w:lineRule="auto"/>
              <w:rPr/>
            </w:pPr>
            <w:r>
              <w:rPr>
                <w:rFonts w:ascii="Times New Roman" w:hAnsi="Times New Roman" w:eastAsia="Times New Roman" w:cs="Times New Roman"/>
                <w:spacing w:val="-8"/>
              </w:rPr>
              <w:t>1</w:t>
            </w:r>
            <w:r>
              <w:rPr>
                <w:spacing w:val="-8"/>
              </w:rPr>
              <w:t>小时</w:t>
            </w:r>
          </w:p>
        </w:tc>
        <w:tc>
          <w:tcPr>
            <w:tcW w:w="1762" w:type="dxa"/>
            <w:vAlign w:val="top"/>
            <w:tcBorders>
              <w:bottom w:val="single" w:color="000000" w:sz="10" w:space="0"/>
            </w:tcBorders>
          </w:tcPr>
          <w:p>
            <w:pPr>
              <w:ind w:left="727"/>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4427" w:type="dxa"/>
            <w:vAlign w:val="top"/>
            <w:vMerge w:val="continue"/>
            <w:tcBorders>
              <w:bottom w:val="single" w:color="000000" w:sz="10" w:space="0"/>
              <w:right w:val="nil"/>
              <w:top w:val="nil"/>
            </w:tcBorders>
          </w:tcPr>
          <w:p>
            <w:pPr>
              <w:rPr>
                <w:rFonts w:ascii="Arial"/>
                <w:sz w:val="21"/>
              </w:rPr>
            </w:pPr>
            <w:r/>
          </w:p>
        </w:tc>
      </w:tr>
    </w:tbl>
    <w:p>
      <w:pPr>
        <w:ind w:left="3212"/>
        <w:spacing w:before="33"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2-19      </w:t>
      </w:r>
      <w:r>
        <w:rPr>
          <w:rFonts w:ascii="SimSun" w:hAnsi="SimSun" w:eastAsia="SimSun" w:cs="SimSun"/>
          <w:sz w:val="24"/>
          <w:szCs w:val="24"/>
          <w:b/>
          <w:bCs/>
          <w:spacing w:val="-2"/>
        </w:rPr>
        <w:t>估算模型参数表</w:t>
      </w:r>
    </w:p>
    <w:p>
      <w:pPr>
        <w:spacing w:line="133" w:lineRule="exact"/>
        <w:rPr/>
      </w:pPr>
      <w:r/>
    </w:p>
    <w:tbl>
      <w:tblPr>
        <w:tblStyle w:val="TableNormal"/>
        <w:tblW w:w="872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907"/>
        <w:gridCol w:w="2909"/>
        <w:gridCol w:w="2907"/>
      </w:tblGrid>
      <w:tr>
        <w:trPr>
          <w:trHeight w:val="280" w:hRule="atLeast"/>
        </w:trPr>
        <w:tc>
          <w:tcPr>
            <w:tcW w:w="5816" w:type="dxa"/>
            <w:vAlign w:val="top"/>
            <w:gridSpan w:val="2"/>
            <w:tcBorders>
              <w:left w:val="nil"/>
              <w:top w:val="single" w:color="000000" w:sz="10" w:space="0"/>
            </w:tcBorders>
          </w:tcPr>
          <w:p>
            <w:pPr>
              <w:pStyle w:val="TableText"/>
              <w:ind w:left="2705"/>
              <w:spacing w:before="33" w:line="208" w:lineRule="auto"/>
              <w:rPr/>
            </w:pPr>
            <w:r>
              <w:rPr>
                <w:b/>
                <w:bCs/>
                <w:spacing w:val="-5"/>
              </w:rPr>
              <w:t>参数</w:t>
            </w:r>
          </w:p>
        </w:tc>
        <w:tc>
          <w:tcPr>
            <w:tcW w:w="2907" w:type="dxa"/>
            <w:vAlign w:val="top"/>
            <w:tcBorders>
              <w:right w:val="nil"/>
              <w:top w:val="single" w:color="000000" w:sz="10" w:space="0"/>
            </w:tcBorders>
          </w:tcPr>
          <w:p>
            <w:pPr>
              <w:pStyle w:val="TableText"/>
              <w:ind w:left="1247"/>
              <w:spacing w:before="33" w:line="208" w:lineRule="auto"/>
              <w:rPr/>
            </w:pPr>
            <w:r>
              <w:rPr>
                <w:b/>
                <w:bCs/>
                <w:spacing w:val="-5"/>
              </w:rPr>
              <w:t>取值</w:t>
            </w:r>
          </w:p>
        </w:tc>
      </w:tr>
      <w:tr>
        <w:trPr>
          <w:trHeight w:val="274" w:hRule="atLeast"/>
        </w:trPr>
        <w:tc>
          <w:tcPr>
            <w:tcW w:w="2907" w:type="dxa"/>
            <w:vAlign w:val="top"/>
            <w:vMerge w:val="restart"/>
            <w:tcBorders>
              <w:left w:val="nil"/>
              <w:bottom w:val="nil"/>
            </w:tcBorders>
          </w:tcPr>
          <w:p>
            <w:pPr>
              <w:pStyle w:val="TableText"/>
              <w:ind w:left="802"/>
              <w:spacing w:before="173" w:line="234" w:lineRule="auto"/>
              <w:rPr/>
            </w:pPr>
            <w:r>
              <w:rPr>
                <w:spacing w:val="-1"/>
              </w:rPr>
              <w:t>城市</w:t>
            </w:r>
            <w:r>
              <w:rPr>
                <w:rFonts w:ascii="Times New Roman" w:hAnsi="Times New Roman" w:eastAsia="Times New Roman" w:cs="Times New Roman"/>
                <w:spacing w:val="-1"/>
              </w:rPr>
              <w:t>/</w:t>
            </w:r>
            <w:r>
              <w:rPr>
                <w:spacing w:val="-1"/>
              </w:rPr>
              <w:t>农村选项</w:t>
            </w:r>
          </w:p>
        </w:tc>
        <w:tc>
          <w:tcPr>
            <w:tcW w:w="2909" w:type="dxa"/>
            <w:vAlign w:val="top"/>
          </w:tcPr>
          <w:p>
            <w:pPr>
              <w:pStyle w:val="TableText"/>
              <w:ind w:left="1009"/>
              <w:spacing w:before="31" w:line="204" w:lineRule="auto"/>
              <w:rPr/>
            </w:pPr>
            <w:r>
              <w:rPr>
                <w:spacing w:val="-2"/>
              </w:rPr>
              <w:t>城市</w:t>
            </w:r>
            <w:r>
              <w:rPr>
                <w:rFonts w:ascii="Times New Roman" w:hAnsi="Times New Roman" w:eastAsia="Times New Roman" w:cs="Times New Roman"/>
                <w:spacing w:val="-2"/>
              </w:rPr>
              <w:t>/</w:t>
            </w:r>
            <w:r>
              <w:rPr>
                <w:spacing w:val="-2"/>
              </w:rPr>
              <w:t>农村</w:t>
            </w:r>
          </w:p>
        </w:tc>
        <w:tc>
          <w:tcPr>
            <w:tcW w:w="2907" w:type="dxa"/>
            <w:vAlign w:val="top"/>
            <w:tcBorders>
              <w:right w:val="nil"/>
            </w:tcBorders>
          </w:tcPr>
          <w:p>
            <w:pPr>
              <w:pStyle w:val="TableText"/>
              <w:ind w:left="1247"/>
              <w:spacing w:before="31" w:line="204" w:lineRule="auto"/>
              <w:rPr/>
            </w:pPr>
            <w:r>
              <w:rPr>
                <w:spacing w:val="-2"/>
              </w:rPr>
              <w:t>农村</w:t>
            </w:r>
          </w:p>
        </w:tc>
      </w:tr>
      <w:tr>
        <w:trPr>
          <w:trHeight w:val="276" w:hRule="atLeast"/>
        </w:trPr>
        <w:tc>
          <w:tcPr>
            <w:tcW w:w="2907" w:type="dxa"/>
            <w:vAlign w:val="top"/>
            <w:vMerge w:val="continue"/>
            <w:tcBorders>
              <w:left w:val="nil"/>
              <w:top w:val="nil"/>
            </w:tcBorders>
          </w:tcPr>
          <w:p>
            <w:pPr>
              <w:rPr>
                <w:rFonts w:ascii="Arial"/>
                <w:sz w:val="21"/>
              </w:rPr>
            </w:pPr>
            <w:r/>
          </w:p>
        </w:tc>
        <w:tc>
          <w:tcPr>
            <w:tcW w:w="2909" w:type="dxa"/>
            <w:vAlign w:val="top"/>
          </w:tcPr>
          <w:p>
            <w:pPr>
              <w:pStyle w:val="TableText"/>
              <w:ind w:left="410"/>
              <w:spacing w:before="33" w:line="204" w:lineRule="auto"/>
              <w:rPr/>
            </w:pPr>
            <w:r>
              <w:rPr>
                <w:spacing w:val="-1"/>
              </w:rPr>
              <w:t>人口数（城市选项时）</w:t>
            </w:r>
          </w:p>
        </w:tc>
        <w:tc>
          <w:tcPr>
            <w:tcW w:w="2907" w:type="dxa"/>
            <w:vAlign w:val="top"/>
            <w:tcBorders>
              <w:right w:val="nil"/>
            </w:tcBorders>
          </w:tcPr>
          <w:p>
            <w:pPr>
              <w:ind w:left="1419"/>
              <w:spacing w:before="63"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274" w:hRule="atLeast"/>
        </w:trPr>
        <w:tc>
          <w:tcPr>
            <w:tcW w:w="5816" w:type="dxa"/>
            <w:vAlign w:val="top"/>
            <w:gridSpan w:val="2"/>
            <w:tcBorders>
              <w:left w:val="nil"/>
            </w:tcBorders>
          </w:tcPr>
          <w:p>
            <w:pPr>
              <w:pStyle w:val="TableText"/>
              <w:ind w:left="2149"/>
              <w:spacing w:before="35" w:line="201" w:lineRule="auto"/>
              <w:rPr>
                <w:rFonts w:ascii="Times New Roman" w:hAnsi="Times New Roman" w:eastAsia="Times New Roman" w:cs="Times New Roman"/>
              </w:rPr>
            </w:pPr>
            <w:r>
              <w:rPr>
                <w:spacing w:val="-1"/>
              </w:rPr>
              <w:t>最高环境温度</w:t>
            </w:r>
            <w:r>
              <w:rPr>
                <w:rFonts w:ascii="Times New Roman" w:hAnsi="Times New Roman" w:eastAsia="Times New Roman" w:cs="Times New Roman"/>
                <w:spacing w:val="-1"/>
              </w:rPr>
              <w:t>/℃</w:t>
            </w:r>
          </w:p>
        </w:tc>
        <w:tc>
          <w:tcPr>
            <w:tcW w:w="2907" w:type="dxa"/>
            <w:vAlign w:val="top"/>
            <w:tcBorders>
              <w:right w:val="nil"/>
            </w:tcBorders>
          </w:tcPr>
          <w:p>
            <w:pPr>
              <w:ind w:left="1274"/>
              <w:spacing w:before="63"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32.8</w:t>
            </w:r>
          </w:p>
        </w:tc>
      </w:tr>
      <w:tr>
        <w:trPr>
          <w:trHeight w:val="276" w:hRule="atLeast"/>
        </w:trPr>
        <w:tc>
          <w:tcPr>
            <w:tcW w:w="5816" w:type="dxa"/>
            <w:vAlign w:val="top"/>
            <w:gridSpan w:val="2"/>
            <w:tcBorders>
              <w:left w:val="nil"/>
            </w:tcBorders>
          </w:tcPr>
          <w:p>
            <w:pPr>
              <w:pStyle w:val="TableText"/>
              <w:ind w:left="2149"/>
              <w:spacing w:before="39" w:line="199" w:lineRule="auto"/>
              <w:rPr>
                <w:rFonts w:ascii="Times New Roman" w:hAnsi="Times New Roman" w:eastAsia="Times New Roman" w:cs="Times New Roman"/>
              </w:rPr>
            </w:pPr>
            <w:r>
              <w:rPr>
                <w:spacing w:val="-1"/>
              </w:rPr>
              <w:t>最低环境温度</w:t>
            </w:r>
            <w:r>
              <w:rPr>
                <w:rFonts w:ascii="Times New Roman" w:hAnsi="Times New Roman" w:eastAsia="Times New Roman" w:cs="Times New Roman"/>
                <w:spacing w:val="-1"/>
              </w:rPr>
              <w:t>/℃</w:t>
            </w:r>
          </w:p>
        </w:tc>
        <w:tc>
          <w:tcPr>
            <w:tcW w:w="2907" w:type="dxa"/>
            <w:vAlign w:val="top"/>
            <w:tcBorders>
              <w:right w:val="nil"/>
            </w:tcBorders>
          </w:tcPr>
          <w:p>
            <w:pPr>
              <w:ind w:left="1238"/>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-35.9</w:t>
            </w:r>
          </w:p>
        </w:tc>
      </w:tr>
      <w:tr>
        <w:trPr>
          <w:trHeight w:val="276" w:hRule="atLeast"/>
        </w:trPr>
        <w:tc>
          <w:tcPr>
            <w:tcW w:w="5816" w:type="dxa"/>
            <w:vAlign w:val="top"/>
            <w:gridSpan w:val="2"/>
            <w:tcBorders>
              <w:left w:val="nil"/>
            </w:tcBorders>
          </w:tcPr>
          <w:p>
            <w:pPr>
              <w:pStyle w:val="TableText"/>
              <w:ind w:left="2284"/>
              <w:spacing w:before="40" w:line="198" w:lineRule="auto"/>
              <w:rPr/>
            </w:pPr>
            <w:r>
              <w:rPr>
                <w:spacing w:val="-1"/>
              </w:rPr>
              <w:t>土地利用类型</w:t>
            </w:r>
          </w:p>
        </w:tc>
        <w:tc>
          <w:tcPr>
            <w:tcW w:w="2907" w:type="dxa"/>
            <w:vAlign w:val="top"/>
            <w:tcBorders>
              <w:right w:val="nil"/>
            </w:tcBorders>
          </w:tcPr>
          <w:p>
            <w:pPr>
              <w:pStyle w:val="TableText"/>
              <w:ind w:left="1248"/>
              <w:spacing w:before="40" w:line="198" w:lineRule="auto"/>
              <w:rPr/>
            </w:pPr>
            <w:r>
              <w:rPr>
                <w:spacing w:val="-2"/>
              </w:rPr>
              <w:t>草地</w:t>
            </w:r>
          </w:p>
        </w:tc>
      </w:tr>
      <w:tr>
        <w:trPr>
          <w:trHeight w:val="274" w:hRule="atLeast"/>
        </w:trPr>
        <w:tc>
          <w:tcPr>
            <w:tcW w:w="5816" w:type="dxa"/>
            <w:vAlign w:val="top"/>
            <w:gridSpan w:val="2"/>
            <w:tcBorders>
              <w:left w:val="nil"/>
            </w:tcBorders>
          </w:tcPr>
          <w:p>
            <w:pPr>
              <w:pStyle w:val="TableText"/>
              <w:ind w:left="2299"/>
              <w:spacing w:before="42" w:line="195" w:lineRule="auto"/>
              <w:rPr/>
            </w:pPr>
            <w:r>
              <w:rPr>
                <w:spacing w:val="-4"/>
              </w:rPr>
              <w:t>区域湿度条件</w:t>
            </w:r>
          </w:p>
        </w:tc>
        <w:tc>
          <w:tcPr>
            <w:tcW w:w="2907" w:type="dxa"/>
            <w:vAlign w:val="top"/>
            <w:tcBorders>
              <w:right w:val="nil"/>
            </w:tcBorders>
          </w:tcPr>
          <w:p>
            <w:pPr>
              <w:pStyle w:val="TableText"/>
              <w:ind w:left="1246"/>
              <w:spacing w:before="42" w:line="195" w:lineRule="auto"/>
              <w:rPr/>
            </w:pPr>
            <w:r>
              <w:rPr>
                <w:spacing w:val="-2"/>
              </w:rPr>
              <w:t>干燥</w:t>
            </w:r>
          </w:p>
        </w:tc>
      </w:tr>
      <w:tr>
        <w:trPr>
          <w:trHeight w:val="276" w:hRule="atLeast"/>
        </w:trPr>
        <w:tc>
          <w:tcPr>
            <w:tcW w:w="2907" w:type="dxa"/>
            <w:vAlign w:val="top"/>
            <w:vMerge w:val="restart"/>
            <w:tcBorders>
              <w:left w:val="nil"/>
              <w:bottom w:val="nil"/>
            </w:tcBorders>
          </w:tcPr>
          <w:p>
            <w:pPr>
              <w:pStyle w:val="TableText"/>
              <w:ind w:left="834"/>
              <w:spacing w:before="185" w:line="220" w:lineRule="auto"/>
              <w:rPr/>
            </w:pPr>
            <w:r>
              <w:rPr>
                <w:spacing w:val="-2"/>
              </w:rPr>
              <w:t>是否考虑地形</w:t>
            </w:r>
          </w:p>
        </w:tc>
        <w:tc>
          <w:tcPr>
            <w:tcW w:w="2909" w:type="dxa"/>
            <w:vAlign w:val="top"/>
          </w:tcPr>
          <w:p>
            <w:pPr>
              <w:pStyle w:val="TableText"/>
              <w:ind w:left="1038"/>
              <w:spacing w:before="46" w:line="193" w:lineRule="auto"/>
              <w:rPr/>
            </w:pPr>
            <w:r>
              <w:rPr>
                <w:spacing w:val="-2"/>
              </w:rPr>
              <w:t>考虑地形</w:t>
            </w:r>
          </w:p>
        </w:tc>
        <w:tc>
          <w:tcPr>
            <w:tcW w:w="2907" w:type="dxa"/>
            <w:vAlign w:val="top"/>
            <w:tcBorders>
              <w:right w:val="nil"/>
            </w:tcBorders>
          </w:tcPr>
          <w:p>
            <w:pPr>
              <w:pStyle w:val="TableText"/>
              <w:ind w:left="1353"/>
              <w:spacing w:before="46" w:line="193" w:lineRule="auto"/>
              <w:rPr/>
            </w:pPr>
            <w:r>
              <w:rPr/>
              <w:t>是</w:t>
            </w:r>
          </w:p>
        </w:tc>
      </w:tr>
      <w:tr>
        <w:trPr>
          <w:trHeight w:val="276" w:hRule="atLeast"/>
        </w:trPr>
        <w:tc>
          <w:tcPr>
            <w:tcW w:w="2907" w:type="dxa"/>
            <w:vAlign w:val="top"/>
            <w:vMerge w:val="continue"/>
            <w:tcBorders>
              <w:left w:val="nil"/>
              <w:top w:val="nil"/>
            </w:tcBorders>
          </w:tcPr>
          <w:p>
            <w:pPr>
              <w:rPr>
                <w:rFonts w:ascii="Arial"/>
                <w:sz w:val="21"/>
              </w:rPr>
            </w:pPr>
            <w:r/>
          </w:p>
        </w:tc>
        <w:tc>
          <w:tcPr>
            <w:tcW w:w="2909" w:type="dxa"/>
            <w:vAlign w:val="top"/>
          </w:tcPr>
          <w:p>
            <w:pPr>
              <w:pStyle w:val="TableText"/>
              <w:ind w:left="612"/>
              <w:spacing w:before="46" w:line="193" w:lineRule="auto"/>
              <w:rPr>
                <w:rFonts w:ascii="Times New Roman" w:hAnsi="Times New Roman" w:eastAsia="Times New Roman" w:cs="Times New Roman"/>
              </w:rPr>
            </w:pPr>
            <w:r>
              <w:rPr>
                <w:spacing w:val="-1"/>
              </w:rPr>
              <w:t>地形数据分辨率</w:t>
            </w:r>
            <w:r>
              <w:rPr>
                <w:rFonts w:ascii="Times New Roman" w:hAnsi="Times New Roman" w:eastAsia="Times New Roman" w:cs="Times New Roman"/>
                <w:spacing w:val="-1"/>
              </w:rPr>
              <w:t>/m</w:t>
            </w:r>
          </w:p>
        </w:tc>
        <w:tc>
          <w:tcPr>
            <w:tcW w:w="2907" w:type="dxa"/>
            <w:vAlign w:val="top"/>
            <w:tcBorders>
              <w:right w:val="nil"/>
            </w:tcBorders>
          </w:tcPr>
          <w:p>
            <w:pPr>
              <w:ind w:left="1350"/>
              <w:spacing w:before="7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r>
      <w:tr>
        <w:trPr>
          <w:trHeight w:val="274" w:hRule="atLeast"/>
        </w:trPr>
        <w:tc>
          <w:tcPr>
            <w:tcW w:w="2907" w:type="dxa"/>
            <w:vAlign w:val="top"/>
            <w:vMerge w:val="restart"/>
            <w:tcBorders>
              <w:left w:val="nil"/>
              <w:bottom w:val="nil"/>
            </w:tcBorders>
          </w:tcPr>
          <w:p>
            <w:pPr>
              <w:spacing w:line="259" w:lineRule="auto"/>
              <w:rPr>
                <w:rFonts w:ascii="Arial"/>
                <w:sz w:val="21"/>
              </w:rPr>
            </w:pPr>
            <w:r/>
          </w:p>
          <w:p>
            <w:pPr>
              <w:pStyle w:val="TableText"/>
              <w:ind w:left="623"/>
              <w:spacing w:before="68" w:line="220" w:lineRule="auto"/>
              <w:rPr/>
            </w:pPr>
            <w:r>
              <w:rPr>
                <w:spacing w:val="-1"/>
              </w:rPr>
              <w:t>是否考虑岸线熏烟</w:t>
            </w:r>
          </w:p>
        </w:tc>
        <w:tc>
          <w:tcPr>
            <w:tcW w:w="2909" w:type="dxa"/>
            <w:vAlign w:val="top"/>
          </w:tcPr>
          <w:p>
            <w:pPr>
              <w:pStyle w:val="TableText"/>
              <w:ind w:left="828"/>
              <w:spacing w:before="49" w:line="189" w:lineRule="auto"/>
              <w:rPr/>
            </w:pPr>
            <w:r>
              <w:rPr>
                <w:spacing w:val="-1"/>
              </w:rPr>
              <w:t>考虑岸线熏烟</w:t>
            </w:r>
          </w:p>
        </w:tc>
        <w:tc>
          <w:tcPr>
            <w:tcW w:w="2907" w:type="dxa"/>
            <w:vAlign w:val="top"/>
            <w:tcBorders>
              <w:right w:val="nil"/>
            </w:tcBorders>
          </w:tcPr>
          <w:p>
            <w:pPr>
              <w:pStyle w:val="TableText"/>
              <w:ind w:left="1357"/>
              <w:spacing w:before="49" w:line="189" w:lineRule="auto"/>
              <w:rPr/>
            </w:pPr>
            <w:r>
              <w:rPr/>
              <w:t>否</w:t>
            </w:r>
          </w:p>
        </w:tc>
      </w:tr>
      <w:tr>
        <w:trPr>
          <w:trHeight w:val="276" w:hRule="atLeast"/>
        </w:trPr>
        <w:tc>
          <w:tcPr>
            <w:tcW w:w="2907" w:type="dxa"/>
            <w:vAlign w:val="top"/>
            <w:vMerge w:val="continue"/>
            <w:tcBorders>
              <w:left w:val="nil"/>
              <w:bottom w:val="nil"/>
              <w:top w:val="nil"/>
            </w:tcBorders>
          </w:tcPr>
          <w:p>
            <w:pPr>
              <w:rPr>
                <w:rFonts w:ascii="Arial"/>
                <w:sz w:val="21"/>
              </w:rPr>
            </w:pPr>
            <w:r/>
          </w:p>
        </w:tc>
        <w:tc>
          <w:tcPr>
            <w:tcW w:w="2909" w:type="dxa"/>
            <w:vAlign w:val="top"/>
          </w:tcPr>
          <w:p>
            <w:pPr>
              <w:pStyle w:val="TableText"/>
              <w:ind w:left="874"/>
              <w:spacing w:before="51" w:line="189" w:lineRule="auto"/>
              <w:rPr>
                <w:rFonts w:ascii="Times New Roman" w:hAnsi="Times New Roman" w:eastAsia="Times New Roman" w:cs="Times New Roman"/>
              </w:rPr>
            </w:pPr>
            <w:r>
              <w:rPr>
                <w:spacing w:val="-1"/>
              </w:rPr>
              <w:t>岸线距离</w:t>
            </w:r>
            <w:r>
              <w:rPr>
                <w:rFonts w:ascii="Times New Roman" w:hAnsi="Times New Roman" w:eastAsia="Times New Roman" w:cs="Times New Roman"/>
                <w:spacing w:val="-1"/>
              </w:rPr>
              <w:t>/km</w:t>
            </w:r>
          </w:p>
        </w:tc>
        <w:tc>
          <w:tcPr>
            <w:tcW w:w="2907" w:type="dxa"/>
            <w:vAlign w:val="top"/>
            <w:tcBorders>
              <w:right w:val="nil"/>
            </w:tcBorders>
          </w:tcPr>
          <w:p>
            <w:pPr>
              <w:ind w:left="1419"/>
              <w:spacing w:before="8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00" w:hRule="atLeast"/>
        </w:trPr>
        <w:tc>
          <w:tcPr>
            <w:tcW w:w="2907" w:type="dxa"/>
            <w:vAlign w:val="top"/>
            <w:vMerge w:val="continue"/>
            <w:tcBorders>
              <w:left w:val="nil"/>
              <w:bottom w:val="single" w:color="000000" w:sz="10" w:space="0"/>
              <w:top w:val="nil"/>
            </w:tcBorders>
          </w:tcPr>
          <w:p>
            <w:pPr>
              <w:rPr>
                <w:rFonts w:ascii="Arial"/>
                <w:sz w:val="21"/>
              </w:rPr>
            </w:pPr>
            <w:r/>
          </w:p>
        </w:tc>
        <w:tc>
          <w:tcPr>
            <w:tcW w:w="2909" w:type="dxa"/>
            <w:vAlign w:val="top"/>
            <w:tcBorders>
              <w:bottom w:val="single" w:color="000000" w:sz="10" w:space="0"/>
            </w:tcBorders>
          </w:tcPr>
          <w:p>
            <w:pPr>
              <w:pStyle w:val="TableText"/>
              <w:ind w:left="968"/>
              <w:spacing w:before="52" w:line="209" w:lineRule="auto"/>
              <w:rPr>
                <w:rFonts w:ascii="Times New Roman" w:hAnsi="Times New Roman" w:eastAsia="Times New Roman" w:cs="Times New Roman"/>
              </w:rPr>
            </w:pPr>
            <w:r>
              <w:rPr>
                <w:spacing w:val="12"/>
              </w:rPr>
              <w:t>岸线方向</w:t>
            </w:r>
            <w:r>
              <w:rPr>
                <w:rFonts w:ascii="Times New Roman" w:hAnsi="Times New Roman" w:eastAsia="Times New Roman" w:cs="Times New Roman"/>
                <w:spacing w:val="12"/>
              </w:rPr>
              <w:t>/°</w:t>
            </w:r>
          </w:p>
        </w:tc>
        <w:tc>
          <w:tcPr>
            <w:tcW w:w="2907" w:type="dxa"/>
            <w:vAlign w:val="top"/>
            <w:tcBorders>
              <w:right w:val="nil"/>
              <w:bottom w:val="single" w:color="000000" w:sz="10" w:space="0"/>
            </w:tcBorders>
          </w:tcPr>
          <w:p>
            <w:pPr>
              <w:ind w:left="1419"/>
              <w:spacing w:before="8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BodyText"/>
        <w:rPr/>
      </w:pPr>
      <w:r>
        <w:pict>
          <v:shape id="_x0000_s116" style="position:absolute;margin-left:5.64601pt;margin-top:61.51pt;mso-position-vertical-relative:text;mso-position-horizontal-relative:text;width:425.7pt;height:0.6pt;z-index:251691008;" filled="false" strokecolor="#808080" strokeweight="0.50pt" coordsize="8514,12" coordorigin="0,0" path="m5,5l8508,6e">
            <v:stroke endcap="round" miterlimit="10"/>
          </v:shape>
        </w:pict>
      </w:r>
      <w:r/>
    </w:p>
    <w:p>
      <w:pPr>
        <w:sectPr>
          <w:headerReference w:type="default" r:id="rId58"/>
          <w:footerReference w:type="default" r:id="rId59"/>
          <w:pgSz w:w="11907" w:h="16839"/>
          <w:pgMar w:top="1422" w:right="1348" w:bottom="1618" w:left="1594" w:header="1033" w:footer="1417" w:gutter="0"/>
        </w:sectPr>
        <w:rPr/>
      </w:pPr>
    </w:p>
    <w:p>
      <w:pPr>
        <w:ind w:left="2144"/>
        <w:spacing w:before="313" w:line="212" w:lineRule="auto"/>
        <w:rPr>
          <w:rFonts w:ascii="SimSun" w:hAnsi="SimSun" w:eastAsia="SimSun" w:cs="SimSun"/>
          <w:sz w:val="24"/>
          <w:szCs w:val="24"/>
        </w:rPr>
      </w:pPr>
      <w:r>
        <w:rPr>
          <w:rFonts w:ascii="SimSun" w:hAnsi="SimSun" w:eastAsia="SimSun" w:cs="SimSun"/>
          <w:sz w:val="24"/>
          <w:szCs w:val="24"/>
          <w:b/>
          <w:bCs/>
          <w:spacing w:val="-4"/>
        </w:rPr>
        <w:t>表</w:t>
      </w:r>
      <w:r>
        <w:rPr>
          <w:rFonts w:ascii="SimSun" w:hAnsi="SimSun" w:eastAsia="SimSun" w:cs="SimSun"/>
          <w:sz w:val="24"/>
          <w:szCs w:val="24"/>
          <w:spacing w:val="-41"/>
        </w:rPr>
        <w:t xml:space="preserve"> </w:t>
      </w:r>
      <w:r>
        <w:rPr>
          <w:rFonts w:ascii="Times New Roman" w:hAnsi="Times New Roman" w:eastAsia="Times New Roman" w:cs="Times New Roman"/>
          <w:sz w:val="24"/>
          <w:szCs w:val="24"/>
          <w:b/>
          <w:bCs/>
          <w:spacing w:val="-4"/>
        </w:rPr>
        <w:t>2-20      </w:t>
      </w:r>
      <w:r>
        <w:rPr>
          <w:rFonts w:ascii="SimSun" w:hAnsi="SimSun" w:eastAsia="SimSun" w:cs="SimSun"/>
          <w:sz w:val="24"/>
          <w:szCs w:val="24"/>
          <w:b/>
          <w:bCs/>
          <w:spacing w:val="-4"/>
        </w:rPr>
        <w:t>估算模型污染源（面源）</w:t>
      </w:r>
      <w:r>
        <w:rPr>
          <w:rFonts w:ascii="SimSun" w:hAnsi="SimSun" w:eastAsia="SimSun" w:cs="SimSun"/>
          <w:sz w:val="24"/>
          <w:szCs w:val="24"/>
          <w:spacing w:val="-69"/>
        </w:rPr>
        <w:t xml:space="preserve"> </w:t>
      </w:r>
      <w:r>
        <w:rPr>
          <w:rFonts w:ascii="SimSun" w:hAnsi="SimSun" w:eastAsia="SimSun" w:cs="SimSun"/>
          <w:sz w:val="24"/>
          <w:szCs w:val="24"/>
          <w:b/>
          <w:bCs/>
          <w:spacing w:val="-4"/>
        </w:rPr>
        <w:t>参数取值表</w:t>
      </w:r>
    </w:p>
    <w:tbl>
      <w:tblPr>
        <w:tblStyle w:val="TableNormal"/>
        <w:tblW w:w="873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8"/>
        <w:gridCol w:w="934"/>
        <w:gridCol w:w="1020"/>
        <w:gridCol w:w="1044"/>
        <w:gridCol w:w="1243"/>
        <w:gridCol w:w="1246"/>
        <w:gridCol w:w="1224"/>
        <w:gridCol w:w="1071"/>
      </w:tblGrid>
      <w:tr>
        <w:trPr>
          <w:trHeight w:val="548" w:hRule="atLeast"/>
        </w:trPr>
        <w:tc>
          <w:tcPr>
            <w:tcW w:w="948" w:type="dxa"/>
            <w:vAlign w:val="top"/>
            <w:vMerge w:val="restart"/>
            <w:tcBorders>
              <w:top w:val="single" w:color="000000" w:sz="10" w:space="0"/>
              <w:left w:val="nil"/>
              <w:bottom w:val="nil"/>
            </w:tcBorders>
          </w:tcPr>
          <w:p>
            <w:pPr>
              <w:spacing w:line="246" w:lineRule="auto"/>
              <w:rPr>
                <w:rFonts w:ascii="Arial"/>
                <w:sz w:val="21"/>
              </w:rPr>
            </w:pPr>
            <w:r/>
          </w:p>
          <w:p>
            <w:pPr>
              <w:spacing w:line="247" w:lineRule="auto"/>
              <w:rPr>
                <w:rFonts w:ascii="Arial"/>
                <w:sz w:val="21"/>
              </w:rPr>
            </w:pPr>
            <w:r/>
          </w:p>
          <w:p>
            <w:pPr>
              <w:pStyle w:val="TableText"/>
              <w:ind w:left="173"/>
              <w:spacing w:before="68" w:line="221" w:lineRule="auto"/>
              <w:rPr/>
            </w:pPr>
            <w:r>
              <w:rPr>
                <w:b/>
                <w:bCs/>
                <w:spacing w:val="-4"/>
              </w:rPr>
              <w:t>污染源</w:t>
            </w:r>
          </w:p>
        </w:tc>
        <w:tc>
          <w:tcPr>
            <w:tcW w:w="934" w:type="dxa"/>
            <w:vAlign w:val="top"/>
            <w:vMerge w:val="restart"/>
            <w:tcBorders>
              <w:top w:val="single" w:color="000000" w:sz="10" w:space="0"/>
              <w:bottom w:val="nil"/>
            </w:tcBorders>
          </w:tcPr>
          <w:p>
            <w:pPr>
              <w:pStyle w:val="TableText"/>
              <w:ind w:left="366" w:right="149" w:hanging="212"/>
              <w:spacing w:before="160" w:line="243" w:lineRule="auto"/>
              <w:rPr/>
            </w:pPr>
            <w:r>
              <w:rPr>
                <w:b/>
                <w:bCs/>
                <w:spacing w:val="-4"/>
              </w:rPr>
              <w:t>排放工</w:t>
            </w:r>
            <w:r>
              <w:rPr>
                <w:b/>
                <w:bCs/>
                <w:spacing w:val="-3"/>
              </w:rPr>
              <w:t>况</w:t>
            </w:r>
          </w:p>
        </w:tc>
        <w:tc>
          <w:tcPr>
            <w:tcW w:w="1020" w:type="dxa"/>
            <w:vAlign w:val="top"/>
            <w:vMerge w:val="restart"/>
            <w:tcBorders>
              <w:top w:val="single" w:color="000000" w:sz="10" w:space="0"/>
              <w:bottom w:val="nil"/>
            </w:tcBorders>
          </w:tcPr>
          <w:p>
            <w:pPr>
              <w:pStyle w:val="TableText"/>
              <w:ind w:left="407" w:right="191" w:hanging="209"/>
              <w:spacing w:before="160" w:line="243" w:lineRule="auto"/>
              <w:rPr/>
            </w:pPr>
            <w:r>
              <w:rPr>
                <w:b/>
                <w:bCs/>
                <w:spacing w:val="-5"/>
              </w:rPr>
              <w:t>面源长</w:t>
            </w:r>
            <w:r>
              <w:rPr>
                <w:b/>
                <w:bCs/>
                <w:spacing w:val="-3"/>
              </w:rPr>
              <w:t>度</w:t>
            </w:r>
          </w:p>
        </w:tc>
        <w:tc>
          <w:tcPr>
            <w:tcW w:w="1044" w:type="dxa"/>
            <w:vAlign w:val="top"/>
            <w:vMerge w:val="restart"/>
            <w:tcBorders>
              <w:top w:val="single" w:color="000000" w:sz="10" w:space="0"/>
              <w:bottom w:val="nil"/>
            </w:tcBorders>
          </w:tcPr>
          <w:p>
            <w:pPr>
              <w:pStyle w:val="TableText"/>
              <w:ind w:left="419" w:right="203" w:hanging="209"/>
              <w:spacing w:before="160" w:line="243" w:lineRule="auto"/>
              <w:rPr/>
            </w:pPr>
            <w:r>
              <w:rPr>
                <w:b/>
                <w:bCs/>
                <w:spacing w:val="-5"/>
              </w:rPr>
              <w:t>面源宽</w:t>
            </w:r>
            <w:r>
              <w:rPr>
                <w:b/>
                <w:bCs/>
                <w:spacing w:val="-3"/>
              </w:rPr>
              <w:t>度</w:t>
            </w:r>
          </w:p>
        </w:tc>
        <w:tc>
          <w:tcPr>
            <w:tcW w:w="1243" w:type="dxa"/>
            <w:vAlign w:val="top"/>
            <w:vMerge w:val="restart"/>
            <w:tcBorders>
              <w:top w:val="single" w:color="000000" w:sz="10" w:space="0"/>
              <w:bottom w:val="nil"/>
            </w:tcBorders>
          </w:tcPr>
          <w:p>
            <w:pPr>
              <w:pStyle w:val="TableText"/>
              <w:ind w:left="415" w:right="195" w:hanging="206"/>
              <w:spacing w:before="161" w:line="242" w:lineRule="auto"/>
              <w:rPr/>
            </w:pPr>
            <w:r>
              <w:rPr>
                <w:b/>
                <w:bCs/>
                <w:spacing w:val="-5"/>
              </w:rPr>
              <w:t>与正北向</w:t>
            </w:r>
            <w:r>
              <w:rPr>
                <w:b/>
                <w:bCs/>
                <w:spacing w:val="-5"/>
              </w:rPr>
              <w:t>夹角</w:t>
            </w:r>
          </w:p>
        </w:tc>
        <w:tc>
          <w:tcPr>
            <w:tcW w:w="1246" w:type="dxa"/>
            <w:vAlign w:val="top"/>
            <w:vMerge w:val="restart"/>
            <w:tcBorders>
              <w:top w:val="single" w:color="000000" w:sz="10" w:space="0"/>
              <w:bottom w:val="nil"/>
            </w:tcBorders>
          </w:tcPr>
          <w:p>
            <w:pPr>
              <w:pStyle w:val="TableText"/>
              <w:ind w:left="208" w:right="196"/>
              <w:spacing w:before="159" w:line="243" w:lineRule="auto"/>
              <w:rPr/>
            </w:pPr>
            <w:r>
              <w:rPr>
                <w:b/>
                <w:bCs/>
                <w:spacing w:val="-4"/>
              </w:rPr>
              <w:t>面源初始</w:t>
            </w:r>
            <w:r>
              <w:rPr>
                <w:b/>
                <w:bCs/>
                <w:spacing w:val="-4"/>
              </w:rPr>
              <w:t>排放高度</w:t>
            </w:r>
          </w:p>
        </w:tc>
        <w:tc>
          <w:tcPr>
            <w:tcW w:w="2295" w:type="dxa"/>
            <w:vAlign w:val="top"/>
            <w:gridSpan w:val="2"/>
            <w:tcBorders>
              <w:top w:val="single" w:color="000000" w:sz="10" w:space="0"/>
              <w:right w:val="nil"/>
            </w:tcBorders>
          </w:tcPr>
          <w:p>
            <w:pPr>
              <w:pStyle w:val="TableText"/>
              <w:ind w:left="202"/>
              <w:spacing w:before="36" w:line="219" w:lineRule="auto"/>
              <w:rPr/>
            </w:pPr>
            <w:r>
              <w:rPr>
                <w:b/>
                <w:bCs/>
                <w:spacing w:val="-2"/>
              </w:rPr>
              <w:t>评价因子源强（排放</w:t>
            </w:r>
          </w:p>
          <w:p>
            <w:pPr>
              <w:pStyle w:val="TableText"/>
              <w:ind w:left="942"/>
              <w:spacing w:before="21" w:line="203" w:lineRule="auto"/>
              <w:rPr/>
            </w:pPr>
            <w:r>
              <w:rPr>
                <w:b/>
                <w:bCs/>
                <w:spacing w:val="-8"/>
              </w:rPr>
              <w:t>量）</w:t>
            </w:r>
          </w:p>
        </w:tc>
      </w:tr>
      <w:tr>
        <w:trPr>
          <w:trHeight w:val="244" w:hRule="atLeast"/>
        </w:trPr>
        <w:tc>
          <w:tcPr>
            <w:tcW w:w="948" w:type="dxa"/>
            <w:vAlign w:val="top"/>
            <w:vMerge w:val="continue"/>
            <w:tcBorders>
              <w:top w:val="nil"/>
              <w:left w:val="nil"/>
              <w:bottom w:val="nil"/>
            </w:tcBorders>
          </w:tcPr>
          <w:p>
            <w:pPr>
              <w:rPr>
                <w:rFonts w:ascii="Arial"/>
                <w:sz w:val="21"/>
              </w:rPr>
            </w:pPr>
            <w:r/>
          </w:p>
        </w:tc>
        <w:tc>
          <w:tcPr>
            <w:tcW w:w="934" w:type="dxa"/>
            <w:vAlign w:val="top"/>
            <w:vMerge w:val="continue"/>
            <w:tcBorders>
              <w:top w:val="nil"/>
            </w:tcBorders>
          </w:tcPr>
          <w:p>
            <w:pPr>
              <w:rPr>
                <w:rFonts w:ascii="Arial"/>
                <w:sz w:val="21"/>
              </w:rPr>
            </w:pPr>
            <w:r/>
          </w:p>
        </w:tc>
        <w:tc>
          <w:tcPr>
            <w:tcW w:w="1020" w:type="dxa"/>
            <w:vAlign w:val="top"/>
            <w:vMerge w:val="continue"/>
            <w:tcBorders>
              <w:top w:val="nil"/>
            </w:tcBorders>
          </w:tcPr>
          <w:p>
            <w:pPr>
              <w:rPr>
                <w:rFonts w:ascii="Arial"/>
                <w:sz w:val="21"/>
              </w:rPr>
            </w:pPr>
            <w:r/>
          </w:p>
        </w:tc>
        <w:tc>
          <w:tcPr>
            <w:tcW w:w="1044" w:type="dxa"/>
            <w:vAlign w:val="top"/>
            <w:vMerge w:val="continue"/>
            <w:tcBorders>
              <w:top w:val="nil"/>
            </w:tcBorders>
          </w:tcPr>
          <w:p>
            <w:pPr>
              <w:rPr>
                <w:rFonts w:ascii="Arial"/>
                <w:sz w:val="21"/>
              </w:rPr>
            </w:pPr>
            <w:r/>
          </w:p>
        </w:tc>
        <w:tc>
          <w:tcPr>
            <w:tcW w:w="1243" w:type="dxa"/>
            <w:vAlign w:val="top"/>
            <w:vMerge w:val="continue"/>
            <w:tcBorders>
              <w:top w:val="nil"/>
            </w:tcBorders>
          </w:tcPr>
          <w:p>
            <w:pPr>
              <w:rPr>
                <w:rFonts w:ascii="Arial"/>
                <w:sz w:val="21"/>
              </w:rPr>
            </w:pPr>
            <w:r/>
          </w:p>
        </w:tc>
        <w:tc>
          <w:tcPr>
            <w:tcW w:w="1246" w:type="dxa"/>
            <w:vAlign w:val="top"/>
            <w:vMerge w:val="continue"/>
            <w:tcBorders>
              <w:top w:val="nil"/>
            </w:tcBorders>
          </w:tcPr>
          <w:p>
            <w:pPr>
              <w:rPr>
                <w:rFonts w:ascii="Arial"/>
                <w:sz w:val="21"/>
              </w:rPr>
            </w:pPr>
            <w:r/>
          </w:p>
        </w:tc>
        <w:tc>
          <w:tcPr>
            <w:tcW w:w="1224" w:type="dxa"/>
            <w:vAlign w:val="top"/>
          </w:tcPr>
          <w:p>
            <w:pPr>
              <w:ind w:left="439"/>
              <w:spacing w:before="59" w:line="17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H</w:t>
            </w:r>
            <w:r>
              <w:rPr>
                <w:rFonts w:ascii="Times New Roman" w:hAnsi="Times New Roman" w:eastAsia="Times New Roman" w:cs="Times New Roman"/>
                <w:sz w:val="13"/>
                <w:szCs w:val="13"/>
                <w:b/>
                <w:bCs/>
                <w:position w:val="-2"/>
              </w:rPr>
              <w:t>2</w:t>
            </w:r>
            <w:r>
              <w:rPr>
                <w:rFonts w:ascii="Times New Roman" w:hAnsi="Times New Roman" w:eastAsia="Times New Roman" w:cs="Times New Roman"/>
                <w:sz w:val="21"/>
                <w:szCs w:val="21"/>
                <w:b/>
                <w:bCs/>
              </w:rPr>
              <w:t>S</w:t>
            </w:r>
          </w:p>
        </w:tc>
        <w:tc>
          <w:tcPr>
            <w:tcW w:w="1071" w:type="dxa"/>
            <w:vAlign w:val="top"/>
            <w:tcBorders>
              <w:right w:val="nil"/>
            </w:tcBorders>
          </w:tcPr>
          <w:p>
            <w:pPr>
              <w:ind w:left="344"/>
              <w:spacing w:before="62" w:line="168" w:lineRule="auto"/>
              <w:rPr>
                <w:rFonts w:ascii="Times New Roman" w:hAnsi="Times New Roman" w:eastAsia="Times New Roman" w:cs="Times New Roman"/>
                <w:sz w:val="13"/>
                <w:szCs w:val="13"/>
              </w:rPr>
            </w:pPr>
            <w:r>
              <w:rPr>
                <w:rFonts w:ascii="Times New Roman" w:hAnsi="Times New Roman" w:eastAsia="Times New Roman" w:cs="Times New Roman"/>
                <w:sz w:val="21"/>
                <w:szCs w:val="21"/>
                <w:b/>
                <w:bCs/>
              </w:rPr>
              <w:t>NH</w:t>
            </w:r>
            <w:r>
              <w:rPr>
                <w:rFonts w:ascii="Times New Roman" w:hAnsi="Times New Roman" w:eastAsia="Times New Roman" w:cs="Times New Roman"/>
                <w:sz w:val="13"/>
                <w:szCs w:val="13"/>
                <w:b/>
                <w:bCs/>
                <w:spacing w:val="3"/>
                <w:position w:val="-2"/>
              </w:rPr>
              <w:t>3</w:t>
            </w:r>
          </w:p>
        </w:tc>
      </w:tr>
      <w:tr>
        <w:trPr>
          <w:trHeight w:val="241" w:hRule="atLeast"/>
        </w:trPr>
        <w:tc>
          <w:tcPr>
            <w:tcW w:w="948" w:type="dxa"/>
            <w:vAlign w:val="top"/>
            <w:vMerge w:val="continue"/>
            <w:tcBorders>
              <w:top w:val="nil"/>
              <w:left w:val="nil"/>
              <w:bottom w:val="nil"/>
            </w:tcBorders>
          </w:tcPr>
          <w:p>
            <w:pPr>
              <w:rPr>
                <w:rFonts w:ascii="Arial"/>
                <w:sz w:val="21"/>
              </w:rPr>
            </w:pPr>
            <w:r/>
          </w:p>
        </w:tc>
        <w:tc>
          <w:tcPr>
            <w:tcW w:w="934" w:type="dxa"/>
            <w:vAlign w:val="top"/>
          </w:tcPr>
          <w:p>
            <w:pPr>
              <w:ind w:left="242"/>
              <w:spacing w:before="53" w:line="17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Cond</w:t>
            </w:r>
          </w:p>
        </w:tc>
        <w:tc>
          <w:tcPr>
            <w:tcW w:w="1020" w:type="dxa"/>
            <w:vAlign w:val="top"/>
          </w:tcPr>
          <w:p>
            <w:pPr>
              <w:ind w:left="426"/>
              <w:spacing w:before="60" w:line="16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2"/>
                <w:position w:val="1"/>
              </w:rPr>
              <w:t>L</w:t>
            </w:r>
            <w:r>
              <w:rPr>
                <w:rFonts w:ascii="Times New Roman" w:hAnsi="Times New Roman" w:eastAsia="Times New Roman" w:cs="Times New Roman"/>
                <w:sz w:val="13"/>
                <w:szCs w:val="13"/>
                <w:spacing w:val="-2"/>
                <w:position w:val="-1"/>
              </w:rPr>
              <w:t>l</w:t>
            </w:r>
          </w:p>
        </w:tc>
        <w:tc>
          <w:tcPr>
            <w:tcW w:w="1044" w:type="dxa"/>
            <w:vAlign w:val="top"/>
          </w:tcPr>
          <w:p>
            <w:pPr>
              <w:ind w:left="407"/>
              <w:spacing w:before="60" w:line="16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L</w:t>
            </w:r>
            <w:r>
              <w:rPr>
                <w:rFonts w:ascii="Times New Roman" w:hAnsi="Times New Roman" w:eastAsia="Times New Roman" w:cs="Times New Roman"/>
                <w:sz w:val="13"/>
                <w:szCs w:val="13"/>
                <w:position w:val="-1"/>
              </w:rPr>
              <w:t>w</w:t>
            </w:r>
          </w:p>
        </w:tc>
        <w:tc>
          <w:tcPr>
            <w:tcW w:w="1243" w:type="dxa"/>
            <w:vAlign w:val="top"/>
          </w:tcPr>
          <w:p>
            <w:pPr>
              <w:ind w:left="588"/>
              <w:spacing w:before="53" w:line="17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46" w:type="dxa"/>
            <w:vAlign w:val="top"/>
          </w:tcPr>
          <w:p>
            <w:pPr>
              <w:ind w:left="577"/>
              <w:spacing w:before="59" w:line="17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H</w:t>
            </w:r>
          </w:p>
        </w:tc>
        <w:tc>
          <w:tcPr>
            <w:tcW w:w="1224" w:type="dxa"/>
            <w:vAlign w:val="top"/>
          </w:tcPr>
          <w:p>
            <w:pPr>
              <w:ind w:left="507"/>
              <w:spacing w:before="54" w:line="17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5"/>
              </w:rPr>
              <w:t>Q</w:t>
            </w:r>
            <w:r>
              <w:rPr>
                <w:rFonts w:ascii="Times New Roman" w:hAnsi="Times New Roman" w:eastAsia="Times New Roman" w:cs="Times New Roman"/>
                <w:sz w:val="13"/>
                <w:szCs w:val="13"/>
                <w:spacing w:val="5"/>
                <w:position w:val="-2"/>
              </w:rPr>
              <w:t>1</w:t>
            </w:r>
          </w:p>
        </w:tc>
        <w:tc>
          <w:tcPr>
            <w:tcW w:w="1071" w:type="dxa"/>
            <w:vAlign w:val="top"/>
            <w:tcBorders>
              <w:right w:val="nil"/>
            </w:tcBorders>
          </w:tcPr>
          <w:p>
            <w:pPr>
              <w:ind w:left="430"/>
              <w:spacing w:before="54" w:line="17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rPr>
              <w:t>Q</w:t>
            </w:r>
            <w:r>
              <w:rPr>
                <w:rFonts w:ascii="Times New Roman" w:hAnsi="Times New Roman" w:eastAsia="Times New Roman" w:cs="Times New Roman"/>
                <w:sz w:val="13"/>
                <w:szCs w:val="13"/>
                <w:spacing w:val="-1"/>
                <w:position w:val="-2"/>
              </w:rPr>
              <w:t>2</w:t>
            </w:r>
          </w:p>
        </w:tc>
      </w:tr>
      <w:tr>
        <w:trPr>
          <w:trHeight w:val="275" w:hRule="atLeast"/>
        </w:trPr>
        <w:tc>
          <w:tcPr>
            <w:tcW w:w="948" w:type="dxa"/>
            <w:vAlign w:val="top"/>
            <w:vMerge w:val="continue"/>
            <w:tcBorders>
              <w:top w:val="nil"/>
              <w:left w:val="nil"/>
            </w:tcBorders>
          </w:tcPr>
          <w:p>
            <w:pPr>
              <w:rPr>
                <w:rFonts w:ascii="Arial"/>
                <w:sz w:val="21"/>
              </w:rPr>
            </w:pPr>
            <w:r/>
          </w:p>
        </w:tc>
        <w:tc>
          <w:tcPr>
            <w:tcW w:w="934" w:type="dxa"/>
            <w:vAlign w:val="top"/>
          </w:tcPr>
          <w:p>
            <w:pPr>
              <w:pStyle w:val="TableText"/>
              <w:ind w:left="264"/>
              <w:spacing w:before="46" w:line="192" w:lineRule="auto"/>
              <w:rPr/>
            </w:pPr>
            <w:r>
              <w:rPr>
                <w:spacing w:val="-2"/>
              </w:rPr>
              <w:t>单位</w:t>
            </w:r>
          </w:p>
        </w:tc>
        <w:tc>
          <w:tcPr>
            <w:tcW w:w="1020" w:type="dxa"/>
            <w:vAlign w:val="top"/>
          </w:tcPr>
          <w:p>
            <w:pPr>
              <w:ind w:left="426"/>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044" w:type="dxa"/>
            <w:vAlign w:val="top"/>
          </w:tcPr>
          <w:p>
            <w:pPr>
              <w:ind w:left="438"/>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243" w:type="dxa"/>
            <w:vAlign w:val="top"/>
          </w:tcPr>
          <w:p>
            <w:pPr>
              <w:pStyle w:val="TableText"/>
              <w:ind w:left="538"/>
              <w:spacing w:before="70" w:line="171" w:lineRule="auto"/>
              <w:rPr/>
            </w:pPr>
            <w:r>
              <w:rPr/>
              <w:t>°</w:t>
            </w:r>
          </w:p>
        </w:tc>
        <w:tc>
          <w:tcPr>
            <w:tcW w:w="1246" w:type="dxa"/>
            <w:vAlign w:val="top"/>
          </w:tcPr>
          <w:p>
            <w:pPr>
              <w:ind w:left="539"/>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m</w:t>
            </w:r>
          </w:p>
        </w:tc>
        <w:tc>
          <w:tcPr>
            <w:tcW w:w="1224" w:type="dxa"/>
            <w:vAlign w:val="top"/>
          </w:tcPr>
          <w:p>
            <w:pPr>
              <w:ind w:left="424"/>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kg/h</w:t>
            </w:r>
          </w:p>
        </w:tc>
        <w:tc>
          <w:tcPr>
            <w:tcW w:w="1071" w:type="dxa"/>
            <w:vAlign w:val="top"/>
            <w:tcBorders>
              <w:right w:val="nil"/>
            </w:tcBorders>
          </w:tcPr>
          <w:p>
            <w:pPr>
              <w:ind w:left="348"/>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kg/h</w:t>
            </w:r>
          </w:p>
        </w:tc>
      </w:tr>
      <w:tr>
        <w:trPr>
          <w:trHeight w:val="275" w:hRule="atLeast"/>
        </w:trPr>
        <w:tc>
          <w:tcPr>
            <w:tcW w:w="948" w:type="dxa"/>
            <w:vAlign w:val="top"/>
            <w:tcBorders>
              <w:left w:val="nil"/>
            </w:tcBorders>
          </w:tcPr>
          <w:p>
            <w:pPr>
              <w:pStyle w:val="TableText"/>
              <w:ind w:left="284"/>
              <w:spacing w:before="47" w:line="191" w:lineRule="auto"/>
              <w:rPr/>
            </w:pPr>
            <w:r>
              <w:rPr>
                <w:spacing w:val="-3"/>
              </w:rPr>
              <w:t>牛舍</w:t>
            </w:r>
          </w:p>
        </w:tc>
        <w:tc>
          <w:tcPr>
            <w:tcW w:w="934" w:type="dxa"/>
            <w:vAlign w:val="top"/>
          </w:tcPr>
          <w:p>
            <w:pPr>
              <w:pStyle w:val="TableText"/>
              <w:ind w:left="266"/>
              <w:spacing w:before="47" w:line="191" w:lineRule="auto"/>
              <w:rPr/>
            </w:pPr>
            <w:r>
              <w:rPr>
                <w:spacing w:val="-3"/>
              </w:rPr>
              <w:t>正常</w:t>
            </w:r>
          </w:p>
        </w:tc>
        <w:tc>
          <w:tcPr>
            <w:tcW w:w="1020" w:type="dxa"/>
            <w:vAlign w:val="top"/>
          </w:tcPr>
          <w:p>
            <w:pPr>
              <w:ind w:left="375"/>
              <w:spacing w:before="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140</w:t>
            </w:r>
          </w:p>
        </w:tc>
        <w:tc>
          <w:tcPr>
            <w:tcW w:w="1044" w:type="dxa"/>
            <w:vAlign w:val="top"/>
          </w:tcPr>
          <w:p>
            <w:pPr>
              <w:ind w:left="384"/>
              <w:spacing w:before="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c>
          <w:tcPr>
            <w:tcW w:w="1243" w:type="dxa"/>
            <w:vAlign w:val="top"/>
          </w:tcPr>
          <w:p>
            <w:pPr>
              <w:ind w:left="572"/>
              <w:spacing w:before="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46" w:type="dxa"/>
            <w:vAlign w:val="top"/>
          </w:tcPr>
          <w:p>
            <w:pPr>
              <w:ind w:left="503"/>
              <w:spacing w:before="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224" w:type="dxa"/>
            <w:vAlign w:val="top"/>
          </w:tcPr>
          <w:p>
            <w:pPr>
              <w:ind w:left="327"/>
              <w:spacing w:before="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c>
          <w:tcPr>
            <w:tcW w:w="1071" w:type="dxa"/>
            <w:vAlign w:val="top"/>
            <w:tcBorders>
              <w:right w:val="nil"/>
            </w:tcBorders>
          </w:tcPr>
          <w:p>
            <w:pPr>
              <w:ind w:left="250"/>
              <w:spacing w:before="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0.0013</w:t>
            </w:r>
          </w:p>
        </w:tc>
      </w:tr>
      <w:tr>
        <w:trPr>
          <w:trHeight w:val="298" w:hRule="atLeast"/>
        </w:trPr>
        <w:tc>
          <w:tcPr>
            <w:tcW w:w="948" w:type="dxa"/>
            <w:vAlign w:val="top"/>
            <w:tcBorders>
              <w:bottom w:val="single" w:color="000000" w:sz="10" w:space="0"/>
              <w:left w:val="nil"/>
            </w:tcBorders>
          </w:tcPr>
          <w:p>
            <w:pPr>
              <w:pStyle w:val="TableText"/>
              <w:ind w:left="172"/>
              <w:spacing w:before="50" w:line="209" w:lineRule="auto"/>
              <w:rPr/>
            </w:pPr>
            <w:r>
              <w:rPr>
                <w:spacing w:val="-1"/>
              </w:rPr>
              <w:t>储粪库</w:t>
            </w:r>
          </w:p>
        </w:tc>
        <w:tc>
          <w:tcPr>
            <w:tcW w:w="934" w:type="dxa"/>
            <w:vAlign w:val="top"/>
            <w:tcBorders>
              <w:bottom w:val="single" w:color="000000" w:sz="10" w:space="0"/>
            </w:tcBorders>
          </w:tcPr>
          <w:p>
            <w:pPr>
              <w:pStyle w:val="TableText"/>
              <w:ind w:left="266"/>
              <w:spacing w:before="50" w:line="209" w:lineRule="auto"/>
              <w:rPr/>
            </w:pPr>
            <w:r>
              <w:rPr>
                <w:spacing w:val="-3"/>
              </w:rPr>
              <w:t>正常</w:t>
            </w:r>
          </w:p>
        </w:tc>
        <w:tc>
          <w:tcPr>
            <w:tcW w:w="1020" w:type="dxa"/>
            <w:vAlign w:val="top"/>
            <w:tcBorders>
              <w:bottom w:val="single" w:color="000000" w:sz="10" w:space="0"/>
            </w:tcBorders>
          </w:tcPr>
          <w:p>
            <w:pPr>
              <w:ind w:left="409"/>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044" w:type="dxa"/>
            <w:vAlign w:val="top"/>
            <w:tcBorders>
              <w:bottom w:val="single" w:color="000000" w:sz="10" w:space="0"/>
            </w:tcBorders>
          </w:tcPr>
          <w:p>
            <w:pPr>
              <w:ind w:left="437"/>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10</w:t>
            </w:r>
          </w:p>
        </w:tc>
        <w:tc>
          <w:tcPr>
            <w:tcW w:w="1243" w:type="dxa"/>
            <w:vAlign w:val="top"/>
            <w:tcBorders>
              <w:bottom w:val="single" w:color="000000" w:sz="10" w:space="0"/>
            </w:tcBorders>
          </w:tcPr>
          <w:p>
            <w:pPr>
              <w:ind w:left="572"/>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246" w:type="dxa"/>
            <w:vAlign w:val="top"/>
            <w:tcBorders>
              <w:bottom w:val="single" w:color="000000" w:sz="10" w:space="0"/>
            </w:tcBorders>
          </w:tcPr>
          <w:p>
            <w:pPr>
              <w:ind w:left="498"/>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7.0</w:t>
            </w:r>
          </w:p>
        </w:tc>
        <w:tc>
          <w:tcPr>
            <w:tcW w:w="1224" w:type="dxa"/>
            <w:vAlign w:val="top"/>
            <w:tcBorders>
              <w:bottom w:val="single" w:color="000000" w:sz="10" w:space="0"/>
            </w:tcBorders>
          </w:tcPr>
          <w:p>
            <w:pPr>
              <w:ind w:left="327"/>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0.0001</w:t>
            </w:r>
          </w:p>
        </w:tc>
        <w:tc>
          <w:tcPr>
            <w:tcW w:w="1071" w:type="dxa"/>
            <w:vAlign w:val="top"/>
            <w:tcBorders>
              <w:bottom w:val="single" w:color="000000" w:sz="10" w:space="0"/>
              <w:right w:val="nil"/>
            </w:tcBorders>
          </w:tcPr>
          <w:p>
            <w:pPr>
              <w:ind w:left="303"/>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0.002</w:t>
            </w:r>
          </w:p>
        </w:tc>
      </w:tr>
    </w:tbl>
    <w:p>
      <w:pPr>
        <w:ind w:left="609"/>
        <w:spacing w:before="264" w:line="217" w:lineRule="auto"/>
        <w:rPr>
          <w:rFonts w:ascii="SimSun" w:hAnsi="SimSun" w:eastAsia="SimSun" w:cs="SimSun"/>
          <w:sz w:val="24"/>
          <w:szCs w:val="24"/>
        </w:rPr>
      </w:pPr>
      <w:r>
        <w:rPr>
          <w:rFonts w:ascii="SimSun" w:hAnsi="SimSun" w:eastAsia="SimSun" w:cs="SimSun"/>
          <w:sz w:val="24"/>
          <w:szCs w:val="24"/>
          <w:spacing w:val="-2"/>
        </w:rPr>
        <w:t>③估算模式结果</w:t>
      </w:r>
    </w:p>
    <w:p>
      <w:pPr>
        <w:ind w:left="612"/>
        <w:spacing w:before="182" w:line="232" w:lineRule="auto"/>
        <w:rPr>
          <w:rFonts w:ascii="SimSun" w:hAnsi="SimSun" w:eastAsia="SimSun" w:cs="SimSun"/>
          <w:sz w:val="24"/>
          <w:szCs w:val="24"/>
        </w:rPr>
      </w:pPr>
      <w:r>
        <w:rPr>
          <w:rFonts w:ascii="SimSun" w:hAnsi="SimSun" w:eastAsia="SimSun" w:cs="SimSun"/>
          <w:sz w:val="24"/>
          <w:szCs w:val="24"/>
          <w:spacing w:val="-1"/>
        </w:rPr>
        <w:t>本项目估算模式计算结果详见表</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2-21</w:t>
      </w:r>
      <w:r>
        <w:rPr>
          <w:rFonts w:ascii="SimSun" w:hAnsi="SimSun" w:eastAsia="SimSun" w:cs="SimSun"/>
          <w:sz w:val="24"/>
          <w:szCs w:val="24"/>
          <w:spacing w:val="-1"/>
        </w:rPr>
        <w:t>。</w:t>
      </w:r>
    </w:p>
    <w:p>
      <w:pPr>
        <w:ind w:left="1933"/>
        <w:spacing w:before="31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36"/>
        </w:rPr>
        <w:t xml:space="preserve"> </w:t>
      </w:r>
      <w:r>
        <w:rPr>
          <w:rFonts w:ascii="Times New Roman" w:hAnsi="Times New Roman" w:eastAsia="Times New Roman" w:cs="Times New Roman"/>
          <w:sz w:val="24"/>
          <w:szCs w:val="24"/>
          <w:b/>
          <w:bCs/>
          <w:spacing w:val="-2"/>
        </w:rPr>
        <w:t>2-21        </w:t>
      </w:r>
      <w:r>
        <w:rPr>
          <w:rFonts w:ascii="SimSun" w:hAnsi="SimSun" w:eastAsia="SimSun" w:cs="SimSun"/>
          <w:sz w:val="24"/>
          <w:szCs w:val="24"/>
          <w:b/>
          <w:bCs/>
          <w:spacing w:val="-2"/>
        </w:rPr>
        <w:t>本项目污染源正常排放预测结果一览表</w:t>
      </w:r>
    </w:p>
    <w:tbl>
      <w:tblPr>
        <w:tblStyle w:val="TableNormal"/>
        <w:tblW w:w="8718"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48"/>
        <w:gridCol w:w="1575"/>
        <w:gridCol w:w="1157"/>
        <w:gridCol w:w="1221"/>
        <w:gridCol w:w="747"/>
        <w:gridCol w:w="1613"/>
        <w:gridCol w:w="857"/>
      </w:tblGrid>
      <w:tr>
        <w:trPr>
          <w:trHeight w:val="548" w:hRule="atLeast"/>
        </w:trPr>
        <w:tc>
          <w:tcPr>
            <w:tcW w:w="1548" w:type="dxa"/>
            <w:vAlign w:val="top"/>
            <w:tcBorders>
              <w:bottom w:val="single" w:color="000000" w:sz="4" w:space="0"/>
              <w:top w:val="single" w:color="000000" w:sz="10" w:space="0"/>
              <w:left w:val="nil"/>
            </w:tcBorders>
          </w:tcPr>
          <w:p>
            <w:pPr>
              <w:pStyle w:val="TableText"/>
              <w:ind w:left="257"/>
              <w:spacing w:before="170" w:line="221" w:lineRule="auto"/>
              <w:rPr/>
            </w:pPr>
            <w:r>
              <w:rPr>
                <w:b/>
                <w:bCs/>
                <w:spacing w:val="-3"/>
              </w:rPr>
              <w:t>污染源名称</w:t>
            </w:r>
          </w:p>
        </w:tc>
        <w:tc>
          <w:tcPr>
            <w:tcW w:w="1575" w:type="dxa"/>
            <w:vAlign w:val="top"/>
            <w:tcBorders>
              <w:bottom w:val="single" w:color="000000" w:sz="4" w:space="0"/>
              <w:top w:val="single" w:color="000000" w:sz="10" w:space="0"/>
            </w:tcBorders>
          </w:tcPr>
          <w:p>
            <w:pPr>
              <w:pStyle w:val="TableText"/>
              <w:ind w:left="367"/>
              <w:spacing w:before="170" w:line="219" w:lineRule="auto"/>
              <w:rPr/>
            </w:pPr>
            <w:r>
              <w:rPr>
                <w:b/>
                <w:bCs/>
                <w:spacing w:val="-3"/>
              </w:rPr>
              <w:t>评价因子</w:t>
            </w:r>
          </w:p>
        </w:tc>
        <w:tc>
          <w:tcPr>
            <w:tcW w:w="1157" w:type="dxa"/>
            <w:vAlign w:val="top"/>
            <w:tcBorders>
              <w:bottom w:val="single" w:color="000000" w:sz="4" w:space="0"/>
              <w:top w:val="single" w:color="000000" w:sz="10" w:space="0"/>
            </w:tcBorders>
          </w:tcPr>
          <w:p>
            <w:pPr>
              <w:pStyle w:val="TableText"/>
              <w:ind w:left="171" w:right="179" w:firstLine="208"/>
              <w:spacing w:before="64" w:line="214" w:lineRule="auto"/>
              <w:rPr/>
            </w:pPr>
            <w:r>
              <w:rPr>
                <w:rFonts w:ascii="Times New Roman" w:hAnsi="Times New Roman" w:eastAsia="Times New Roman" w:cs="Times New Roman"/>
                <w:b/>
                <w:bCs/>
                <w:spacing w:val="2"/>
                <w:position w:val="2"/>
              </w:rPr>
              <w:t>C</w:t>
            </w:r>
            <w:r>
              <w:rPr>
                <w:rFonts w:ascii="Times New Roman" w:hAnsi="Times New Roman" w:eastAsia="Times New Roman" w:cs="Times New Roman"/>
                <w:sz w:val="13"/>
                <w:szCs w:val="13"/>
                <w:b/>
                <w:bCs/>
                <w:spacing w:val="2"/>
              </w:rPr>
              <w:t>max</w:t>
            </w:r>
            <w:r>
              <w:rPr>
                <w:rFonts w:ascii="Times New Roman" w:hAnsi="Times New Roman" w:eastAsia="Times New Roman" w:cs="Times New Roman"/>
                <w:sz w:val="13"/>
                <w:szCs w:val="13"/>
                <w:b/>
                <w:bCs/>
              </w:rPr>
              <w:t xml:space="preserve">    </w:t>
            </w:r>
            <w:r>
              <w:rPr>
                <w:rFonts w:ascii="Times New Roman" w:hAnsi="Times New Roman" w:eastAsia="Times New Roman" w:cs="Times New Roman"/>
                <w:b/>
                <w:bCs/>
                <w:spacing w:val="-3"/>
              </w:rPr>
              <w:t>(</w:t>
            </w:r>
            <w:r>
              <w:rPr>
                <w:rFonts w:ascii="Times New Roman" w:hAnsi="Times New Roman" w:eastAsia="Times New Roman" w:cs="Times New Roman"/>
                <w:sz w:val="24"/>
                <w:szCs w:val="24"/>
                <w:b/>
                <w:bCs/>
                <w:spacing w:val="-3"/>
              </w:rPr>
              <w:t>μ</w:t>
            </w:r>
            <w:r>
              <w:rPr>
                <w:rFonts w:ascii="Times New Roman" w:hAnsi="Times New Roman" w:eastAsia="Times New Roman" w:cs="Times New Roman"/>
                <w:b/>
                <w:bCs/>
                <w:spacing w:val="-3"/>
              </w:rPr>
              <w:t>g/m</w:t>
            </w:r>
            <w:r>
              <w:rPr>
                <w:rFonts w:ascii="Times New Roman" w:hAnsi="Times New Roman" w:eastAsia="Times New Roman" w:cs="Times New Roman"/>
                <w:sz w:val="13"/>
                <w:szCs w:val="13"/>
                <w:b/>
                <w:bCs/>
                <w:spacing w:val="-3"/>
                <w:position w:val="9"/>
              </w:rPr>
              <w:t>3</w:t>
            </w:r>
            <w:r>
              <w:rPr>
                <w:b/>
                <w:bCs/>
                <w:spacing w:val="-3"/>
              </w:rPr>
              <w:t>）</w:t>
            </w:r>
          </w:p>
        </w:tc>
        <w:tc>
          <w:tcPr>
            <w:tcW w:w="1221" w:type="dxa"/>
            <w:vAlign w:val="top"/>
            <w:tcBorders>
              <w:bottom w:val="single" w:color="000000" w:sz="4" w:space="0"/>
              <w:top w:val="single" w:color="000000" w:sz="10" w:space="0"/>
            </w:tcBorders>
          </w:tcPr>
          <w:p>
            <w:pPr>
              <w:ind w:left="420"/>
              <w:spacing w:before="89"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b/>
                <w:bCs/>
                <w:spacing w:val="3"/>
                <w:position w:val="2"/>
              </w:rPr>
              <w:t>P</w:t>
            </w:r>
            <w:r>
              <w:rPr>
                <w:rFonts w:ascii="Times New Roman" w:hAnsi="Times New Roman" w:eastAsia="Times New Roman" w:cs="Times New Roman"/>
                <w:sz w:val="13"/>
                <w:szCs w:val="13"/>
                <w:b/>
                <w:bCs/>
                <w:spacing w:val="3"/>
              </w:rPr>
              <w:t>max</w:t>
            </w:r>
          </w:p>
          <w:p>
            <w:pPr>
              <w:ind w:left="440"/>
              <w:spacing w:before="1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w:t>
            </w:r>
          </w:p>
        </w:tc>
        <w:tc>
          <w:tcPr>
            <w:tcW w:w="747" w:type="dxa"/>
            <w:vAlign w:val="top"/>
            <w:tcBorders>
              <w:bottom w:val="single" w:color="000000" w:sz="4" w:space="0"/>
              <w:top w:val="single" w:color="000000" w:sz="10" w:space="0"/>
            </w:tcBorders>
          </w:tcPr>
          <w:p>
            <w:pPr>
              <w:ind w:left="156"/>
              <w:spacing w:before="89" w:line="22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b/>
                <w:bCs/>
                <w:spacing w:val="4"/>
                <w:position w:val="2"/>
              </w:rPr>
              <w:t>D</w:t>
            </w:r>
            <w:r>
              <w:rPr>
                <w:rFonts w:ascii="Times New Roman" w:hAnsi="Times New Roman" w:eastAsia="Times New Roman" w:cs="Times New Roman"/>
                <w:sz w:val="13"/>
                <w:szCs w:val="13"/>
                <w:b/>
                <w:bCs/>
                <w:spacing w:val="4"/>
              </w:rPr>
              <w:t>10%</w:t>
            </w:r>
          </w:p>
          <w:p>
            <w:pPr>
              <w:ind w:left="220"/>
              <w:spacing w:before="1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(m)</w:t>
            </w:r>
          </w:p>
        </w:tc>
        <w:tc>
          <w:tcPr>
            <w:tcW w:w="1613" w:type="dxa"/>
            <w:vAlign w:val="top"/>
            <w:tcBorders>
              <w:bottom w:val="single" w:color="000000" w:sz="4" w:space="0"/>
              <w:top w:val="single" w:color="000000" w:sz="10" w:space="0"/>
            </w:tcBorders>
          </w:tcPr>
          <w:p>
            <w:pPr>
              <w:pStyle w:val="TableText"/>
              <w:ind w:left="178"/>
              <w:spacing w:before="170" w:line="219" w:lineRule="auto"/>
              <w:rPr/>
            </w:pPr>
            <w:r>
              <w:rPr>
                <w:b/>
                <w:bCs/>
                <w:spacing w:val="-3"/>
              </w:rPr>
              <w:t>评价等级区段</w:t>
            </w:r>
          </w:p>
        </w:tc>
        <w:tc>
          <w:tcPr>
            <w:tcW w:w="857" w:type="dxa"/>
            <w:vAlign w:val="top"/>
            <w:tcBorders>
              <w:bottom w:val="single" w:color="000000" w:sz="4" w:space="0"/>
              <w:top w:val="single" w:color="000000" w:sz="10" w:space="0"/>
              <w:right w:val="nil"/>
            </w:tcBorders>
          </w:tcPr>
          <w:p>
            <w:pPr>
              <w:pStyle w:val="TableText"/>
              <w:ind w:left="330" w:right="112" w:hanging="215"/>
              <w:spacing w:before="32" w:line="222" w:lineRule="auto"/>
              <w:rPr/>
            </w:pPr>
            <w:r>
              <w:rPr>
                <w:b/>
                <w:bCs/>
                <w:spacing w:val="-4"/>
              </w:rPr>
              <w:t>评价等</w:t>
            </w:r>
            <w:r>
              <w:rPr>
                <w:b/>
                <w:bCs/>
                <w:spacing w:val="-3"/>
              </w:rPr>
              <w:t>级</w:t>
            </w:r>
          </w:p>
        </w:tc>
      </w:tr>
      <w:tr>
        <w:trPr>
          <w:trHeight w:val="274" w:hRule="atLeast"/>
        </w:trPr>
        <w:tc>
          <w:tcPr>
            <w:tcW w:w="1548" w:type="dxa"/>
            <w:vAlign w:val="top"/>
            <w:vMerge w:val="restart"/>
            <w:tcBorders>
              <w:bottom w:val="nil"/>
              <w:top w:val="single" w:color="000000" w:sz="4" w:space="0"/>
              <w:left w:val="nil"/>
            </w:tcBorders>
          </w:tcPr>
          <w:p>
            <w:pPr>
              <w:pStyle w:val="TableText"/>
              <w:ind w:left="577"/>
              <w:spacing w:before="178" w:line="222" w:lineRule="auto"/>
              <w:rPr/>
            </w:pPr>
            <w:r>
              <w:rPr>
                <w:spacing w:val="-3"/>
              </w:rPr>
              <w:t>牛舍</w:t>
            </w:r>
          </w:p>
        </w:tc>
        <w:tc>
          <w:tcPr>
            <w:tcW w:w="1575" w:type="dxa"/>
            <w:vAlign w:val="top"/>
            <w:tcBorders>
              <w:bottom w:val="single" w:color="000000" w:sz="4" w:space="0"/>
              <w:top w:val="single" w:color="000000" w:sz="4" w:space="0"/>
            </w:tcBorders>
          </w:tcPr>
          <w:p>
            <w:pPr>
              <w:ind w:left="616"/>
              <w:spacing w:before="68"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157" w:type="dxa"/>
            <w:vAlign w:val="top"/>
            <w:tcBorders>
              <w:bottom w:val="single" w:color="000000" w:sz="4" w:space="0"/>
              <w:top w:val="single" w:color="000000" w:sz="4" w:space="0"/>
            </w:tcBorders>
          </w:tcPr>
          <w:p>
            <w:pPr>
              <w:ind w:left="293"/>
              <w:spacing w:before="6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0.3542</w:t>
            </w:r>
          </w:p>
        </w:tc>
        <w:tc>
          <w:tcPr>
            <w:tcW w:w="1221" w:type="dxa"/>
            <w:vAlign w:val="top"/>
            <w:tcBorders>
              <w:bottom w:val="single" w:color="000000" w:sz="4" w:space="0"/>
              <w:top w:val="single" w:color="000000" w:sz="4" w:space="0"/>
            </w:tcBorders>
          </w:tcPr>
          <w:p>
            <w:pPr>
              <w:ind w:left="434"/>
              <w:spacing w:before="6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5.37</w:t>
            </w:r>
          </w:p>
        </w:tc>
        <w:tc>
          <w:tcPr>
            <w:tcW w:w="747" w:type="dxa"/>
            <w:vAlign w:val="top"/>
            <w:tcBorders>
              <w:bottom w:val="single" w:color="000000" w:sz="4" w:space="0"/>
              <w:top w:val="single" w:color="000000" w:sz="4" w:space="0"/>
            </w:tcBorders>
          </w:tcPr>
          <w:p>
            <w:pPr>
              <w:ind w:left="236"/>
              <w:spacing w:before="6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126</w:t>
            </w:r>
          </w:p>
        </w:tc>
        <w:tc>
          <w:tcPr>
            <w:tcW w:w="1613" w:type="dxa"/>
            <w:vAlign w:val="top"/>
            <w:tcBorders>
              <w:bottom w:val="single" w:color="000000" w:sz="4" w:space="0"/>
              <w:top w:val="single" w:color="000000" w:sz="4" w:space="0"/>
            </w:tcBorders>
          </w:tcPr>
          <w:p>
            <w:pPr>
              <w:pStyle w:val="TableText"/>
              <w:ind w:left="154"/>
              <w:spacing w:before="34" w:line="202" w:lineRule="auto"/>
              <w:rPr>
                <w:rFonts w:ascii="Times New Roman" w:hAnsi="Times New Roman" w:eastAsia="Times New Roman" w:cs="Times New Roman"/>
              </w:rPr>
            </w:pPr>
            <w:r>
              <w:rPr>
                <w:rFonts w:ascii="Times New Roman" w:hAnsi="Times New Roman" w:eastAsia="Times New Roman" w:cs="Times New Roman"/>
                <w:spacing w:val="-1"/>
              </w:rPr>
              <w:t>1%≤P</w:t>
            </w:r>
            <w:r>
              <w:rPr>
                <w:rFonts w:ascii="Times New Roman" w:hAnsi="Times New Roman" w:eastAsia="Times New Roman" w:cs="Times New Roman"/>
                <w:sz w:val="13"/>
                <w:szCs w:val="13"/>
                <w:spacing w:val="-1"/>
                <w:position w:val="-2"/>
              </w:rPr>
              <w:t>max</w:t>
            </w:r>
            <w:r>
              <w:rPr>
                <w:spacing w:val="-1"/>
              </w:rPr>
              <w:t>＜</w:t>
            </w:r>
            <w:r>
              <w:rPr>
                <w:rFonts w:ascii="Times New Roman" w:hAnsi="Times New Roman" w:eastAsia="Times New Roman" w:cs="Times New Roman"/>
                <w:spacing w:val="-1"/>
              </w:rPr>
              <w:t>10%</w:t>
            </w:r>
          </w:p>
        </w:tc>
        <w:tc>
          <w:tcPr>
            <w:tcW w:w="857" w:type="dxa"/>
            <w:vAlign w:val="top"/>
            <w:tcBorders>
              <w:bottom w:val="single" w:color="000000" w:sz="4" w:space="0"/>
              <w:top w:val="single" w:color="000000" w:sz="4" w:space="0"/>
              <w:right w:val="nil"/>
            </w:tcBorders>
          </w:tcPr>
          <w:p>
            <w:pPr>
              <w:pStyle w:val="TableText"/>
              <w:ind w:left="228"/>
              <w:spacing w:before="34" w:line="202" w:lineRule="auto"/>
              <w:rPr/>
            </w:pPr>
            <w:r>
              <w:rPr>
                <w:spacing w:val="-5"/>
              </w:rPr>
              <w:t>二级</w:t>
            </w:r>
          </w:p>
        </w:tc>
      </w:tr>
      <w:tr>
        <w:trPr>
          <w:trHeight w:val="274" w:hRule="atLeast"/>
        </w:trPr>
        <w:tc>
          <w:tcPr>
            <w:tcW w:w="1548" w:type="dxa"/>
            <w:vAlign w:val="top"/>
            <w:vMerge w:val="continue"/>
            <w:tcBorders>
              <w:bottom w:val="single" w:color="000000" w:sz="4" w:space="0"/>
              <w:top w:val="nil"/>
              <w:left w:val="nil"/>
            </w:tcBorders>
          </w:tcPr>
          <w:p>
            <w:pPr>
              <w:rPr>
                <w:rFonts w:ascii="Arial"/>
                <w:sz w:val="21"/>
              </w:rPr>
            </w:pPr>
            <w:r/>
          </w:p>
        </w:tc>
        <w:tc>
          <w:tcPr>
            <w:tcW w:w="1575" w:type="dxa"/>
            <w:vAlign w:val="top"/>
            <w:tcBorders>
              <w:bottom w:val="single" w:color="000000" w:sz="4" w:space="0"/>
              <w:top w:val="single" w:color="000000" w:sz="4" w:space="0"/>
            </w:tcBorders>
          </w:tcPr>
          <w:p>
            <w:pPr>
              <w:ind w:left="593"/>
              <w:spacing w:before="75" w:line="18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157" w:type="dxa"/>
            <w:vAlign w:val="top"/>
            <w:tcBorders>
              <w:bottom w:val="single" w:color="000000" w:sz="4" w:space="0"/>
              <w:top w:val="single" w:color="000000" w:sz="4" w:space="0"/>
            </w:tcBorders>
          </w:tcPr>
          <w:p>
            <w:pPr>
              <w:ind w:left="298"/>
              <w:spacing w:before="68"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8.9224</w:t>
            </w:r>
          </w:p>
        </w:tc>
        <w:tc>
          <w:tcPr>
            <w:tcW w:w="1221" w:type="dxa"/>
            <w:vAlign w:val="top"/>
            <w:tcBorders>
              <w:bottom w:val="single" w:color="000000" w:sz="4" w:space="0"/>
              <w:top w:val="single" w:color="000000" w:sz="4" w:space="0"/>
            </w:tcBorders>
          </w:tcPr>
          <w:p>
            <w:pPr>
              <w:ind w:left="434"/>
              <w:spacing w:before="68"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5.43</w:t>
            </w:r>
          </w:p>
        </w:tc>
        <w:tc>
          <w:tcPr>
            <w:tcW w:w="747" w:type="dxa"/>
            <w:vAlign w:val="top"/>
            <w:tcBorders>
              <w:bottom w:val="single" w:color="000000" w:sz="4" w:space="0"/>
              <w:top w:val="single" w:color="000000" w:sz="4" w:space="0"/>
            </w:tcBorders>
          </w:tcPr>
          <w:p>
            <w:pPr>
              <w:ind w:left="236"/>
              <w:spacing w:before="68"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126</w:t>
            </w:r>
          </w:p>
        </w:tc>
        <w:tc>
          <w:tcPr>
            <w:tcW w:w="1613" w:type="dxa"/>
            <w:vAlign w:val="top"/>
            <w:tcBorders>
              <w:bottom w:val="single" w:color="000000" w:sz="4" w:space="0"/>
              <w:top w:val="single" w:color="000000" w:sz="4" w:space="0"/>
            </w:tcBorders>
          </w:tcPr>
          <w:p>
            <w:pPr>
              <w:pStyle w:val="TableText"/>
              <w:ind w:left="154"/>
              <w:spacing w:before="38" w:line="198" w:lineRule="auto"/>
              <w:rPr>
                <w:rFonts w:ascii="Times New Roman" w:hAnsi="Times New Roman" w:eastAsia="Times New Roman" w:cs="Times New Roman"/>
              </w:rPr>
            </w:pPr>
            <w:r>
              <w:rPr>
                <w:rFonts w:ascii="Times New Roman" w:hAnsi="Times New Roman" w:eastAsia="Times New Roman" w:cs="Times New Roman"/>
                <w:spacing w:val="-1"/>
              </w:rPr>
              <w:t>1%≤P</w:t>
            </w:r>
            <w:r>
              <w:rPr>
                <w:rFonts w:ascii="Times New Roman" w:hAnsi="Times New Roman" w:eastAsia="Times New Roman" w:cs="Times New Roman"/>
                <w:sz w:val="13"/>
                <w:szCs w:val="13"/>
                <w:spacing w:val="-1"/>
                <w:position w:val="-2"/>
              </w:rPr>
              <w:t>max</w:t>
            </w:r>
            <w:r>
              <w:rPr>
                <w:spacing w:val="-1"/>
              </w:rPr>
              <w:t>＜</w:t>
            </w:r>
            <w:r>
              <w:rPr>
                <w:rFonts w:ascii="Times New Roman" w:hAnsi="Times New Roman" w:eastAsia="Times New Roman" w:cs="Times New Roman"/>
                <w:spacing w:val="-1"/>
              </w:rPr>
              <w:t>10%</w:t>
            </w:r>
          </w:p>
        </w:tc>
        <w:tc>
          <w:tcPr>
            <w:tcW w:w="857" w:type="dxa"/>
            <w:vAlign w:val="top"/>
            <w:tcBorders>
              <w:bottom w:val="single" w:color="000000" w:sz="4" w:space="0"/>
              <w:top w:val="single" w:color="000000" w:sz="4" w:space="0"/>
              <w:right w:val="nil"/>
            </w:tcBorders>
          </w:tcPr>
          <w:p>
            <w:pPr>
              <w:pStyle w:val="TableText"/>
              <w:ind w:left="228"/>
              <w:spacing w:before="38" w:line="198" w:lineRule="auto"/>
              <w:rPr/>
            </w:pPr>
            <w:r>
              <w:rPr>
                <w:spacing w:val="-5"/>
              </w:rPr>
              <w:t>二级</w:t>
            </w:r>
          </w:p>
        </w:tc>
      </w:tr>
      <w:tr>
        <w:trPr>
          <w:trHeight w:val="300" w:hRule="atLeast"/>
        </w:trPr>
        <w:tc>
          <w:tcPr>
            <w:tcW w:w="1548" w:type="dxa"/>
            <w:vAlign w:val="top"/>
            <w:vMerge w:val="restart"/>
            <w:tcBorders>
              <w:top w:val="single" w:color="000000" w:sz="4" w:space="0"/>
              <w:bottom w:val="nil"/>
              <w:left w:val="nil"/>
            </w:tcBorders>
          </w:tcPr>
          <w:p>
            <w:pPr>
              <w:pStyle w:val="TableText"/>
              <w:ind w:left="465"/>
              <w:spacing w:before="212" w:line="221" w:lineRule="auto"/>
              <w:rPr/>
            </w:pPr>
            <w:r>
              <w:rPr>
                <w:spacing w:val="-1"/>
              </w:rPr>
              <w:t>储粪库</w:t>
            </w:r>
          </w:p>
        </w:tc>
        <w:tc>
          <w:tcPr>
            <w:tcW w:w="1575" w:type="dxa"/>
            <w:vAlign w:val="top"/>
            <w:tcBorders>
              <w:bottom w:val="single" w:color="000000" w:sz="4" w:space="0"/>
              <w:top w:val="single" w:color="000000" w:sz="4" w:space="0"/>
            </w:tcBorders>
          </w:tcPr>
          <w:p>
            <w:pPr>
              <w:ind w:left="616"/>
              <w:spacing w:before="88"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157" w:type="dxa"/>
            <w:vAlign w:val="top"/>
            <w:tcBorders>
              <w:bottom w:val="single" w:color="000000" w:sz="4" w:space="0"/>
              <w:top w:val="single" w:color="000000" w:sz="4" w:space="0"/>
            </w:tcBorders>
          </w:tcPr>
          <w:p>
            <w:pPr>
              <w:ind w:left="293"/>
              <w:spacing w:before="84"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0.1379</w:t>
            </w:r>
          </w:p>
        </w:tc>
        <w:tc>
          <w:tcPr>
            <w:tcW w:w="1221" w:type="dxa"/>
            <w:vAlign w:val="top"/>
            <w:tcBorders>
              <w:bottom w:val="single" w:color="000000" w:sz="4" w:space="0"/>
              <w:top w:val="single" w:color="000000" w:sz="4" w:space="0"/>
            </w:tcBorders>
          </w:tcPr>
          <w:p>
            <w:pPr>
              <w:ind w:left="433"/>
              <w:spacing w:before="84"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3.72</w:t>
            </w:r>
          </w:p>
        </w:tc>
        <w:tc>
          <w:tcPr>
            <w:tcW w:w="747" w:type="dxa"/>
            <w:vAlign w:val="top"/>
            <w:tcBorders>
              <w:bottom w:val="single" w:color="000000" w:sz="4" w:space="0"/>
              <w:top w:val="single" w:color="000000" w:sz="4" w:space="0"/>
            </w:tcBorders>
          </w:tcPr>
          <w:p>
            <w:pPr>
              <w:ind w:left="267"/>
              <w:spacing w:before="84"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613" w:type="dxa"/>
            <w:vAlign w:val="top"/>
            <w:tcBorders>
              <w:bottom w:val="single" w:color="000000" w:sz="4" w:space="0"/>
              <w:top w:val="single" w:color="000000" w:sz="4" w:space="0"/>
            </w:tcBorders>
          </w:tcPr>
          <w:p>
            <w:pPr>
              <w:pStyle w:val="TableText"/>
              <w:ind w:left="154"/>
              <w:spacing w:before="56" w:line="205" w:lineRule="auto"/>
              <w:rPr>
                <w:rFonts w:ascii="Times New Roman" w:hAnsi="Times New Roman" w:eastAsia="Times New Roman" w:cs="Times New Roman"/>
              </w:rPr>
            </w:pPr>
            <w:r>
              <w:rPr>
                <w:rFonts w:ascii="Times New Roman" w:hAnsi="Times New Roman" w:eastAsia="Times New Roman" w:cs="Times New Roman"/>
                <w:spacing w:val="-1"/>
              </w:rPr>
              <w:t>1%≤P</w:t>
            </w:r>
            <w:r>
              <w:rPr>
                <w:rFonts w:ascii="Times New Roman" w:hAnsi="Times New Roman" w:eastAsia="Times New Roman" w:cs="Times New Roman"/>
                <w:sz w:val="13"/>
                <w:szCs w:val="13"/>
                <w:spacing w:val="-1"/>
                <w:position w:val="-2"/>
              </w:rPr>
              <w:t>max</w:t>
            </w:r>
            <w:r>
              <w:rPr>
                <w:spacing w:val="-1"/>
              </w:rPr>
              <w:t>＜</w:t>
            </w:r>
            <w:r>
              <w:rPr>
                <w:rFonts w:ascii="Times New Roman" w:hAnsi="Times New Roman" w:eastAsia="Times New Roman" w:cs="Times New Roman"/>
                <w:spacing w:val="-1"/>
              </w:rPr>
              <w:t>10%</w:t>
            </w:r>
          </w:p>
        </w:tc>
        <w:tc>
          <w:tcPr>
            <w:tcW w:w="857" w:type="dxa"/>
            <w:vAlign w:val="top"/>
            <w:tcBorders>
              <w:bottom w:val="single" w:color="000000" w:sz="4" w:space="0"/>
              <w:top w:val="single" w:color="000000" w:sz="4" w:space="0"/>
              <w:right w:val="nil"/>
            </w:tcBorders>
          </w:tcPr>
          <w:p>
            <w:pPr>
              <w:pStyle w:val="TableText"/>
              <w:ind w:left="228"/>
              <w:spacing w:before="56" w:line="205" w:lineRule="auto"/>
              <w:rPr/>
            </w:pPr>
            <w:r>
              <w:rPr>
                <w:spacing w:val="-5"/>
              </w:rPr>
              <w:t>二级</w:t>
            </w:r>
          </w:p>
        </w:tc>
      </w:tr>
      <w:tr>
        <w:trPr>
          <w:trHeight w:val="323" w:hRule="atLeast"/>
        </w:trPr>
        <w:tc>
          <w:tcPr>
            <w:tcW w:w="1548" w:type="dxa"/>
            <w:vAlign w:val="top"/>
            <w:vMerge w:val="continue"/>
            <w:tcBorders>
              <w:top w:val="nil"/>
              <w:bottom w:val="single" w:color="000000" w:sz="10" w:space="0"/>
              <w:left w:val="nil"/>
            </w:tcBorders>
          </w:tcPr>
          <w:p>
            <w:pPr>
              <w:rPr>
                <w:rFonts w:ascii="Arial"/>
                <w:sz w:val="21"/>
              </w:rPr>
            </w:pPr>
            <w:r/>
          </w:p>
        </w:tc>
        <w:tc>
          <w:tcPr>
            <w:tcW w:w="1575" w:type="dxa"/>
            <w:vAlign w:val="top"/>
            <w:tcBorders>
              <w:top w:val="single" w:color="000000" w:sz="4" w:space="0"/>
              <w:bottom w:val="single" w:color="000000" w:sz="10" w:space="0"/>
            </w:tcBorders>
          </w:tcPr>
          <w:p>
            <w:pPr>
              <w:ind w:left="593"/>
              <w:spacing w:before="95" w:line="213"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157" w:type="dxa"/>
            <w:vAlign w:val="top"/>
            <w:tcBorders>
              <w:top w:val="single" w:color="000000" w:sz="4" w:space="0"/>
              <w:bottom w:val="single" w:color="000000" w:sz="10" w:space="0"/>
            </w:tcBorders>
          </w:tcPr>
          <w:p>
            <w:pPr>
              <w:ind w:left="294"/>
              <w:spacing w:before="89"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3.5552</w:t>
            </w:r>
          </w:p>
        </w:tc>
        <w:tc>
          <w:tcPr>
            <w:tcW w:w="1221" w:type="dxa"/>
            <w:vAlign w:val="top"/>
            <w:tcBorders>
              <w:top w:val="single" w:color="000000" w:sz="4" w:space="0"/>
              <w:bottom w:val="single" w:color="000000" w:sz="10" w:space="0"/>
            </w:tcBorders>
          </w:tcPr>
          <w:p>
            <w:pPr>
              <w:ind w:left="428"/>
              <w:spacing w:before="89"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4.63</w:t>
            </w:r>
          </w:p>
        </w:tc>
        <w:tc>
          <w:tcPr>
            <w:tcW w:w="747" w:type="dxa"/>
            <w:vAlign w:val="top"/>
            <w:tcBorders>
              <w:top w:val="single" w:color="000000" w:sz="4" w:space="0"/>
              <w:bottom w:val="single" w:color="000000" w:sz="10" w:space="0"/>
            </w:tcBorders>
          </w:tcPr>
          <w:p>
            <w:pPr>
              <w:ind w:left="267"/>
              <w:spacing w:before="89"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1613" w:type="dxa"/>
            <w:vAlign w:val="top"/>
            <w:tcBorders>
              <w:top w:val="single" w:color="000000" w:sz="4" w:space="0"/>
              <w:bottom w:val="single" w:color="000000" w:sz="10" w:space="0"/>
            </w:tcBorders>
          </w:tcPr>
          <w:p>
            <w:pPr>
              <w:pStyle w:val="TableText"/>
              <w:ind w:left="154"/>
              <w:spacing w:before="61" w:line="221" w:lineRule="auto"/>
              <w:rPr>
                <w:rFonts w:ascii="Times New Roman" w:hAnsi="Times New Roman" w:eastAsia="Times New Roman" w:cs="Times New Roman"/>
              </w:rPr>
            </w:pPr>
            <w:r>
              <w:rPr>
                <w:rFonts w:ascii="Times New Roman" w:hAnsi="Times New Roman" w:eastAsia="Times New Roman" w:cs="Times New Roman"/>
                <w:spacing w:val="-1"/>
              </w:rPr>
              <w:t>1%≤P</w:t>
            </w:r>
            <w:r>
              <w:rPr>
                <w:rFonts w:ascii="Times New Roman" w:hAnsi="Times New Roman" w:eastAsia="Times New Roman" w:cs="Times New Roman"/>
                <w:sz w:val="13"/>
                <w:szCs w:val="13"/>
                <w:spacing w:val="-1"/>
                <w:position w:val="-2"/>
              </w:rPr>
              <w:t>max</w:t>
            </w:r>
            <w:r>
              <w:rPr>
                <w:spacing w:val="-1"/>
              </w:rPr>
              <w:t>＜</w:t>
            </w:r>
            <w:r>
              <w:rPr>
                <w:rFonts w:ascii="Times New Roman" w:hAnsi="Times New Roman" w:eastAsia="Times New Roman" w:cs="Times New Roman"/>
                <w:spacing w:val="-1"/>
              </w:rPr>
              <w:t>10%</w:t>
            </w:r>
          </w:p>
        </w:tc>
        <w:tc>
          <w:tcPr>
            <w:tcW w:w="857" w:type="dxa"/>
            <w:vAlign w:val="top"/>
            <w:tcBorders>
              <w:top w:val="single" w:color="000000" w:sz="4" w:space="0"/>
              <w:bottom w:val="single" w:color="000000" w:sz="10" w:space="0"/>
              <w:right w:val="nil"/>
            </w:tcBorders>
          </w:tcPr>
          <w:p>
            <w:pPr>
              <w:pStyle w:val="TableText"/>
              <w:ind w:left="228"/>
              <w:spacing w:before="61" w:line="221" w:lineRule="auto"/>
              <w:rPr/>
            </w:pPr>
            <w:r>
              <w:rPr>
                <w:spacing w:val="-5"/>
              </w:rPr>
              <w:t>二级</w:t>
            </w:r>
          </w:p>
        </w:tc>
      </w:tr>
    </w:tbl>
    <w:p>
      <w:pPr>
        <w:ind w:left="609"/>
        <w:spacing w:before="35" w:line="217" w:lineRule="auto"/>
        <w:rPr>
          <w:rFonts w:ascii="SimSun" w:hAnsi="SimSun" w:eastAsia="SimSun" w:cs="SimSun"/>
          <w:sz w:val="24"/>
          <w:szCs w:val="24"/>
        </w:rPr>
      </w:pPr>
      <w:r>
        <w:rPr>
          <w:rFonts w:ascii="SimSun" w:hAnsi="SimSun" w:eastAsia="SimSun" w:cs="SimSun"/>
          <w:sz w:val="24"/>
          <w:szCs w:val="24"/>
          <w:spacing w:val="-2"/>
        </w:rPr>
        <w:t>④评价等级</w:t>
      </w:r>
    </w:p>
    <w:p>
      <w:pPr>
        <w:ind w:left="133" w:right="103" w:firstLine="478"/>
        <w:spacing w:before="186" w:line="356" w:lineRule="auto"/>
        <w:rPr>
          <w:rFonts w:ascii="SimSun" w:hAnsi="SimSun" w:eastAsia="SimSun" w:cs="SimSun"/>
          <w:sz w:val="24"/>
          <w:szCs w:val="24"/>
        </w:rPr>
      </w:pPr>
      <w:r>
        <w:rPr>
          <w:rFonts w:ascii="SimSun" w:hAnsi="SimSun" w:eastAsia="SimSun" w:cs="SimSun"/>
          <w:sz w:val="24"/>
          <w:szCs w:val="24"/>
          <w:spacing w:val="-2"/>
        </w:rPr>
        <w:t>根据估算模式预测结果，</w:t>
      </w:r>
      <w:r>
        <w:rPr>
          <w:rFonts w:ascii="Times New Roman" w:hAnsi="Times New Roman" w:eastAsia="Times New Roman" w:cs="Times New Roman"/>
          <w:sz w:val="24"/>
          <w:szCs w:val="24"/>
          <w:spacing w:val="-2"/>
        </w:rPr>
        <w:t>Pmax=P</w:t>
      </w:r>
      <w:r>
        <w:rPr>
          <w:rFonts w:ascii="Times New Roman" w:hAnsi="Times New Roman" w:eastAsia="Times New Roman" w:cs="Times New Roman"/>
          <w:sz w:val="13"/>
          <w:szCs w:val="13"/>
          <w:spacing w:val="-2"/>
          <w:position w:val="-3"/>
        </w:rPr>
        <w:t>NH3</w:t>
      </w:r>
      <w:r>
        <w:rPr>
          <w:rFonts w:ascii="Times New Roman" w:hAnsi="Times New Roman" w:eastAsia="Times New Roman" w:cs="Times New Roman"/>
          <w:sz w:val="13"/>
          <w:szCs w:val="13"/>
          <w:spacing w:val="19"/>
          <w:position w:val="-3"/>
        </w:rPr>
        <w:t xml:space="preserve"> </w:t>
      </w:r>
      <w:r>
        <w:rPr>
          <w:rFonts w:ascii="SimSun" w:hAnsi="SimSun" w:eastAsia="SimSun" w:cs="SimSun"/>
          <w:sz w:val="24"/>
          <w:szCs w:val="24"/>
          <w:spacing w:val="-2"/>
        </w:rPr>
        <w:t>牛舍</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3"/>
        </w:rPr>
        <w:t>5.43%</w:t>
      </w:r>
      <w:r>
        <w:rPr>
          <w:rFonts w:ascii="SimSun" w:hAnsi="SimSun" w:eastAsia="SimSun" w:cs="SimSun"/>
          <w:sz w:val="24"/>
          <w:szCs w:val="24"/>
          <w:spacing w:val="-3"/>
        </w:rPr>
        <w:t>，大于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，但小于</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，项</w:t>
      </w:r>
      <w:r>
        <w:rPr>
          <w:rFonts w:ascii="SimSun" w:hAnsi="SimSun" w:eastAsia="SimSun" w:cs="SimSun"/>
          <w:sz w:val="24"/>
          <w:szCs w:val="24"/>
          <w:spacing w:val="1"/>
        </w:rPr>
        <w:t>目不属于《环境影响评价技术导则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2.2-2018</w:t>
      </w:r>
      <w:r>
        <w:rPr>
          <w:rFonts w:ascii="SimSun" w:hAnsi="SimSun" w:eastAsia="SimSun" w:cs="SimSun"/>
          <w:sz w:val="24"/>
          <w:szCs w:val="24"/>
          <w:spacing w:val="1"/>
        </w:rPr>
        <w:t>）“电力、钢铁、水</w:t>
      </w:r>
      <w:r>
        <w:rPr>
          <w:rFonts w:ascii="SimSun" w:hAnsi="SimSun" w:eastAsia="SimSun" w:cs="SimSun"/>
          <w:sz w:val="24"/>
          <w:szCs w:val="24"/>
          <w:spacing w:val="2"/>
        </w:rPr>
        <w:t>泥、石化、化工、平板玻璃等高耗能行业的多源项目或以高污染燃料为主的多源</w:t>
      </w:r>
      <w:r>
        <w:rPr>
          <w:rFonts w:ascii="SimSun" w:hAnsi="SimSun" w:eastAsia="SimSun" w:cs="SimSun"/>
          <w:sz w:val="24"/>
          <w:szCs w:val="24"/>
          <w:spacing w:val="2"/>
        </w:rPr>
        <w:t>项目”。根据《环境影响评价技术导则</w:t>
      </w:r>
      <w:r>
        <w:rPr>
          <w:rFonts w:ascii="Times New Roman" w:hAnsi="Times New Roman" w:eastAsia="Times New Roman" w:cs="Times New Roman"/>
          <w:sz w:val="24"/>
          <w:szCs w:val="24"/>
          <w:spacing w:val="2"/>
        </w:rPr>
        <w:t>·</w:t>
      </w:r>
      <w:r>
        <w:rPr>
          <w:rFonts w:ascii="SimSun" w:hAnsi="SimSun" w:eastAsia="SimSun" w:cs="SimSun"/>
          <w:sz w:val="24"/>
          <w:szCs w:val="24"/>
          <w:spacing w:val="2"/>
        </w:rPr>
        <w:t>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2.2-2018</w:t>
      </w:r>
      <w:r>
        <w:rPr>
          <w:rFonts w:ascii="SimSun" w:hAnsi="SimSun" w:eastAsia="SimSun" w:cs="SimSun"/>
          <w:sz w:val="24"/>
          <w:szCs w:val="24"/>
          <w:spacing w:val="2"/>
        </w:rPr>
        <w:t>）对评价工作等</w:t>
      </w:r>
      <w:r>
        <w:rPr>
          <w:rFonts w:ascii="SimSun" w:hAnsi="SimSun" w:eastAsia="SimSun" w:cs="SimSun"/>
          <w:sz w:val="24"/>
          <w:szCs w:val="24"/>
          <w:spacing w:val="-2"/>
        </w:rPr>
        <w:t>级的确定原则，项目大气环境影响评价工作等级为二级。</w:t>
      </w:r>
    </w:p>
    <w:p>
      <w:pPr>
        <w:ind w:left="618"/>
        <w:spacing w:before="18"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）声环境</w:t>
      </w:r>
    </w:p>
    <w:p>
      <w:pPr>
        <w:ind w:left="130" w:right="103" w:firstLine="480"/>
        <w:spacing w:before="160" w:line="355" w:lineRule="auto"/>
        <w:rPr>
          <w:rFonts w:ascii="SimSun" w:hAnsi="SimSun" w:eastAsia="SimSun" w:cs="SimSun"/>
          <w:sz w:val="24"/>
          <w:szCs w:val="24"/>
        </w:rPr>
      </w:pPr>
      <w:r>
        <w:rPr>
          <w:rFonts w:ascii="SimSun" w:hAnsi="SimSun" w:eastAsia="SimSun" w:cs="SimSun"/>
          <w:sz w:val="24"/>
          <w:szCs w:val="24"/>
        </w:rPr>
        <w:t>根据</w:t>
      </w:r>
      <w:r>
        <w:rPr>
          <w:rFonts w:ascii="SimSun" w:hAnsi="SimSun" w:eastAsia="SimSun" w:cs="SimSun"/>
          <w:sz w:val="24"/>
          <w:szCs w:val="24"/>
          <w:spacing w:val="-56"/>
        </w:rPr>
        <w:t xml:space="preserve"> </w:t>
      </w:r>
      <w:r>
        <w:rPr>
          <w:rFonts w:ascii="Times New Roman" w:hAnsi="Times New Roman" w:eastAsia="Times New Roman" w:cs="Times New Roman"/>
          <w:sz w:val="24"/>
          <w:szCs w:val="24"/>
        </w:rPr>
        <w:t>HJ2.4-2021</w:t>
      </w:r>
      <w:r>
        <w:rPr>
          <w:rFonts w:ascii="SimSun" w:hAnsi="SimSun" w:eastAsia="SimSun" w:cs="SimSun"/>
          <w:sz w:val="24"/>
          <w:szCs w:val="24"/>
        </w:rPr>
        <w:t>《环境影响评价技术导则 声</w:t>
      </w:r>
      <w:r>
        <w:rPr>
          <w:rFonts w:ascii="SimSun" w:hAnsi="SimSun" w:eastAsia="SimSun" w:cs="SimSun"/>
          <w:sz w:val="24"/>
          <w:szCs w:val="24"/>
          <w:spacing w:val="-1"/>
        </w:rPr>
        <w:t>环境》中评价工作等级划分，建</w:t>
      </w:r>
      <w:r>
        <w:rPr>
          <w:rFonts w:ascii="SimSun" w:hAnsi="SimSun" w:eastAsia="SimSun" w:cs="SimSun"/>
          <w:sz w:val="24"/>
          <w:szCs w:val="24"/>
          <w:spacing w:val="-3"/>
        </w:rPr>
        <w:t>设项目所处的声环境功能区为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类、</w:t>
      </w:r>
      <w:r>
        <w:rPr>
          <w:rFonts w:ascii="Times New Roman" w:hAnsi="Times New Roman" w:eastAsia="Times New Roman" w:cs="Times New Roman"/>
          <w:sz w:val="24"/>
          <w:szCs w:val="24"/>
          <w:spacing w:val="-3"/>
        </w:rPr>
        <w:t>2 </w:t>
      </w:r>
      <w:r>
        <w:rPr>
          <w:rFonts w:ascii="SimSun" w:hAnsi="SimSun" w:eastAsia="SimSun" w:cs="SimSun"/>
          <w:sz w:val="24"/>
          <w:szCs w:val="24"/>
          <w:spacing w:val="-3"/>
        </w:rPr>
        <w:t>类地区，或建设项目建设前后评价范围内敏</w:t>
      </w:r>
      <w:r>
        <w:rPr>
          <w:rFonts w:ascii="SimSun" w:hAnsi="SimSun" w:eastAsia="SimSun" w:cs="SimSun"/>
          <w:sz w:val="24"/>
          <w:szCs w:val="24"/>
          <w:spacing w:val="-1"/>
        </w:rPr>
        <w:t>感目标噪声级增高量</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3-5dB</w:t>
      </w:r>
      <w:r>
        <w:rPr>
          <w:rFonts w:ascii="SimSun" w:hAnsi="SimSun" w:eastAsia="SimSun" w:cs="SimSun"/>
          <w:sz w:val="24"/>
          <w:szCs w:val="24"/>
          <w:spacing w:val="-1"/>
        </w:rPr>
        <w:t>（</w:t>
      </w:r>
      <w:r>
        <w:rPr>
          <w:rFonts w:ascii="Times New Roman" w:hAnsi="Times New Roman" w:eastAsia="Times New Roman" w:cs="Times New Roman"/>
          <w:sz w:val="24"/>
          <w:szCs w:val="24"/>
          <w:spacing w:val="-1"/>
        </w:rPr>
        <w:t>A</w:t>
      </w:r>
      <w:r>
        <w:rPr>
          <w:rFonts w:ascii="SimSun" w:hAnsi="SimSun" w:eastAsia="SimSun" w:cs="SimSun"/>
          <w:sz w:val="24"/>
          <w:szCs w:val="24"/>
          <w:spacing w:val="3"/>
        </w:rPr>
        <w:t>），</w:t>
      </w:r>
      <w:r>
        <w:rPr>
          <w:rFonts w:ascii="SimSun" w:hAnsi="SimSun" w:eastAsia="SimSun" w:cs="SimSun"/>
          <w:sz w:val="24"/>
          <w:szCs w:val="24"/>
          <w:spacing w:val="-1"/>
        </w:rPr>
        <w:t>或受声环境影响人口数量增加较多时，按二级</w:t>
      </w:r>
      <w:r>
        <w:rPr>
          <w:rFonts w:ascii="SimSun" w:hAnsi="SimSun" w:eastAsia="SimSun" w:cs="SimSun"/>
          <w:sz w:val="24"/>
          <w:szCs w:val="24"/>
          <w:spacing w:val="-10"/>
        </w:rPr>
        <w:t>评价。</w:t>
      </w:r>
    </w:p>
    <w:p>
      <w:pPr>
        <w:ind w:left="131" w:right="103" w:firstLine="480"/>
        <w:spacing w:before="26" w:line="349" w:lineRule="auto"/>
        <w:rPr>
          <w:rFonts w:ascii="SimSun" w:hAnsi="SimSun" w:eastAsia="SimSun" w:cs="SimSun"/>
          <w:sz w:val="24"/>
          <w:szCs w:val="24"/>
        </w:rPr>
      </w:pPr>
      <w:r>
        <w:rPr>
          <w:rFonts w:ascii="SimSun" w:hAnsi="SimSun" w:eastAsia="SimSun" w:cs="SimSun"/>
          <w:sz w:val="24"/>
          <w:szCs w:val="24"/>
          <w:spacing w:val="-1"/>
        </w:rPr>
        <w:t>本项目属于</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类声环境功能区，根据</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HJ2.4-2021</w:t>
      </w:r>
      <w:r>
        <w:rPr>
          <w:rFonts w:ascii="SimSun" w:hAnsi="SimSun" w:eastAsia="SimSun" w:cs="SimSun"/>
          <w:sz w:val="24"/>
          <w:szCs w:val="24"/>
          <w:spacing w:val="-1"/>
        </w:rPr>
        <w:t>《环境影响评价技术</w:t>
      </w:r>
      <w:r>
        <w:rPr>
          <w:rFonts w:ascii="SimSun" w:hAnsi="SimSun" w:eastAsia="SimSun" w:cs="SimSun"/>
          <w:sz w:val="24"/>
          <w:szCs w:val="24"/>
          <w:spacing w:val="-2"/>
        </w:rPr>
        <w:t>导则 声</w:t>
      </w:r>
      <w:r>
        <w:rPr>
          <w:rFonts w:ascii="SimSun" w:hAnsi="SimSun" w:eastAsia="SimSun" w:cs="SimSun"/>
          <w:sz w:val="24"/>
          <w:szCs w:val="24"/>
          <w:spacing w:val="-2"/>
        </w:rPr>
        <w:t>环境》中评价工作等级划分，确定本次噪声评价等级为二级。</w:t>
      </w:r>
    </w:p>
    <w:p>
      <w:pPr>
        <w:ind w:left="618"/>
        <w:spacing w:before="26"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）生态环境</w:t>
      </w:r>
    </w:p>
    <w:p>
      <w:pPr>
        <w:ind w:left="132" w:right="115" w:firstLine="479"/>
        <w:spacing w:before="162" w:line="351" w:lineRule="auto"/>
        <w:rPr>
          <w:rFonts w:ascii="SimSun" w:hAnsi="SimSun" w:eastAsia="SimSun" w:cs="SimSun"/>
          <w:sz w:val="24"/>
          <w:szCs w:val="24"/>
        </w:rPr>
      </w:pPr>
      <w:r>
        <w:pict>
          <v:shape id="_x0000_s120" style="position:absolute;margin-left:6.36601pt;margin-top:68.7244pt;mso-position-vertical-relative:text;mso-position-horizontal-relative:text;width:425.7pt;height:0.6pt;z-index:251692032;" filled="false" strokecolor="#808080" strokeweight="0.50pt" coordsize="8514,12" coordorigin="0,0" path="m5,5l8508,6e">
            <v:stroke endcap="round" miterlimit="10"/>
          </v:shape>
        </w:pict>
      </w:r>
      <w:r>
        <w:rPr>
          <w:rFonts w:ascii="SimSun" w:hAnsi="SimSun" w:eastAsia="SimSun" w:cs="SimSun"/>
          <w:sz w:val="24"/>
          <w:szCs w:val="24"/>
          <w:spacing w:val="-1"/>
        </w:rPr>
        <w:t>《环境影响评价技术导则（生态影响）》（</w:t>
      </w:r>
      <w:r>
        <w:rPr>
          <w:rFonts w:ascii="Times New Roman" w:hAnsi="Times New Roman" w:eastAsia="Times New Roman" w:cs="Times New Roman"/>
          <w:sz w:val="24"/>
          <w:szCs w:val="24"/>
          <w:spacing w:val="-1"/>
        </w:rPr>
        <w:t>HJ19-2022</w:t>
      </w:r>
      <w:r>
        <w:rPr>
          <w:rFonts w:ascii="SimSun" w:hAnsi="SimSun" w:eastAsia="SimSun" w:cs="SimSun"/>
          <w:sz w:val="24"/>
          <w:szCs w:val="24"/>
          <w:spacing w:val="-1"/>
        </w:rPr>
        <w:t>）中评价工作等级划分</w:t>
      </w:r>
      <w:r>
        <w:rPr>
          <w:rFonts w:ascii="SimSun" w:hAnsi="SimSun" w:eastAsia="SimSun" w:cs="SimSun"/>
          <w:sz w:val="24"/>
          <w:szCs w:val="24"/>
          <w:spacing w:val="2"/>
        </w:rPr>
        <w:t>要求规定，依据建设项目影响区域的生态敏感性和影响程度，评价等级划分为一</w:t>
      </w:r>
    </w:p>
    <w:p>
      <w:pPr>
        <w:spacing w:line="351" w:lineRule="auto"/>
        <w:sectPr>
          <w:headerReference w:type="default" r:id="rId60"/>
          <w:footerReference w:type="default" r:id="rId61"/>
          <w:pgSz w:w="11907" w:h="16839"/>
          <w:pgMar w:top="1422" w:right="1593" w:bottom="1618" w:left="1579" w:header="1033" w:footer="1417" w:gutter="0"/>
        </w:sectPr>
        <w:rPr>
          <w:rFonts w:ascii="SimSun" w:hAnsi="SimSun" w:eastAsia="SimSun" w:cs="SimSun"/>
          <w:sz w:val="24"/>
          <w:szCs w:val="24"/>
        </w:rPr>
      </w:pPr>
    </w:p>
    <w:p>
      <w:pPr>
        <w:ind w:left="135"/>
        <w:spacing w:before="313" w:line="220" w:lineRule="auto"/>
        <w:rPr>
          <w:rFonts w:ascii="SimSun" w:hAnsi="SimSun" w:eastAsia="SimSun" w:cs="SimSun"/>
          <w:sz w:val="24"/>
          <w:szCs w:val="24"/>
        </w:rPr>
      </w:pPr>
      <w:r>
        <w:rPr>
          <w:rFonts w:ascii="SimSun" w:hAnsi="SimSun" w:eastAsia="SimSun" w:cs="SimSun"/>
          <w:sz w:val="24"/>
          <w:szCs w:val="24"/>
          <w:spacing w:val="-4"/>
        </w:rPr>
        <w:t>级、二级和三级。具体确定原则如下：</w:t>
      </w:r>
    </w:p>
    <w:p>
      <w:pPr>
        <w:ind w:left="135" w:right="117" w:firstLine="475"/>
        <w:spacing w:before="178" w:line="291" w:lineRule="auto"/>
        <w:rPr>
          <w:rFonts w:ascii="SimSun" w:hAnsi="SimSun" w:eastAsia="SimSun" w:cs="SimSun"/>
          <w:sz w:val="24"/>
          <w:szCs w:val="24"/>
        </w:rPr>
      </w:pPr>
      <w:r>
        <w:rPr>
          <w:rFonts w:ascii="SimSun" w:hAnsi="SimSun" w:eastAsia="SimSun" w:cs="SimSun"/>
          <w:sz w:val="24"/>
          <w:szCs w:val="24"/>
          <w:spacing w:val="3"/>
        </w:rPr>
        <w:t>①涉及国家公园、自然保护区、世界自然遗产</w:t>
      </w:r>
      <w:r>
        <w:rPr>
          <w:rFonts w:ascii="SimSun" w:hAnsi="SimSun" w:eastAsia="SimSun" w:cs="SimSun"/>
          <w:sz w:val="24"/>
          <w:szCs w:val="24"/>
          <w:spacing w:val="2"/>
        </w:rPr>
        <w:t>、重要生境时，评价等级为一</w:t>
      </w:r>
      <w:r>
        <w:rPr>
          <w:rFonts w:ascii="SimSun" w:hAnsi="SimSun" w:eastAsia="SimSun" w:cs="SimSun"/>
          <w:sz w:val="24"/>
          <w:szCs w:val="24"/>
          <w:spacing w:val="-18"/>
        </w:rPr>
        <w:t>级；</w:t>
      </w:r>
    </w:p>
    <w:p>
      <w:pPr>
        <w:ind w:left="609"/>
        <w:spacing w:before="177" w:line="217" w:lineRule="auto"/>
        <w:rPr>
          <w:rFonts w:ascii="SimSun" w:hAnsi="SimSun" w:eastAsia="SimSun" w:cs="SimSun"/>
          <w:sz w:val="24"/>
          <w:szCs w:val="24"/>
        </w:rPr>
      </w:pPr>
      <w:r>
        <w:rPr>
          <w:rFonts w:ascii="SimSun" w:hAnsi="SimSun" w:eastAsia="SimSun" w:cs="SimSun"/>
          <w:sz w:val="24"/>
          <w:szCs w:val="24"/>
          <w:spacing w:val="-4"/>
        </w:rPr>
        <w:t>②涉及自然公园时，评价等级为二级；</w:t>
      </w:r>
    </w:p>
    <w:p>
      <w:pPr>
        <w:ind w:left="609"/>
        <w:spacing w:before="186" w:line="217" w:lineRule="auto"/>
        <w:rPr>
          <w:rFonts w:ascii="SimSun" w:hAnsi="SimSun" w:eastAsia="SimSun" w:cs="SimSun"/>
          <w:sz w:val="24"/>
          <w:szCs w:val="24"/>
        </w:rPr>
      </w:pPr>
      <w:r>
        <w:rPr>
          <w:rFonts w:ascii="SimSun" w:hAnsi="SimSun" w:eastAsia="SimSun" w:cs="SimSun"/>
          <w:sz w:val="24"/>
          <w:szCs w:val="24"/>
          <w:spacing w:val="-3"/>
        </w:rPr>
        <w:t>③涉及生态保护红线时，评价等级不低于二级；</w:t>
      </w:r>
    </w:p>
    <w:p>
      <w:pPr>
        <w:ind w:left="135" w:right="113" w:firstLine="474"/>
        <w:spacing w:before="183" w:line="289" w:lineRule="auto"/>
        <w:rPr>
          <w:rFonts w:ascii="SimSun" w:hAnsi="SimSun" w:eastAsia="SimSun" w:cs="SimSun"/>
          <w:sz w:val="24"/>
          <w:szCs w:val="24"/>
        </w:rPr>
      </w:pPr>
      <w:r>
        <w:rPr>
          <w:rFonts w:ascii="SimSun" w:hAnsi="SimSun" w:eastAsia="SimSun" w:cs="SimSun"/>
          <w:sz w:val="24"/>
          <w:szCs w:val="24"/>
        </w:rPr>
        <w:t>④根据 </w:t>
      </w:r>
      <w:r>
        <w:rPr>
          <w:rFonts w:ascii="Times New Roman" w:hAnsi="Times New Roman" w:eastAsia="Times New Roman" w:cs="Times New Roman"/>
          <w:sz w:val="24"/>
          <w:szCs w:val="24"/>
        </w:rPr>
        <w:t>HJ2.3  </w:t>
      </w:r>
      <w:r>
        <w:rPr>
          <w:rFonts w:ascii="SimSun" w:hAnsi="SimSun" w:eastAsia="SimSun" w:cs="SimSun"/>
          <w:sz w:val="24"/>
          <w:szCs w:val="24"/>
        </w:rPr>
        <w:t>判断属于水文要素影响型且地表水评价等级不低于二级的建设</w:t>
      </w:r>
      <w:r>
        <w:rPr>
          <w:rFonts w:ascii="SimSun" w:hAnsi="SimSun" w:eastAsia="SimSun" w:cs="SimSun"/>
          <w:sz w:val="24"/>
          <w:szCs w:val="24"/>
          <w:spacing w:val="-3"/>
        </w:rPr>
        <w:t>项目，生态影响评价等级不低于二级；</w:t>
      </w:r>
    </w:p>
    <w:p>
      <w:pPr>
        <w:ind w:left="133" w:right="109" w:firstLine="476"/>
        <w:spacing w:before="167" w:line="293" w:lineRule="auto"/>
        <w:rPr>
          <w:rFonts w:ascii="SimSun" w:hAnsi="SimSun" w:eastAsia="SimSun" w:cs="SimSun"/>
          <w:sz w:val="24"/>
          <w:szCs w:val="24"/>
        </w:rPr>
      </w:pPr>
      <w:r>
        <w:rPr>
          <w:rFonts w:ascii="SimSun" w:hAnsi="SimSun" w:eastAsia="SimSun" w:cs="SimSun"/>
          <w:sz w:val="24"/>
          <w:szCs w:val="24"/>
          <w:spacing w:val="-1"/>
        </w:rPr>
        <w:t>⑤当工程占地规模大于 </w:t>
      </w:r>
      <w:r>
        <w:rPr>
          <w:rFonts w:ascii="Times New Roman" w:hAnsi="Times New Roman" w:eastAsia="Times New Roman" w:cs="Times New Roman"/>
          <w:sz w:val="24"/>
          <w:szCs w:val="24"/>
          <w:spacing w:val="-1"/>
        </w:rPr>
        <w:t>20km</w:t>
      </w:r>
      <w:r>
        <w:rPr>
          <w:rFonts w:ascii="Times New Roman" w:hAnsi="Times New Roman" w:eastAsia="Times New Roman" w:cs="Times New Roman"/>
          <w:sz w:val="16"/>
          <w:szCs w:val="16"/>
          <w:spacing w:val="-1"/>
          <w:position w:val="10"/>
        </w:rPr>
        <w:t>2</w:t>
      </w:r>
      <w:r>
        <w:rPr>
          <w:rFonts w:ascii="Times New Roman" w:hAnsi="Times New Roman" w:eastAsia="Times New Roman" w:cs="Times New Roman"/>
          <w:sz w:val="16"/>
          <w:szCs w:val="16"/>
          <w:spacing w:val="11"/>
          <w:position w:val="10"/>
        </w:rPr>
        <w:t xml:space="preserve">  </w:t>
      </w:r>
      <w:r>
        <w:rPr>
          <w:rFonts w:ascii="SimSun" w:hAnsi="SimSun" w:eastAsia="SimSun" w:cs="SimSun"/>
          <w:sz w:val="24"/>
          <w:szCs w:val="24"/>
          <w:spacing w:val="-1"/>
        </w:rPr>
        <w:t>时（包括永久和临时占用陆域和水域</w:t>
      </w:r>
      <w:r>
        <w:rPr>
          <w:rFonts w:ascii="SimSun" w:hAnsi="SimSun" w:eastAsia="SimSun" w:cs="SimSun"/>
          <w:sz w:val="24"/>
          <w:szCs w:val="24"/>
        </w:rPr>
        <w:t>），</w:t>
      </w:r>
      <w:r>
        <w:rPr>
          <w:rFonts w:ascii="SimSun" w:hAnsi="SimSun" w:eastAsia="SimSun" w:cs="SimSun"/>
          <w:sz w:val="24"/>
          <w:szCs w:val="24"/>
          <w:spacing w:val="-1"/>
        </w:rPr>
        <w:t>评价</w:t>
      </w:r>
      <w:r>
        <w:rPr>
          <w:rFonts w:ascii="SimSun" w:hAnsi="SimSun" w:eastAsia="SimSun" w:cs="SimSun"/>
          <w:sz w:val="24"/>
          <w:szCs w:val="24"/>
          <w:spacing w:val="-2"/>
        </w:rPr>
        <w:t>等级不低于二级；改扩建项目的占地范围以新增占地（包括陆域和水域）确定；</w:t>
      </w:r>
    </w:p>
    <w:p>
      <w:pPr>
        <w:ind w:left="609"/>
        <w:spacing w:before="183" w:line="217" w:lineRule="auto"/>
        <w:rPr>
          <w:rFonts w:ascii="SimSun" w:hAnsi="SimSun" w:eastAsia="SimSun" w:cs="SimSun"/>
          <w:sz w:val="24"/>
          <w:szCs w:val="24"/>
        </w:rPr>
      </w:pPr>
      <w:r>
        <w:rPr>
          <w:rFonts w:ascii="SimSun" w:hAnsi="SimSun" w:eastAsia="SimSun" w:cs="SimSun"/>
          <w:sz w:val="24"/>
          <w:szCs w:val="24"/>
          <w:spacing w:val="-2"/>
        </w:rPr>
        <w:t>⑥除①、②、③、④、⑤以外的情况，评价等级为三级。</w:t>
      </w:r>
    </w:p>
    <w:p>
      <w:pPr>
        <w:ind w:left="129" w:right="22" w:firstLine="482"/>
        <w:spacing w:before="169" w:line="351" w:lineRule="auto"/>
        <w:rPr>
          <w:rFonts w:ascii="SimSun" w:hAnsi="SimSun" w:eastAsia="SimSun" w:cs="SimSun"/>
          <w:sz w:val="24"/>
          <w:szCs w:val="24"/>
        </w:rPr>
      </w:pPr>
      <w:r>
        <w:rPr>
          <w:rFonts w:ascii="SimSun" w:hAnsi="SimSun" w:eastAsia="SimSun" w:cs="SimSun"/>
          <w:sz w:val="24"/>
          <w:szCs w:val="24"/>
          <w:spacing w:val="-7"/>
        </w:rPr>
        <w:t>本项目占地面积为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7"/>
        </w:rPr>
        <w:t>66300m</w:t>
      </w:r>
      <w:r>
        <w:rPr>
          <w:rFonts w:ascii="Times New Roman" w:hAnsi="Times New Roman" w:eastAsia="Times New Roman" w:cs="Times New Roman"/>
          <w:sz w:val="16"/>
          <w:szCs w:val="16"/>
          <w:spacing w:val="-7"/>
          <w:position w:val="10"/>
        </w:rPr>
        <w:t>2</w:t>
      </w:r>
      <w:r>
        <w:rPr>
          <w:rFonts w:ascii="SimSun" w:hAnsi="SimSun" w:eastAsia="SimSun" w:cs="SimSun"/>
          <w:sz w:val="24"/>
          <w:szCs w:val="24"/>
          <w:spacing w:val="-7"/>
        </w:rPr>
        <w:t>，本项目影响范围即项目</w:t>
      </w:r>
      <w:r>
        <w:rPr>
          <w:rFonts w:ascii="SimSun" w:hAnsi="SimSun" w:eastAsia="SimSun" w:cs="SimSun"/>
          <w:sz w:val="24"/>
          <w:szCs w:val="24"/>
          <w:spacing w:val="-8"/>
        </w:rPr>
        <w:t>占地范围，不涉及①、②、</w:t>
      </w:r>
      <w:r>
        <w:rPr>
          <w:rFonts w:ascii="SimSun" w:hAnsi="SimSun" w:eastAsia="SimSun" w:cs="SimSun"/>
          <w:sz w:val="24"/>
          <w:szCs w:val="24"/>
        </w:rPr>
        <w:t xml:space="preserve"> </w:t>
      </w:r>
      <w:r>
        <w:rPr>
          <w:rFonts w:ascii="SimSun" w:hAnsi="SimSun" w:eastAsia="SimSun" w:cs="SimSun"/>
          <w:sz w:val="24"/>
          <w:szCs w:val="24"/>
          <w:spacing w:val="-2"/>
        </w:rPr>
        <w:t>③、④、⑤以外的情况，评价等级为三级。</w:t>
      </w:r>
    </w:p>
    <w:p>
      <w:pPr>
        <w:ind w:left="618"/>
        <w:spacing w:before="28"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）土壤环境</w:t>
      </w:r>
    </w:p>
    <w:p>
      <w:pPr>
        <w:ind w:left="131" w:right="18" w:firstLine="479"/>
        <w:spacing w:before="166" w:line="356" w:lineRule="auto"/>
        <w:rPr>
          <w:rFonts w:ascii="SimSun" w:hAnsi="SimSun" w:eastAsia="SimSun" w:cs="SimSun"/>
          <w:sz w:val="24"/>
          <w:szCs w:val="24"/>
        </w:rPr>
      </w:pPr>
      <w:r>
        <w:rPr>
          <w:rFonts w:ascii="SimSun" w:hAnsi="SimSun" w:eastAsia="SimSun" w:cs="SimSun"/>
          <w:sz w:val="24"/>
          <w:szCs w:val="24"/>
          <w:spacing w:val="-2"/>
        </w:rPr>
        <w:t>根据</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HJ964-2018</w:t>
      </w:r>
      <w:r>
        <w:rPr>
          <w:rFonts w:ascii="SimSun" w:hAnsi="SimSun" w:eastAsia="SimSun" w:cs="SimSun"/>
          <w:sz w:val="24"/>
          <w:szCs w:val="24"/>
          <w:spacing w:val="-2"/>
        </w:rPr>
        <w:t>《环境影响评价技术导则 土壤环境（试行）》规定，污染影</w:t>
      </w:r>
      <w:r>
        <w:rPr>
          <w:rFonts w:ascii="SimSun" w:hAnsi="SimSun" w:eastAsia="SimSun" w:cs="SimSun"/>
          <w:sz w:val="24"/>
          <w:szCs w:val="24"/>
          <w:spacing w:val="2"/>
        </w:rPr>
        <w:t>响型建设项目土壤环境影响评价的工作等级主要由建设项目占地规模、所在地土</w:t>
      </w:r>
      <w:r>
        <w:rPr>
          <w:rFonts w:ascii="SimSun" w:hAnsi="SimSun" w:eastAsia="SimSun" w:cs="SimSun"/>
          <w:sz w:val="24"/>
          <w:szCs w:val="24"/>
          <w:spacing w:val="-8"/>
        </w:rPr>
        <w:t>壤环境敏感程度及项目类别确定。占地规模分为大型(</w:t>
      </w:r>
      <w:r>
        <w:rPr>
          <w:rFonts w:ascii="Times New Roman" w:hAnsi="Times New Roman" w:eastAsia="Times New Roman" w:cs="Times New Roman"/>
          <w:sz w:val="24"/>
          <w:szCs w:val="24"/>
          <w:spacing w:val="-8"/>
        </w:rPr>
        <w:t>≥</w:t>
      </w:r>
      <w:r>
        <w:rPr>
          <w:rFonts w:ascii="Times New Roman" w:hAnsi="Times New Roman" w:eastAsia="Times New Roman" w:cs="Times New Roman"/>
          <w:sz w:val="24"/>
          <w:szCs w:val="24"/>
          <w:spacing w:val="-9"/>
        </w:rPr>
        <w:t>50hm</w:t>
      </w:r>
      <w:r>
        <w:rPr>
          <w:rFonts w:ascii="Times New Roman" w:hAnsi="Times New Roman" w:eastAsia="Times New Roman" w:cs="Times New Roman"/>
          <w:sz w:val="16"/>
          <w:szCs w:val="16"/>
          <w:spacing w:val="-9"/>
          <w:position w:val="10"/>
        </w:rPr>
        <w:t>2</w:t>
      </w:r>
      <w:r>
        <w:rPr>
          <w:rFonts w:ascii="SimSun" w:hAnsi="SimSun" w:eastAsia="SimSun" w:cs="SimSun"/>
          <w:sz w:val="24"/>
          <w:szCs w:val="24"/>
          <w:spacing w:val="-9"/>
        </w:rPr>
        <w:t>）、中型（</w:t>
      </w:r>
      <w:r>
        <w:rPr>
          <w:rFonts w:ascii="Times New Roman" w:hAnsi="Times New Roman" w:eastAsia="Times New Roman" w:cs="Times New Roman"/>
          <w:sz w:val="24"/>
          <w:szCs w:val="24"/>
          <w:spacing w:val="-9"/>
        </w:rPr>
        <w:t>5~50hm</w:t>
      </w:r>
      <w:r>
        <w:rPr>
          <w:rFonts w:ascii="Times New Roman" w:hAnsi="Times New Roman" w:eastAsia="Times New Roman" w:cs="Times New Roman"/>
          <w:sz w:val="16"/>
          <w:szCs w:val="16"/>
          <w:spacing w:val="-9"/>
          <w:position w:val="10"/>
        </w:rPr>
        <w:t>2</w:t>
      </w:r>
      <w:r>
        <w:rPr>
          <w:rFonts w:ascii="SimSun" w:hAnsi="SimSun" w:eastAsia="SimSun" w:cs="SimSun"/>
          <w:sz w:val="24"/>
          <w:szCs w:val="24"/>
          <w:spacing w:val="-9"/>
        </w:rPr>
        <w:t>）、</w:t>
      </w:r>
      <w:r>
        <w:rPr>
          <w:rFonts w:ascii="SimSun" w:hAnsi="SimSun" w:eastAsia="SimSun" w:cs="SimSun"/>
          <w:sz w:val="24"/>
          <w:szCs w:val="24"/>
          <w:spacing w:val="3"/>
        </w:rPr>
        <w:t>小型(</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rPr>
        <w:t>hm</w:t>
      </w:r>
      <w:r>
        <w:rPr>
          <w:rFonts w:ascii="Times New Roman" w:hAnsi="Times New Roman" w:eastAsia="Times New Roman" w:cs="Times New Roman"/>
          <w:sz w:val="16"/>
          <w:szCs w:val="16"/>
          <w:spacing w:val="3"/>
          <w:position w:val="10"/>
        </w:rPr>
        <w:t>2</w:t>
      </w:r>
      <w:r>
        <w:rPr>
          <w:rFonts w:ascii="SimSun" w:hAnsi="SimSun" w:eastAsia="SimSun" w:cs="SimSun"/>
          <w:sz w:val="24"/>
          <w:szCs w:val="24"/>
          <w:spacing w:val="2"/>
        </w:rPr>
        <w:t>），</w:t>
      </w:r>
      <w:r>
        <w:rPr>
          <w:rFonts w:ascii="SimSun" w:hAnsi="SimSun" w:eastAsia="SimSun" w:cs="SimSun"/>
          <w:sz w:val="24"/>
          <w:szCs w:val="24"/>
          <w:spacing w:val="3"/>
        </w:rPr>
        <w:t>建设项目占地主要为永久占地，敏感程度分级见表</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3"/>
        </w:rPr>
        <w:t>2-22</w:t>
      </w:r>
      <w:r>
        <w:rPr>
          <w:rFonts w:ascii="SimSun" w:hAnsi="SimSun" w:eastAsia="SimSun" w:cs="SimSun"/>
          <w:sz w:val="24"/>
          <w:szCs w:val="24"/>
          <w:spacing w:val="3"/>
        </w:rPr>
        <w:t>。</w:t>
      </w:r>
    </w:p>
    <w:p>
      <w:pPr>
        <w:ind w:left="2444"/>
        <w:spacing w:before="1"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8"/>
        </w:rPr>
        <w:t xml:space="preserve"> </w:t>
      </w:r>
      <w:r>
        <w:rPr>
          <w:rFonts w:ascii="Times New Roman" w:hAnsi="Times New Roman" w:eastAsia="Times New Roman" w:cs="Times New Roman"/>
          <w:sz w:val="24"/>
          <w:szCs w:val="24"/>
          <w:b/>
          <w:bCs/>
          <w:spacing w:val="-2"/>
        </w:rPr>
        <w:t>2-22    </w:t>
      </w:r>
      <w:r>
        <w:rPr>
          <w:rFonts w:ascii="SimSun" w:hAnsi="SimSun" w:eastAsia="SimSun" w:cs="SimSun"/>
          <w:sz w:val="24"/>
          <w:szCs w:val="24"/>
          <w:b/>
          <w:bCs/>
          <w:spacing w:val="-2"/>
        </w:rPr>
        <w:t>污染影响型敏感程度分级表</w:t>
      </w:r>
    </w:p>
    <w:p>
      <w:pPr>
        <w:spacing w:line="128"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94"/>
        <w:gridCol w:w="6841"/>
      </w:tblGrid>
      <w:tr>
        <w:trPr>
          <w:trHeight w:val="277" w:hRule="atLeast"/>
        </w:trPr>
        <w:tc>
          <w:tcPr>
            <w:tcW w:w="1894" w:type="dxa"/>
            <w:vAlign w:val="top"/>
            <w:tcBorders>
              <w:left w:val="nil"/>
              <w:top w:val="single" w:color="000000" w:sz="10" w:space="0"/>
            </w:tcBorders>
          </w:tcPr>
          <w:p>
            <w:pPr>
              <w:pStyle w:val="TableText"/>
              <w:ind w:left="541"/>
              <w:spacing w:before="36" w:line="203" w:lineRule="auto"/>
              <w:rPr/>
            </w:pPr>
            <w:r>
              <w:rPr>
                <w:b/>
                <w:bCs/>
                <w:spacing w:val="-4"/>
              </w:rPr>
              <w:t>敏感程度</w:t>
            </w:r>
          </w:p>
        </w:tc>
        <w:tc>
          <w:tcPr>
            <w:tcW w:w="6841" w:type="dxa"/>
            <w:vAlign w:val="top"/>
            <w:tcBorders>
              <w:right w:val="nil"/>
              <w:top w:val="single" w:color="000000" w:sz="10" w:space="0"/>
            </w:tcBorders>
          </w:tcPr>
          <w:p>
            <w:pPr>
              <w:pStyle w:val="TableText"/>
              <w:ind w:left="3003"/>
              <w:spacing w:before="36" w:line="203" w:lineRule="auto"/>
              <w:rPr/>
            </w:pPr>
            <w:r>
              <w:rPr>
                <w:b/>
                <w:bCs/>
                <w:spacing w:val="-3"/>
              </w:rPr>
              <w:t>判别依据</w:t>
            </w:r>
          </w:p>
        </w:tc>
      </w:tr>
      <w:tr>
        <w:trPr>
          <w:trHeight w:val="540" w:hRule="atLeast"/>
        </w:trPr>
        <w:tc>
          <w:tcPr>
            <w:tcW w:w="1894" w:type="dxa"/>
            <w:vAlign w:val="top"/>
            <w:tcBorders>
              <w:left w:val="nil"/>
            </w:tcBorders>
          </w:tcPr>
          <w:p>
            <w:pPr>
              <w:pStyle w:val="TableText"/>
              <w:ind w:left="753"/>
              <w:spacing w:before="171" w:line="221" w:lineRule="auto"/>
              <w:rPr/>
            </w:pPr>
            <w:r>
              <w:rPr>
                <w:spacing w:val="-2"/>
              </w:rPr>
              <w:t>敏感</w:t>
            </w:r>
          </w:p>
        </w:tc>
        <w:tc>
          <w:tcPr>
            <w:tcW w:w="6841" w:type="dxa"/>
            <w:vAlign w:val="top"/>
            <w:tcBorders>
              <w:right w:val="nil"/>
            </w:tcBorders>
          </w:tcPr>
          <w:p>
            <w:pPr>
              <w:pStyle w:val="TableText"/>
              <w:ind w:left="123" w:right="38" w:hanging="7"/>
              <w:spacing w:before="34" w:line="218" w:lineRule="auto"/>
              <w:rPr/>
            </w:pPr>
            <w:r>
              <w:rPr>
                <w:spacing w:val="-1"/>
              </w:rPr>
              <w:t>建设项目周边存在耕地、园地、牧草地、饮用水水源地或居</w:t>
            </w:r>
            <w:r>
              <w:rPr>
                <w:spacing w:val="-2"/>
              </w:rPr>
              <w:t>民区、学校、</w:t>
            </w:r>
            <w:r>
              <w:rPr>
                <w:spacing w:val="-1"/>
              </w:rPr>
              <w:t>医院、疗养院、养老院等土壤敏感目标的</w:t>
            </w:r>
          </w:p>
        </w:tc>
      </w:tr>
      <w:tr>
        <w:trPr>
          <w:trHeight w:val="273" w:hRule="atLeast"/>
        </w:trPr>
        <w:tc>
          <w:tcPr>
            <w:tcW w:w="1894" w:type="dxa"/>
            <w:vAlign w:val="top"/>
            <w:tcBorders>
              <w:left w:val="nil"/>
            </w:tcBorders>
          </w:tcPr>
          <w:p>
            <w:pPr>
              <w:pStyle w:val="TableText"/>
              <w:ind w:left="646"/>
              <w:spacing w:before="46" w:line="190" w:lineRule="auto"/>
              <w:rPr/>
            </w:pPr>
            <w:r>
              <w:rPr>
                <w:spacing w:val="-2"/>
              </w:rPr>
              <w:t>较敏感</w:t>
            </w:r>
          </w:p>
        </w:tc>
        <w:tc>
          <w:tcPr>
            <w:tcW w:w="6841" w:type="dxa"/>
            <w:vAlign w:val="top"/>
            <w:tcBorders>
              <w:right w:val="nil"/>
            </w:tcBorders>
          </w:tcPr>
          <w:p>
            <w:pPr>
              <w:pStyle w:val="TableText"/>
              <w:ind w:left="116"/>
              <w:spacing w:before="46" w:line="190" w:lineRule="auto"/>
              <w:rPr/>
            </w:pPr>
            <w:r>
              <w:rPr>
                <w:spacing w:val="-1"/>
              </w:rPr>
              <w:t>建设项目周边存在其他土壤环境敏感目标的</w:t>
            </w:r>
          </w:p>
        </w:tc>
      </w:tr>
      <w:tr>
        <w:trPr>
          <w:trHeight w:val="297" w:hRule="atLeast"/>
        </w:trPr>
        <w:tc>
          <w:tcPr>
            <w:tcW w:w="1894" w:type="dxa"/>
            <w:vAlign w:val="top"/>
            <w:tcBorders>
              <w:left w:val="nil"/>
              <w:bottom w:val="single" w:color="000000" w:sz="10" w:space="0"/>
            </w:tcBorders>
          </w:tcPr>
          <w:p>
            <w:pPr>
              <w:pStyle w:val="TableText"/>
              <w:ind w:left="649"/>
              <w:spacing w:before="49" w:line="209" w:lineRule="auto"/>
              <w:rPr/>
            </w:pPr>
            <w:r>
              <w:rPr>
                <w:spacing w:val="-2"/>
              </w:rPr>
              <w:t>不敏感</w:t>
            </w:r>
          </w:p>
        </w:tc>
        <w:tc>
          <w:tcPr>
            <w:tcW w:w="6841" w:type="dxa"/>
            <w:vAlign w:val="top"/>
            <w:tcBorders>
              <w:right w:val="nil"/>
              <w:bottom w:val="single" w:color="000000" w:sz="10" w:space="0"/>
            </w:tcBorders>
          </w:tcPr>
          <w:p>
            <w:pPr>
              <w:pStyle w:val="TableText"/>
              <w:ind w:left="114"/>
              <w:spacing w:before="49" w:line="209" w:lineRule="auto"/>
              <w:rPr/>
            </w:pPr>
            <w:r>
              <w:rPr>
                <w:spacing w:val="-2"/>
              </w:rPr>
              <w:t>其他情况</w:t>
            </w:r>
          </w:p>
        </w:tc>
      </w:tr>
    </w:tbl>
    <w:p>
      <w:pPr>
        <w:ind w:left="612"/>
        <w:spacing w:before="34" w:line="232" w:lineRule="auto"/>
        <w:rPr>
          <w:rFonts w:ascii="SimSun" w:hAnsi="SimSun" w:eastAsia="SimSun" w:cs="SimSun"/>
          <w:sz w:val="24"/>
          <w:szCs w:val="24"/>
        </w:rPr>
      </w:pPr>
      <w:r>
        <w:rPr>
          <w:rFonts w:ascii="SimSun" w:hAnsi="SimSun" w:eastAsia="SimSun" w:cs="SimSun"/>
          <w:sz w:val="24"/>
          <w:szCs w:val="24"/>
          <w:spacing w:val="-1"/>
        </w:rPr>
        <w:t>土壤环境影响评价工作等级划分依据详见表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2-23</w:t>
      </w:r>
      <w:r>
        <w:rPr>
          <w:rFonts w:ascii="SimSun" w:hAnsi="SimSun" w:eastAsia="SimSun" w:cs="SimSun"/>
          <w:sz w:val="24"/>
          <w:szCs w:val="24"/>
          <w:spacing w:val="-1"/>
        </w:rPr>
        <w:t>。</w:t>
      </w:r>
    </w:p>
    <w:p>
      <w:pPr>
        <w:ind w:left="2204"/>
        <w:spacing w:before="167"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2"/>
        </w:rPr>
        <w:t>2-23    </w:t>
      </w:r>
      <w:r>
        <w:rPr>
          <w:rFonts w:ascii="SimSun" w:hAnsi="SimSun" w:eastAsia="SimSun" w:cs="SimSun"/>
          <w:sz w:val="24"/>
          <w:szCs w:val="24"/>
          <w:b/>
          <w:bCs/>
          <w:spacing w:val="-2"/>
        </w:rPr>
        <w:t>污染影响型评价工作等级划分表</w:t>
      </w:r>
    </w:p>
    <w:p>
      <w:pPr>
        <w:spacing w:line="130" w:lineRule="exact"/>
        <w:rPr/>
      </w:pPr>
      <w:r/>
    </w:p>
    <w:tbl>
      <w:tblPr>
        <w:tblStyle w:val="TableNormal"/>
        <w:tblW w:w="873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75"/>
        <w:gridCol w:w="684"/>
        <w:gridCol w:w="684"/>
        <w:gridCol w:w="684"/>
        <w:gridCol w:w="684"/>
        <w:gridCol w:w="684"/>
        <w:gridCol w:w="684"/>
        <w:gridCol w:w="684"/>
        <w:gridCol w:w="684"/>
        <w:gridCol w:w="685"/>
      </w:tblGrid>
      <w:tr>
        <w:trPr>
          <w:trHeight w:val="281" w:hRule="atLeast"/>
        </w:trPr>
        <w:tc>
          <w:tcPr>
            <w:tcW w:w="2575" w:type="dxa"/>
            <w:vAlign w:val="top"/>
            <w:vMerge w:val="restart"/>
            <w:tcBorders>
              <w:left w:val="nil"/>
              <w:top w:val="single" w:color="000000" w:sz="10" w:space="0"/>
              <w:bottom w:val="nil"/>
            </w:tcBorders>
          </w:tcPr>
          <w:p>
            <w:pPr>
              <w:pStyle w:val="TableText"/>
              <w:ind w:left="126"/>
              <w:spacing w:before="36" w:line="219" w:lineRule="auto"/>
              <w:rPr/>
            </w:pPr>
            <w:r>
              <w:pict>
                <v:shape id="_x0000_s122" style="position:absolute;margin-left:0pt;margin-top:0.152486pt;mso-position-vertical-relative:text;mso-position-horizontal-relative:text;width:128.2pt;height:37.6pt;z-index:-251623424;" filled="false" strokecolor="#000000" strokeweight="0.75pt" coordsize="2563,751" coordorigin="0,0" path="m1263,7l2544,729m7,374l2556,743e">
                  <v:stroke endcap="round" miterlimit="10"/>
                </v:shape>
              </w:pict>
            </w:r>
            <w:r>
              <w:rPr>
                <w:b/>
                <w:bCs/>
                <w:spacing w:val="-6"/>
              </w:rPr>
              <w:t>评价工作等级</w:t>
            </w:r>
            <w:r>
              <w:rPr>
                <w:spacing w:val="24"/>
              </w:rPr>
              <w:t xml:space="preserve">  </w:t>
            </w:r>
            <w:r>
              <w:rPr>
                <w:b/>
                <w:bCs/>
                <w:spacing w:val="-6"/>
              </w:rPr>
              <w:t>占地规模</w:t>
            </w:r>
          </w:p>
          <w:p>
            <w:pPr>
              <w:pStyle w:val="TableText"/>
              <w:ind w:left="128"/>
              <w:spacing w:before="264" w:line="205" w:lineRule="auto"/>
              <w:rPr/>
            </w:pPr>
            <w:r>
              <w:rPr>
                <w:b/>
                <w:bCs/>
                <w:spacing w:val="-4"/>
              </w:rPr>
              <w:t>敏感程度</w:t>
            </w:r>
          </w:p>
        </w:tc>
        <w:tc>
          <w:tcPr>
            <w:tcW w:w="2052" w:type="dxa"/>
            <w:vAlign w:val="top"/>
            <w:gridSpan w:val="3"/>
            <w:tcBorders>
              <w:top w:val="single" w:color="000000" w:sz="10" w:space="0"/>
            </w:tcBorders>
          </w:tcPr>
          <w:p>
            <w:pPr>
              <w:pStyle w:val="TableText"/>
              <w:ind w:left="878"/>
              <w:spacing w:before="35" w:line="207" w:lineRule="auto"/>
              <w:rPr/>
            </w:pPr>
            <w:r>
              <w:rPr>
                <w:rFonts w:ascii="Times New Roman" w:hAnsi="Times New Roman" w:eastAsia="Times New Roman" w:cs="Times New Roman"/>
                <w:b/>
                <w:bCs/>
                <w:spacing w:val="-3"/>
              </w:rPr>
              <w:t>Ⅰ</w:t>
            </w:r>
            <w:r>
              <w:rPr>
                <w:b/>
                <w:bCs/>
                <w:spacing w:val="-3"/>
              </w:rPr>
              <w:t>类</w:t>
            </w:r>
          </w:p>
        </w:tc>
        <w:tc>
          <w:tcPr>
            <w:tcW w:w="2052" w:type="dxa"/>
            <w:vAlign w:val="top"/>
            <w:gridSpan w:val="3"/>
            <w:tcBorders>
              <w:top w:val="single" w:color="000000" w:sz="10" w:space="0"/>
            </w:tcBorders>
          </w:tcPr>
          <w:p>
            <w:pPr>
              <w:pStyle w:val="TableText"/>
              <w:ind w:left="840"/>
              <w:spacing w:before="35" w:line="207" w:lineRule="auto"/>
              <w:rPr/>
            </w:pPr>
            <w:r>
              <w:rPr>
                <w:rFonts w:ascii="Times New Roman" w:hAnsi="Times New Roman" w:eastAsia="Times New Roman" w:cs="Times New Roman"/>
                <w:b/>
                <w:bCs/>
                <w:spacing w:val="-3"/>
              </w:rPr>
              <w:t>Ⅱ</w:t>
            </w:r>
            <w:r>
              <w:rPr>
                <w:b/>
                <w:bCs/>
                <w:spacing w:val="-3"/>
              </w:rPr>
              <w:t>类</w:t>
            </w:r>
          </w:p>
        </w:tc>
        <w:tc>
          <w:tcPr>
            <w:tcW w:w="2053" w:type="dxa"/>
            <w:vAlign w:val="top"/>
            <w:gridSpan w:val="3"/>
            <w:tcBorders>
              <w:right w:val="nil"/>
              <w:top w:val="single" w:color="000000" w:sz="10" w:space="0"/>
            </w:tcBorders>
          </w:tcPr>
          <w:p>
            <w:pPr>
              <w:pStyle w:val="TableText"/>
              <w:ind w:left="802"/>
              <w:spacing w:before="35" w:line="207" w:lineRule="auto"/>
              <w:rPr/>
            </w:pPr>
            <w:r>
              <w:rPr>
                <w:rFonts w:ascii="Times New Roman" w:hAnsi="Times New Roman" w:eastAsia="Times New Roman" w:cs="Times New Roman"/>
                <w:b/>
                <w:bCs/>
                <w:spacing w:val="-3"/>
              </w:rPr>
              <w:t>Ⅲ</w:t>
            </w:r>
            <w:r>
              <w:rPr>
                <w:b/>
                <w:bCs/>
                <w:spacing w:val="-3"/>
              </w:rPr>
              <w:t>类</w:t>
            </w:r>
          </w:p>
        </w:tc>
      </w:tr>
      <w:tr>
        <w:trPr>
          <w:trHeight w:val="507" w:hRule="atLeast"/>
        </w:trPr>
        <w:tc>
          <w:tcPr>
            <w:tcW w:w="2575" w:type="dxa"/>
            <w:vAlign w:val="top"/>
            <w:vMerge w:val="continue"/>
            <w:tcBorders>
              <w:left w:val="nil"/>
              <w:top w:val="nil"/>
            </w:tcBorders>
          </w:tcPr>
          <w:p>
            <w:pPr>
              <w:rPr>
                <w:rFonts w:ascii="Arial"/>
                <w:sz w:val="21"/>
              </w:rPr>
            </w:pPr>
            <w:r/>
          </w:p>
        </w:tc>
        <w:tc>
          <w:tcPr>
            <w:tcW w:w="684" w:type="dxa"/>
            <w:vAlign w:val="top"/>
          </w:tcPr>
          <w:p>
            <w:pPr>
              <w:pStyle w:val="TableText"/>
              <w:ind w:left="241"/>
              <w:spacing w:before="148" w:line="221" w:lineRule="auto"/>
              <w:rPr/>
            </w:pPr>
            <w:r>
              <w:rPr>
                <w:b/>
                <w:bCs/>
                <w:spacing w:val="-3"/>
              </w:rPr>
              <w:t>大</w:t>
            </w:r>
          </w:p>
        </w:tc>
        <w:tc>
          <w:tcPr>
            <w:tcW w:w="684" w:type="dxa"/>
            <w:vAlign w:val="top"/>
          </w:tcPr>
          <w:p>
            <w:pPr>
              <w:pStyle w:val="TableText"/>
              <w:ind w:left="258"/>
              <w:spacing w:before="148" w:line="221" w:lineRule="auto"/>
              <w:rPr/>
            </w:pPr>
            <w:r>
              <w:rPr>
                <w:b/>
                <w:bCs/>
                <w:spacing w:val="-3"/>
              </w:rPr>
              <w:t>中</w:t>
            </w:r>
          </w:p>
        </w:tc>
        <w:tc>
          <w:tcPr>
            <w:tcW w:w="684" w:type="dxa"/>
            <w:vAlign w:val="top"/>
          </w:tcPr>
          <w:p>
            <w:pPr>
              <w:pStyle w:val="TableText"/>
              <w:ind w:left="244"/>
              <w:spacing w:before="148" w:line="223" w:lineRule="auto"/>
              <w:rPr/>
            </w:pPr>
            <w:r>
              <w:rPr>
                <w:b/>
                <w:bCs/>
                <w:spacing w:val="-3"/>
              </w:rPr>
              <w:t>小</w:t>
            </w:r>
          </w:p>
        </w:tc>
        <w:tc>
          <w:tcPr>
            <w:tcW w:w="684" w:type="dxa"/>
            <w:vAlign w:val="top"/>
          </w:tcPr>
          <w:p>
            <w:pPr>
              <w:pStyle w:val="TableText"/>
              <w:ind w:left="241"/>
              <w:spacing w:before="148" w:line="221" w:lineRule="auto"/>
              <w:rPr/>
            </w:pPr>
            <w:r>
              <w:rPr>
                <w:b/>
                <w:bCs/>
                <w:spacing w:val="-3"/>
              </w:rPr>
              <w:t>大</w:t>
            </w:r>
          </w:p>
        </w:tc>
        <w:tc>
          <w:tcPr>
            <w:tcW w:w="684" w:type="dxa"/>
            <w:vAlign w:val="top"/>
            <w:tcBorders>
              <w:right w:val="single" w:color="000000" w:sz="4" w:space="0"/>
            </w:tcBorders>
          </w:tcPr>
          <w:p>
            <w:pPr>
              <w:pStyle w:val="TableText"/>
              <w:ind w:left="259"/>
              <w:spacing w:before="148" w:line="221" w:lineRule="auto"/>
              <w:rPr/>
            </w:pPr>
            <w:r>
              <w:rPr>
                <w:b/>
                <w:bCs/>
                <w:spacing w:val="-3"/>
              </w:rPr>
              <w:t>中</w:t>
            </w:r>
          </w:p>
        </w:tc>
        <w:tc>
          <w:tcPr>
            <w:tcW w:w="684" w:type="dxa"/>
            <w:vAlign w:val="top"/>
            <w:tcBorders>
              <w:left w:val="single" w:color="000000" w:sz="4" w:space="0"/>
            </w:tcBorders>
          </w:tcPr>
          <w:p>
            <w:pPr>
              <w:pStyle w:val="TableText"/>
              <w:ind w:left="243"/>
              <w:spacing w:before="148" w:line="223" w:lineRule="auto"/>
              <w:rPr/>
            </w:pPr>
            <w:r>
              <w:rPr>
                <w:b/>
                <w:bCs/>
                <w:spacing w:val="-3"/>
              </w:rPr>
              <w:t>小</w:t>
            </w:r>
          </w:p>
        </w:tc>
        <w:tc>
          <w:tcPr>
            <w:tcW w:w="684" w:type="dxa"/>
            <w:vAlign w:val="top"/>
          </w:tcPr>
          <w:p>
            <w:pPr>
              <w:pStyle w:val="TableText"/>
              <w:ind w:left="242"/>
              <w:spacing w:before="148" w:line="221" w:lineRule="auto"/>
              <w:rPr/>
            </w:pPr>
            <w:r>
              <w:rPr>
                <w:b/>
                <w:bCs/>
                <w:spacing w:val="-3"/>
              </w:rPr>
              <w:t>大</w:t>
            </w:r>
          </w:p>
        </w:tc>
        <w:tc>
          <w:tcPr>
            <w:tcW w:w="684" w:type="dxa"/>
            <w:vAlign w:val="top"/>
          </w:tcPr>
          <w:p>
            <w:pPr>
              <w:pStyle w:val="TableText"/>
              <w:ind w:left="259"/>
              <w:spacing w:before="148" w:line="221" w:lineRule="auto"/>
              <w:rPr/>
            </w:pPr>
            <w:r>
              <w:rPr>
                <w:b/>
                <w:bCs/>
                <w:spacing w:val="-3"/>
              </w:rPr>
              <w:t>中</w:t>
            </w:r>
          </w:p>
        </w:tc>
        <w:tc>
          <w:tcPr>
            <w:tcW w:w="685" w:type="dxa"/>
            <w:vAlign w:val="top"/>
            <w:tcBorders>
              <w:right w:val="nil"/>
            </w:tcBorders>
          </w:tcPr>
          <w:p>
            <w:pPr>
              <w:pStyle w:val="TableText"/>
              <w:ind w:left="248"/>
              <w:spacing w:before="148" w:line="223" w:lineRule="auto"/>
              <w:rPr/>
            </w:pPr>
            <w:r>
              <w:rPr>
                <w:b/>
                <w:bCs/>
                <w:spacing w:val="-3"/>
              </w:rPr>
              <w:t>小</w:t>
            </w:r>
          </w:p>
        </w:tc>
      </w:tr>
      <w:tr>
        <w:trPr>
          <w:trHeight w:val="277" w:hRule="atLeast"/>
        </w:trPr>
        <w:tc>
          <w:tcPr>
            <w:tcW w:w="2575" w:type="dxa"/>
            <w:vAlign w:val="top"/>
            <w:tcBorders>
              <w:left w:val="nil"/>
            </w:tcBorders>
          </w:tcPr>
          <w:p>
            <w:pPr>
              <w:pStyle w:val="TableText"/>
              <w:ind w:left="1090"/>
              <w:spacing w:before="32" w:line="206" w:lineRule="auto"/>
              <w:rPr/>
            </w:pPr>
            <w:r>
              <w:rPr>
                <w:spacing w:val="-2"/>
              </w:rPr>
              <w:t>敏感</w:t>
            </w:r>
          </w:p>
        </w:tc>
        <w:tc>
          <w:tcPr>
            <w:tcW w:w="684" w:type="dxa"/>
            <w:vAlign w:val="top"/>
          </w:tcPr>
          <w:p>
            <w:pPr>
              <w:pStyle w:val="TableText"/>
              <w:ind w:left="139"/>
              <w:spacing w:before="32" w:line="206" w:lineRule="auto"/>
              <w:rPr/>
            </w:pPr>
            <w:r>
              <w:rPr>
                <w:spacing w:val="-5"/>
              </w:rPr>
              <w:t>一级</w:t>
            </w:r>
          </w:p>
        </w:tc>
        <w:tc>
          <w:tcPr>
            <w:tcW w:w="684" w:type="dxa"/>
            <w:vAlign w:val="top"/>
          </w:tcPr>
          <w:p>
            <w:pPr>
              <w:pStyle w:val="TableText"/>
              <w:ind w:left="139"/>
              <w:spacing w:before="32" w:line="206" w:lineRule="auto"/>
              <w:rPr/>
            </w:pPr>
            <w:r>
              <w:rPr>
                <w:spacing w:val="-5"/>
              </w:rPr>
              <w:t>一级</w:t>
            </w:r>
          </w:p>
        </w:tc>
        <w:tc>
          <w:tcPr>
            <w:tcW w:w="684" w:type="dxa"/>
            <w:vAlign w:val="top"/>
          </w:tcPr>
          <w:p>
            <w:pPr>
              <w:pStyle w:val="TableText"/>
              <w:ind w:left="139"/>
              <w:spacing w:before="32" w:line="206" w:lineRule="auto"/>
              <w:rPr/>
            </w:pPr>
            <w:r>
              <w:rPr>
                <w:spacing w:val="-5"/>
              </w:rPr>
              <w:t>一级</w:t>
            </w:r>
          </w:p>
        </w:tc>
        <w:tc>
          <w:tcPr>
            <w:tcW w:w="684" w:type="dxa"/>
            <w:vAlign w:val="top"/>
          </w:tcPr>
          <w:p>
            <w:pPr>
              <w:pStyle w:val="TableText"/>
              <w:ind w:left="139"/>
              <w:spacing w:before="32" w:line="206" w:lineRule="auto"/>
              <w:rPr/>
            </w:pPr>
            <w:r>
              <w:rPr>
                <w:spacing w:val="-3"/>
              </w:rPr>
              <w:t>二级</w:t>
            </w:r>
          </w:p>
        </w:tc>
        <w:tc>
          <w:tcPr>
            <w:tcW w:w="684" w:type="dxa"/>
            <w:vAlign w:val="top"/>
            <w:tcBorders>
              <w:right w:val="single" w:color="000000" w:sz="4" w:space="0"/>
            </w:tcBorders>
          </w:tcPr>
          <w:p>
            <w:pPr>
              <w:pStyle w:val="TableText"/>
              <w:ind w:left="139"/>
              <w:spacing w:before="32" w:line="206" w:lineRule="auto"/>
              <w:rPr/>
            </w:pPr>
            <w:r>
              <w:rPr>
                <w:spacing w:val="-3"/>
              </w:rPr>
              <w:t>二级</w:t>
            </w:r>
          </w:p>
        </w:tc>
        <w:tc>
          <w:tcPr>
            <w:tcW w:w="684" w:type="dxa"/>
            <w:vAlign w:val="top"/>
            <w:tcBorders>
              <w:left w:val="single" w:color="000000" w:sz="4" w:space="0"/>
            </w:tcBorders>
          </w:tcPr>
          <w:p>
            <w:pPr>
              <w:pStyle w:val="TableText"/>
              <w:ind w:left="137"/>
              <w:spacing w:before="32" w:line="206" w:lineRule="auto"/>
              <w:rPr/>
            </w:pPr>
            <w:r>
              <w:rPr>
                <w:spacing w:val="-3"/>
              </w:rPr>
              <w:t>二级</w:t>
            </w:r>
          </w:p>
        </w:tc>
        <w:tc>
          <w:tcPr>
            <w:tcW w:w="684" w:type="dxa"/>
            <w:vAlign w:val="top"/>
          </w:tcPr>
          <w:p>
            <w:pPr>
              <w:pStyle w:val="TableText"/>
              <w:ind w:left="136"/>
              <w:spacing w:before="32" w:line="206" w:lineRule="auto"/>
              <w:rPr/>
            </w:pPr>
            <w:r>
              <w:rPr>
                <w:spacing w:val="-2"/>
              </w:rPr>
              <w:t>三级</w:t>
            </w:r>
          </w:p>
        </w:tc>
        <w:tc>
          <w:tcPr>
            <w:tcW w:w="684" w:type="dxa"/>
            <w:vAlign w:val="top"/>
          </w:tcPr>
          <w:p>
            <w:pPr>
              <w:pStyle w:val="TableText"/>
              <w:ind w:left="136"/>
              <w:spacing w:before="32" w:line="206" w:lineRule="auto"/>
              <w:rPr/>
            </w:pPr>
            <w:r>
              <w:rPr>
                <w:spacing w:val="-2"/>
              </w:rPr>
              <w:t>三级</w:t>
            </w:r>
          </w:p>
        </w:tc>
        <w:tc>
          <w:tcPr>
            <w:tcW w:w="685" w:type="dxa"/>
            <w:vAlign w:val="top"/>
            <w:tcBorders>
              <w:right w:val="nil"/>
            </w:tcBorders>
          </w:tcPr>
          <w:p>
            <w:pPr>
              <w:pStyle w:val="TableText"/>
              <w:ind w:left="137"/>
              <w:spacing w:before="32" w:line="206" w:lineRule="auto"/>
              <w:rPr/>
            </w:pPr>
            <w:r>
              <w:rPr>
                <w:spacing w:val="-2"/>
              </w:rPr>
              <w:t>三级</w:t>
            </w:r>
          </w:p>
        </w:tc>
      </w:tr>
      <w:tr>
        <w:trPr>
          <w:trHeight w:val="277" w:hRule="atLeast"/>
        </w:trPr>
        <w:tc>
          <w:tcPr>
            <w:tcW w:w="2575" w:type="dxa"/>
            <w:vAlign w:val="top"/>
            <w:tcBorders>
              <w:left w:val="nil"/>
            </w:tcBorders>
          </w:tcPr>
          <w:p>
            <w:pPr>
              <w:pStyle w:val="TableText"/>
              <w:ind w:left="984"/>
              <w:spacing w:before="33" w:line="205" w:lineRule="auto"/>
              <w:rPr/>
            </w:pPr>
            <w:r>
              <w:rPr>
                <w:spacing w:val="-2"/>
              </w:rPr>
              <w:t>较敏感</w:t>
            </w:r>
          </w:p>
        </w:tc>
        <w:tc>
          <w:tcPr>
            <w:tcW w:w="684" w:type="dxa"/>
            <w:vAlign w:val="top"/>
          </w:tcPr>
          <w:p>
            <w:pPr>
              <w:pStyle w:val="TableText"/>
              <w:ind w:left="139"/>
              <w:spacing w:before="33" w:line="205" w:lineRule="auto"/>
              <w:rPr/>
            </w:pPr>
            <w:r>
              <w:rPr>
                <w:spacing w:val="-5"/>
              </w:rPr>
              <w:t>一级</w:t>
            </w:r>
          </w:p>
        </w:tc>
        <w:tc>
          <w:tcPr>
            <w:tcW w:w="684" w:type="dxa"/>
            <w:vAlign w:val="top"/>
          </w:tcPr>
          <w:p>
            <w:pPr>
              <w:pStyle w:val="TableText"/>
              <w:ind w:left="139"/>
              <w:spacing w:before="33" w:line="205" w:lineRule="auto"/>
              <w:rPr/>
            </w:pPr>
            <w:r>
              <w:rPr>
                <w:spacing w:val="-5"/>
              </w:rPr>
              <w:t>一级</w:t>
            </w:r>
          </w:p>
        </w:tc>
        <w:tc>
          <w:tcPr>
            <w:tcW w:w="684" w:type="dxa"/>
            <w:vAlign w:val="top"/>
          </w:tcPr>
          <w:p>
            <w:pPr>
              <w:pStyle w:val="TableText"/>
              <w:ind w:left="139"/>
              <w:spacing w:before="33" w:line="205" w:lineRule="auto"/>
              <w:rPr/>
            </w:pPr>
            <w:r>
              <w:rPr>
                <w:spacing w:val="-3"/>
              </w:rPr>
              <w:t>二级</w:t>
            </w:r>
          </w:p>
        </w:tc>
        <w:tc>
          <w:tcPr>
            <w:tcW w:w="684" w:type="dxa"/>
            <w:vAlign w:val="top"/>
          </w:tcPr>
          <w:p>
            <w:pPr>
              <w:pStyle w:val="TableText"/>
              <w:ind w:left="139"/>
              <w:spacing w:before="33" w:line="205" w:lineRule="auto"/>
              <w:rPr/>
            </w:pPr>
            <w:r>
              <w:rPr>
                <w:spacing w:val="-3"/>
              </w:rPr>
              <w:t>二级</w:t>
            </w:r>
          </w:p>
        </w:tc>
        <w:tc>
          <w:tcPr>
            <w:tcW w:w="684" w:type="dxa"/>
            <w:vAlign w:val="top"/>
            <w:tcBorders>
              <w:right w:val="single" w:color="000000" w:sz="4" w:space="0"/>
            </w:tcBorders>
          </w:tcPr>
          <w:p>
            <w:pPr>
              <w:pStyle w:val="TableText"/>
              <w:ind w:left="139"/>
              <w:spacing w:before="33" w:line="205" w:lineRule="auto"/>
              <w:rPr/>
            </w:pPr>
            <w:r>
              <w:rPr>
                <w:spacing w:val="-3"/>
              </w:rPr>
              <w:t>二级</w:t>
            </w:r>
          </w:p>
        </w:tc>
        <w:tc>
          <w:tcPr>
            <w:tcW w:w="684" w:type="dxa"/>
            <w:vAlign w:val="top"/>
            <w:tcBorders>
              <w:left w:val="single" w:color="000000" w:sz="4" w:space="0"/>
            </w:tcBorders>
          </w:tcPr>
          <w:p>
            <w:pPr>
              <w:pStyle w:val="TableText"/>
              <w:ind w:left="134"/>
              <w:spacing w:before="33" w:line="205" w:lineRule="auto"/>
              <w:rPr/>
            </w:pPr>
            <w:r>
              <w:rPr>
                <w:spacing w:val="-2"/>
              </w:rPr>
              <w:t>三级</w:t>
            </w:r>
          </w:p>
        </w:tc>
        <w:tc>
          <w:tcPr>
            <w:tcW w:w="684" w:type="dxa"/>
            <w:vAlign w:val="top"/>
          </w:tcPr>
          <w:p>
            <w:pPr>
              <w:pStyle w:val="TableText"/>
              <w:ind w:left="136"/>
              <w:spacing w:before="33" w:line="205" w:lineRule="auto"/>
              <w:rPr/>
            </w:pPr>
            <w:r>
              <w:rPr>
                <w:spacing w:val="-2"/>
              </w:rPr>
              <w:t>三级</w:t>
            </w:r>
          </w:p>
        </w:tc>
        <w:tc>
          <w:tcPr>
            <w:tcW w:w="684" w:type="dxa"/>
            <w:vAlign w:val="top"/>
          </w:tcPr>
          <w:p>
            <w:pPr>
              <w:pStyle w:val="TableText"/>
              <w:ind w:left="136"/>
              <w:spacing w:before="33" w:line="205" w:lineRule="auto"/>
              <w:rPr/>
            </w:pPr>
            <w:r>
              <w:rPr>
                <w:spacing w:val="-2"/>
              </w:rPr>
              <w:t>三级</w:t>
            </w:r>
          </w:p>
        </w:tc>
        <w:tc>
          <w:tcPr>
            <w:tcW w:w="685" w:type="dxa"/>
            <w:vAlign w:val="top"/>
            <w:tcBorders>
              <w:right w:val="nil"/>
            </w:tcBorders>
          </w:tcPr>
          <w:p>
            <w:pPr>
              <w:ind w:left="312"/>
              <w:spacing w:before="15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r>
        <w:trPr>
          <w:trHeight w:val="280" w:hRule="atLeast"/>
        </w:trPr>
        <w:tc>
          <w:tcPr>
            <w:tcW w:w="2575" w:type="dxa"/>
            <w:vAlign w:val="top"/>
            <w:tcBorders>
              <w:left w:val="nil"/>
            </w:tcBorders>
          </w:tcPr>
          <w:p>
            <w:pPr>
              <w:pStyle w:val="TableText"/>
              <w:ind w:left="987"/>
              <w:spacing w:before="34" w:line="207" w:lineRule="auto"/>
              <w:rPr/>
            </w:pPr>
            <w:r>
              <w:rPr>
                <w:spacing w:val="-2"/>
              </w:rPr>
              <w:t>不敏感</w:t>
            </w:r>
          </w:p>
        </w:tc>
        <w:tc>
          <w:tcPr>
            <w:tcW w:w="684" w:type="dxa"/>
            <w:vAlign w:val="top"/>
          </w:tcPr>
          <w:p>
            <w:pPr>
              <w:pStyle w:val="TableText"/>
              <w:ind w:left="139"/>
              <w:spacing w:before="34" w:line="207" w:lineRule="auto"/>
              <w:rPr/>
            </w:pPr>
            <w:r>
              <w:rPr>
                <w:spacing w:val="-5"/>
              </w:rPr>
              <w:t>一级</w:t>
            </w:r>
          </w:p>
        </w:tc>
        <w:tc>
          <w:tcPr>
            <w:tcW w:w="684" w:type="dxa"/>
            <w:vAlign w:val="top"/>
          </w:tcPr>
          <w:p>
            <w:pPr>
              <w:pStyle w:val="TableText"/>
              <w:ind w:left="139"/>
              <w:spacing w:before="34" w:line="207" w:lineRule="auto"/>
              <w:rPr/>
            </w:pPr>
            <w:r>
              <w:rPr>
                <w:spacing w:val="-3"/>
              </w:rPr>
              <w:t>二级</w:t>
            </w:r>
          </w:p>
        </w:tc>
        <w:tc>
          <w:tcPr>
            <w:tcW w:w="684" w:type="dxa"/>
            <w:vAlign w:val="top"/>
          </w:tcPr>
          <w:p>
            <w:pPr>
              <w:pStyle w:val="TableText"/>
              <w:ind w:left="139"/>
              <w:spacing w:before="34" w:line="207" w:lineRule="auto"/>
              <w:rPr/>
            </w:pPr>
            <w:r>
              <w:rPr>
                <w:spacing w:val="-3"/>
              </w:rPr>
              <w:t>二级</w:t>
            </w:r>
          </w:p>
        </w:tc>
        <w:tc>
          <w:tcPr>
            <w:tcW w:w="684" w:type="dxa"/>
            <w:vAlign w:val="top"/>
          </w:tcPr>
          <w:p>
            <w:pPr>
              <w:pStyle w:val="TableText"/>
              <w:ind w:left="139"/>
              <w:spacing w:before="34" w:line="207" w:lineRule="auto"/>
              <w:rPr/>
            </w:pPr>
            <w:r>
              <w:rPr>
                <w:spacing w:val="-3"/>
              </w:rPr>
              <w:t>二级</w:t>
            </w:r>
          </w:p>
        </w:tc>
        <w:tc>
          <w:tcPr>
            <w:tcW w:w="684" w:type="dxa"/>
            <w:vAlign w:val="top"/>
            <w:tcBorders>
              <w:right w:val="single" w:color="000000" w:sz="4" w:space="0"/>
            </w:tcBorders>
          </w:tcPr>
          <w:p>
            <w:pPr>
              <w:pStyle w:val="TableText"/>
              <w:ind w:left="136"/>
              <w:spacing w:before="34" w:line="207" w:lineRule="auto"/>
              <w:rPr/>
            </w:pPr>
            <w:r>
              <w:rPr>
                <w:spacing w:val="-2"/>
              </w:rPr>
              <w:t>三级</w:t>
            </w:r>
          </w:p>
        </w:tc>
        <w:tc>
          <w:tcPr>
            <w:tcW w:w="684" w:type="dxa"/>
            <w:vAlign w:val="top"/>
            <w:tcBorders>
              <w:left w:val="single" w:color="000000" w:sz="4" w:space="0"/>
            </w:tcBorders>
          </w:tcPr>
          <w:p>
            <w:pPr>
              <w:pStyle w:val="TableText"/>
              <w:ind w:left="134"/>
              <w:spacing w:before="34" w:line="207" w:lineRule="auto"/>
              <w:rPr/>
            </w:pPr>
            <w:r>
              <w:rPr>
                <w:spacing w:val="-2"/>
              </w:rPr>
              <w:t>三级</w:t>
            </w:r>
          </w:p>
        </w:tc>
        <w:tc>
          <w:tcPr>
            <w:tcW w:w="684" w:type="dxa"/>
            <w:vAlign w:val="top"/>
          </w:tcPr>
          <w:p>
            <w:pPr>
              <w:pStyle w:val="TableText"/>
              <w:ind w:left="136"/>
              <w:spacing w:before="34" w:line="207" w:lineRule="auto"/>
              <w:rPr/>
            </w:pPr>
            <w:r>
              <w:rPr>
                <w:spacing w:val="-2"/>
              </w:rPr>
              <w:t>三级</w:t>
            </w:r>
          </w:p>
        </w:tc>
        <w:tc>
          <w:tcPr>
            <w:tcW w:w="684" w:type="dxa"/>
            <w:vAlign w:val="top"/>
          </w:tcPr>
          <w:p>
            <w:pPr>
              <w:ind w:left="312"/>
              <w:spacing w:before="153"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685" w:type="dxa"/>
            <w:vAlign w:val="top"/>
            <w:tcBorders>
              <w:right w:val="nil"/>
            </w:tcBorders>
          </w:tcPr>
          <w:p>
            <w:pPr>
              <w:ind w:left="312"/>
              <w:spacing w:before="153"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r>
    </w:tbl>
    <w:p>
      <w:pPr>
        <w:ind w:left="130"/>
        <w:spacing w:before="30" w:line="214"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w:t>
      </w:r>
      <w:r>
        <w:rPr>
          <w:rFonts w:ascii="SimSun" w:hAnsi="SimSun" w:eastAsia="SimSun" w:cs="SimSun"/>
          <w:sz w:val="21"/>
          <w:szCs w:val="21"/>
          <w:spacing w:val="-1"/>
        </w:rPr>
        <w:t>表示可不开展土壤环境影响评价工作。</w:t>
      </w:r>
    </w:p>
    <w:p>
      <w:pPr>
        <w:spacing w:line="29" w:lineRule="exact"/>
        <w:rPr/>
      </w:pPr>
      <w:r>
        <w:pict>
          <v:shape id="_x0000_s124" style="position:absolute;margin-left:6.36601pt;margin-top:38.35pt;mso-position-vertical-relative:text;mso-position-horizontal-relative:text;width:425.7pt;height:0.6pt;z-index:251694080;" filled="false" strokecolor="#808080" strokeweight="0.50pt" coordsize="8514,12" coordorigin="0,0" path="m5,5l8508,6e">
            <v:stroke endcap="round" miterlimit="10"/>
          </v:shape>
        </w:pict>
      </w:r>
      <w:r>
        <w:rPr/>
        <w:pict>
          <v:shape id="_x0000_s126" style="mso-position-vertical-relative:line;mso-position-horizontal-relative:char;width:436.8pt;height:1.45pt;" fillcolor="#000000" filled="true" stroked="false" coordsize="8735,29" coordorigin="0,0" path="m0,28l8735,28l8735,0l0,0l0,28xe"/>
        </w:pict>
      </w:r>
    </w:p>
    <w:p>
      <w:pPr>
        <w:spacing w:line="29" w:lineRule="exact"/>
        <w:sectPr>
          <w:headerReference w:type="default" r:id="rId21"/>
          <w:footerReference w:type="default" r:id="rId62"/>
          <w:pgSz w:w="11907" w:h="16839"/>
          <w:pgMar w:top="1422" w:right="1591" w:bottom="1618" w:left="1579" w:header="1033" w:footer="1417" w:gutter="0"/>
        </w:sectPr>
        <w:rPr/>
      </w:pPr>
    </w:p>
    <w:p>
      <w:pPr>
        <w:ind w:left="57" w:right="26" w:firstLine="461"/>
        <w:spacing w:before="299" w:line="354" w:lineRule="auto"/>
        <w:jc w:val="both"/>
        <w:rPr>
          <w:rFonts w:ascii="SimSun" w:hAnsi="SimSun" w:eastAsia="SimSun" w:cs="SimSun"/>
          <w:sz w:val="24"/>
          <w:szCs w:val="24"/>
        </w:rPr>
      </w:pPr>
      <w:r>
        <w:rPr>
          <w:rFonts w:ascii="SimSun" w:hAnsi="SimSun" w:eastAsia="SimSun" w:cs="SimSun"/>
          <w:sz w:val="24"/>
          <w:szCs w:val="24"/>
          <w:spacing w:val="-3"/>
        </w:rPr>
        <w:t>本项目占地面积为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66300m</w:t>
      </w:r>
      <w:r>
        <w:rPr>
          <w:rFonts w:ascii="Times New Roman" w:hAnsi="Times New Roman" w:eastAsia="Times New Roman" w:cs="Times New Roman"/>
          <w:sz w:val="16"/>
          <w:szCs w:val="16"/>
          <w:spacing w:val="-3"/>
          <w:position w:val="10"/>
        </w:rPr>
        <w:t>2</w:t>
      </w:r>
      <w:r>
        <w:rPr>
          <w:rFonts w:ascii="SimSun" w:hAnsi="SimSun" w:eastAsia="SimSun" w:cs="SimSun"/>
          <w:sz w:val="24"/>
          <w:szCs w:val="24"/>
          <w:spacing w:val="-3"/>
        </w:rPr>
        <w:t>（</w:t>
      </w:r>
      <w:r>
        <w:rPr>
          <w:rFonts w:ascii="Times New Roman" w:hAnsi="Times New Roman" w:eastAsia="Times New Roman" w:cs="Times New Roman"/>
          <w:sz w:val="24"/>
          <w:szCs w:val="24"/>
          <w:spacing w:val="-3"/>
        </w:rPr>
        <w:t>6.63hm</w:t>
      </w:r>
      <w:r>
        <w:rPr>
          <w:rFonts w:ascii="Times New Roman" w:hAnsi="Times New Roman" w:eastAsia="Times New Roman" w:cs="Times New Roman"/>
          <w:sz w:val="16"/>
          <w:szCs w:val="16"/>
          <w:spacing w:val="-3"/>
          <w:position w:val="10"/>
        </w:rPr>
        <w:t>2 </w:t>
      </w:r>
      <w:r>
        <w:rPr>
          <w:rFonts w:ascii="SimSun" w:hAnsi="SimSun" w:eastAsia="SimSun" w:cs="SimSun"/>
          <w:sz w:val="24"/>
          <w:szCs w:val="24"/>
          <w:spacing w:val="-20"/>
        </w:rPr>
        <w:t>），</w:t>
      </w:r>
      <w:r>
        <w:rPr>
          <w:rFonts w:ascii="SimSun" w:hAnsi="SimSun" w:eastAsia="SimSun" w:cs="SimSun"/>
          <w:sz w:val="24"/>
          <w:szCs w:val="24"/>
          <w:spacing w:val="-3"/>
        </w:rPr>
        <w:t>占地规模属于中型（</w:t>
      </w:r>
      <w:r>
        <w:rPr>
          <w:rFonts w:ascii="Times New Roman" w:hAnsi="Times New Roman" w:eastAsia="Times New Roman" w:cs="Times New Roman"/>
          <w:sz w:val="24"/>
          <w:szCs w:val="24"/>
          <w:spacing w:val="-3"/>
        </w:rPr>
        <w:t>5~50hm</w:t>
      </w:r>
      <w:r>
        <w:rPr>
          <w:rFonts w:ascii="Times New Roman" w:hAnsi="Times New Roman" w:eastAsia="Times New Roman" w:cs="Times New Roman"/>
          <w:sz w:val="16"/>
          <w:szCs w:val="16"/>
          <w:spacing w:val="-3"/>
          <w:position w:val="10"/>
        </w:rPr>
        <w:t>2 </w:t>
      </w:r>
      <w:r>
        <w:rPr>
          <w:rFonts w:ascii="SimSun" w:hAnsi="SimSun" w:eastAsia="SimSun" w:cs="SimSun"/>
          <w:sz w:val="24"/>
          <w:szCs w:val="24"/>
          <w:spacing w:val="-20"/>
        </w:rPr>
        <w:t>），</w:t>
      </w:r>
      <w:r>
        <w:rPr>
          <w:rFonts w:ascii="SimSun" w:hAnsi="SimSun" w:eastAsia="SimSun" w:cs="SimSun"/>
          <w:sz w:val="24"/>
          <w:szCs w:val="24"/>
          <w:spacing w:val="-3"/>
        </w:rPr>
        <w:t>项</w:t>
      </w:r>
      <w:r>
        <w:rPr>
          <w:rFonts w:ascii="SimSun" w:hAnsi="SimSun" w:eastAsia="SimSun" w:cs="SimSun"/>
          <w:sz w:val="24"/>
          <w:szCs w:val="24"/>
          <w:spacing w:val="-2"/>
        </w:rPr>
        <w:t>目相邻即为牧草地，故属于敏感区，根据附录</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A</w:t>
      </w:r>
      <w:r>
        <w:rPr>
          <w:rFonts w:ascii="SimSun" w:hAnsi="SimSun" w:eastAsia="SimSun" w:cs="SimSun"/>
          <w:sz w:val="24"/>
          <w:szCs w:val="24"/>
          <w:spacing w:val="-2"/>
        </w:rPr>
        <w:t>，本项目为年出栏育肥牛</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1200 </w:t>
      </w:r>
      <w:r>
        <w:rPr>
          <w:rFonts w:ascii="SimSun" w:hAnsi="SimSun" w:eastAsia="SimSun" w:cs="SimSun"/>
          <w:sz w:val="24"/>
          <w:szCs w:val="24"/>
          <w:spacing w:val="-2"/>
        </w:rPr>
        <w:t>头</w:t>
      </w:r>
      <w:r>
        <w:rPr>
          <w:rFonts w:ascii="SimSun" w:hAnsi="SimSun" w:eastAsia="SimSun" w:cs="SimSun"/>
          <w:sz w:val="24"/>
          <w:szCs w:val="24"/>
          <w:spacing w:val="-2"/>
        </w:rPr>
        <w:t>的养殖项目，为</w:t>
      </w:r>
      <w:r>
        <w:rPr>
          <w:rFonts w:ascii="Times New Roman" w:hAnsi="Times New Roman" w:eastAsia="Times New Roman" w:cs="Times New Roman"/>
          <w:sz w:val="24"/>
          <w:szCs w:val="24"/>
          <w:spacing w:val="-2"/>
        </w:rPr>
        <w:t>Ⅲ</w:t>
      </w:r>
      <w:r>
        <w:rPr>
          <w:rFonts w:ascii="SimSun" w:hAnsi="SimSun" w:eastAsia="SimSun" w:cs="SimSun"/>
          <w:sz w:val="24"/>
          <w:szCs w:val="24"/>
          <w:spacing w:val="-2"/>
        </w:rPr>
        <w:t>类项目，综上，确定项目土壤环境评价等级为三级。</w:t>
      </w:r>
    </w:p>
    <w:p>
      <w:pPr>
        <w:ind w:left="524"/>
        <w:spacing w:before="25"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）环境风险</w:t>
      </w:r>
    </w:p>
    <w:p>
      <w:pPr>
        <w:ind w:left="39" w:right="29" w:firstLine="481"/>
        <w:spacing w:before="164" w:line="359" w:lineRule="auto"/>
        <w:rPr>
          <w:rFonts w:ascii="SimSun" w:hAnsi="SimSun" w:eastAsia="SimSun" w:cs="SimSun"/>
          <w:sz w:val="24"/>
          <w:szCs w:val="24"/>
        </w:rPr>
      </w:pPr>
      <w:r>
        <w:rPr>
          <w:rFonts w:ascii="SimSun" w:hAnsi="SimSun" w:eastAsia="SimSun" w:cs="SimSun"/>
          <w:sz w:val="24"/>
          <w:szCs w:val="24"/>
          <w:spacing w:val="-1"/>
        </w:rPr>
        <w:t>根据《建设项目环境风险评价技术导则》（</w:t>
      </w:r>
      <w:r>
        <w:rPr>
          <w:rFonts w:ascii="Times New Roman" w:hAnsi="Times New Roman" w:eastAsia="Times New Roman" w:cs="Times New Roman"/>
          <w:sz w:val="24"/>
          <w:szCs w:val="24"/>
          <w:spacing w:val="-1"/>
        </w:rPr>
        <w:t>HJ169-2018</w:t>
      </w:r>
      <w:r>
        <w:rPr>
          <w:rFonts w:ascii="SimSun" w:hAnsi="SimSun" w:eastAsia="SimSun" w:cs="SimSun"/>
          <w:sz w:val="24"/>
          <w:szCs w:val="24"/>
          <w:spacing w:val="-1"/>
        </w:rPr>
        <w:t>）附录 </w:t>
      </w:r>
      <w:r>
        <w:rPr>
          <w:rFonts w:ascii="Times New Roman" w:hAnsi="Times New Roman" w:eastAsia="Times New Roman" w:cs="Times New Roman"/>
          <w:sz w:val="24"/>
          <w:szCs w:val="24"/>
          <w:spacing w:val="-1"/>
        </w:rPr>
        <w:t>C</w:t>
      </w:r>
      <w:r>
        <w:rPr>
          <w:rFonts w:ascii="Times New Roman" w:hAnsi="Times New Roman" w:eastAsia="Times New Roman" w:cs="Times New Roman"/>
          <w:sz w:val="24"/>
          <w:szCs w:val="24"/>
          <w:spacing w:val="48"/>
        </w:rPr>
        <w:t xml:space="preserve"> </w:t>
      </w:r>
      <w:r>
        <w:rPr>
          <w:rFonts w:ascii="SimSun" w:hAnsi="SimSun" w:eastAsia="SimSun" w:cs="SimSun"/>
          <w:sz w:val="24"/>
          <w:szCs w:val="24"/>
          <w:spacing w:val="-1"/>
        </w:rPr>
        <w:t>及</w:t>
      </w:r>
      <w:r>
        <w:rPr>
          <w:rFonts w:ascii="SimSun" w:hAnsi="SimSun" w:eastAsia="SimSun" w:cs="SimSun"/>
          <w:sz w:val="24"/>
          <w:szCs w:val="24"/>
          <w:spacing w:val="-2"/>
        </w:rPr>
        <w:t>本项目主</w:t>
      </w:r>
      <w:r>
        <w:rPr>
          <w:rFonts w:ascii="SimSun" w:hAnsi="SimSun" w:eastAsia="SimSun" w:cs="SimSun"/>
          <w:sz w:val="24"/>
          <w:szCs w:val="24"/>
          <w:spacing w:val="-2"/>
        </w:rPr>
        <w:t>要原辅材料消耗及产品情况，本项目不涉及风险物</w:t>
      </w:r>
      <w:r>
        <w:rPr>
          <w:rFonts w:ascii="SimSun" w:hAnsi="SimSun" w:eastAsia="SimSun" w:cs="SimSun"/>
          <w:sz w:val="24"/>
          <w:szCs w:val="24"/>
          <w:spacing w:val="-3"/>
        </w:rPr>
        <w:t>质，</w:t>
      </w:r>
      <w:r>
        <w:rPr>
          <w:rFonts w:ascii="Times New Roman" w:hAnsi="Times New Roman" w:eastAsia="Times New Roman" w:cs="Times New Roman"/>
          <w:sz w:val="24"/>
          <w:szCs w:val="24"/>
          <w:spacing w:val="-3"/>
        </w:rPr>
        <w:t>Q </w:t>
      </w:r>
      <w:r>
        <w:rPr>
          <w:rFonts w:ascii="SimSun" w:hAnsi="SimSun" w:eastAsia="SimSun" w:cs="SimSun"/>
          <w:sz w:val="24"/>
          <w:szCs w:val="24"/>
          <w:spacing w:val="-3"/>
        </w:rPr>
        <w:t>值为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0</w:t>
      </w:r>
      <w:r>
        <w:rPr>
          <w:rFonts w:ascii="SimSun" w:hAnsi="SimSun" w:eastAsia="SimSun" w:cs="SimSun"/>
          <w:sz w:val="24"/>
          <w:szCs w:val="24"/>
          <w:spacing w:val="-3"/>
        </w:rPr>
        <w:t>，故项目风险潜势</w:t>
      </w:r>
      <w:r>
        <w:rPr>
          <w:rFonts w:ascii="SimSun" w:hAnsi="SimSun" w:eastAsia="SimSun" w:cs="SimSun"/>
          <w:sz w:val="24"/>
          <w:szCs w:val="24"/>
          <w:spacing w:val="-4"/>
        </w:rPr>
        <w:t>为</w:t>
      </w:r>
      <w:r>
        <w:rPr>
          <w:rFonts w:ascii="SimSun" w:hAnsi="SimSun" w:eastAsia="SimSun" w:cs="SimSun"/>
          <w:sz w:val="24"/>
          <w:szCs w:val="24"/>
          <w:spacing w:val="-20"/>
        </w:rPr>
        <w:t xml:space="preserve"> </w:t>
      </w:r>
      <w:r>
        <w:rPr>
          <w:rFonts w:ascii="SimSun" w:hAnsi="SimSun" w:eastAsia="SimSun" w:cs="SimSun"/>
          <w:sz w:val="24"/>
          <w:szCs w:val="24"/>
          <w:spacing w:val="-4"/>
        </w:rPr>
        <w:t>Ⅰ级，本项目不需设置评价等级，仅需进行简单分析即可（具体详见</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4"/>
        </w:rPr>
        <w:t>4.4</w:t>
      </w:r>
      <w:r>
        <w:rPr>
          <w:rFonts w:ascii="SimSun" w:hAnsi="SimSun" w:eastAsia="SimSun" w:cs="SimSun"/>
          <w:sz w:val="24"/>
          <w:szCs w:val="24"/>
          <w:spacing w:val="-4"/>
        </w:rPr>
        <w:t>）。</w:t>
      </w:r>
    </w:p>
    <w:p>
      <w:pPr>
        <w:ind w:left="34"/>
        <w:spacing w:before="260"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2.7.2 </w:t>
      </w:r>
      <w:r>
        <w:rPr>
          <w:rFonts w:ascii="SimSun" w:hAnsi="SimSun" w:eastAsia="SimSun" w:cs="SimSun"/>
          <w:sz w:val="24"/>
          <w:szCs w:val="24"/>
          <w:b/>
          <w:bCs/>
          <w:spacing w:val="-2"/>
        </w:rPr>
        <w:t>评价范围</w:t>
      </w:r>
    </w:p>
    <w:p>
      <w:pPr>
        <w:pStyle w:val="BodyText"/>
        <w:spacing w:line="346" w:lineRule="auto"/>
        <w:rPr/>
      </w:pPr>
      <w:r/>
    </w:p>
    <w:p>
      <w:pPr>
        <w:ind w:left="524"/>
        <w:spacing w:before="78"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）地表水</w:t>
      </w:r>
    </w:p>
    <w:p>
      <w:pPr>
        <w:ind w:left="37" w:right="28" w:firstLine="480"/>
        <w:spacing w:before="162" w:line="351" w:lineRule="auto"/>
        <w:rPr>
          <w:rFonts w:ascii="SimSun" w:hAnsi="SimSun" w:eastAsia="SimSun" w:cs="SimSun"/>
          <w:sz w:val="24"/>
          <w:szCs w:val="24"/>
        </w:rPr>
      </w:pPr>
      <w:r>
        <w:rPr>
          <w:rFonts w:ascii="SimSun" w:hAnsi="SimSun" w:eastAsia="SimSun" w:cs="SimSun"/>
          <w:sz w:val="24"/>
          <w:szCs w:val="24"/>
          <w:spacing w:val="-3"/>
        </w:rPr>
        <w:t>根据《环境影响评价技术导则</w:t>
      </w:r>
      <w:r>
        <w:rPr>
          <w:rFonts w:ascii="Times New Roman" w:hAnsi="Times New Roman" w:eastAsia="Times New Roman" w:cs="Times New Roman"/>
          <w:sz w:val="24"/>
          <w:szCs w:val="24"/>
          <w:spacing w:val="-3"/>
        </w:rPr>
        <w:t>—</w:t>
      </w:r>
      <w:r>
        <w:rPr>
          <w:rFonts w:ascii="SimSun" w:hAnsi="SimSun" w:eastAsia="SimSun" w:cs="SimSun"/>
          <w:sz w:val="24"/>
          <w:szCs w:val="24"/>
          <w:spacing w:val="-3"/>
        </w:rPr>
        <w:t>地表水环境》（</w:t>
      </w:r>
      <w:r>
        <w:rPr>
          <w:rFonts w:ascii="Times New Roman" w:hAnsi="Times New Roman" w:eastAsia="Times New Roman" w:cs="Times New Roman"/>
          <w:sz w:val="24"/>
          <w:szCs w:val="24"/>
          <w:spacing w:val="-3"/>
        </w:rPr>
        <w:t>HJ2.3-2018</w:t>
      </w:r>
      <w:r>
        <w:rPr>
          <w:rFonts w:ascii="SimSun" w:hAnsi="SimSun" w:eastAsia="SimSun" w:cs="SimSun"/>
          <w:sz w:val="24"/>
          <w:szCs w:val="24"/>
          <w:spacing w:val="-3"/>
        </w:rPr>
        <w:t>）规定，三级</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B </w:t>
      </w:r>
      <w:r>
        <w:rPr>
          <w:rFonts w:ascii="SimSun" w:hAnsi="SimSun" w:eastAsia="SimSun" w:cs="SimSun"/>
          <w:sz w:val="24"/>
          <w:szCs w:val="24"/>
          <w:spacing w:val="-3"/>
        </w:rPr>
        <w:t>其</w:t>
      </w:r>
      <w:r>
        <w:rPr>
          <w:rFonts w:ascii="SimSun" w:hAnsi="SimSun" w:eastAsia="SimSun" w:cs="SimSun"/>
          <w:sz w:val="24"/>
          <w:szCs w:val="24"/>
          <w:spacing w:val="-5"/>
        </w:rPr>
        <w:t>评价范围应符合以下要求：</w:t>
      </w:r>
    </w:p>
    <w:p>
      <w:pPr>
        <w:ind w:left="517"/>
        <w:spacing w:before="21" w:line="217" w:lineRule="auto"/>
        <w:rPr>
          <w:rFonts w:ascii="SimSun" w:hAnsi="SimSun" w:eastAsia="SimSun" w:cs="SimSun"/>
          <w:sz w:val="24"/>
          <w:szCs w:val="24"/>
        </w:rPr>
      </w:pPr>
      <w:r>
        <w:rPr>
          <w:rFonts w:ascii="SimSun" w:hAnsi="SimSun" w:eastAsia="SimSun" w:cs="SimSun"/>
          <w:sz w:val="24"/>
          <w:szCs w:val="24"/>
          <w:spacing w:val="-3"/>
        </w:rPr>
        <w:t>①应满足其依托污水处理设施环境可行性分析的要求；</w:t>
      </w:r>
    </w:p>
    <w:p>
      <w:pPr>
        <w:ind w:left="41" w:right="38" w:firstLine="475"/>
        <w:spacing w:before="185" w:line="289" w:lineRule="auto"/>
        <w:rPr>
          <w:rFonts w:ascii="SimSun" w:hAnsi="SimSun" w:eastAsia="SimSun" w:cs="SimSun"/>
          <w:sz w:val="24"/>
          <w:szCs w:val="24"/>
        </w:rPr>
      </w:pPr>
      <w:r>
        <w:rPr>
          <w:rFonts w:ascii="SimSun" w:hAnsi="SimSun" w:eastAsia="SimSun" w:cs="SimSun"/>
          <w:sz w:val="24"/>
          <w:szCs w:val="24"/>
          <w:spacing w:val="3"/>
        </w:rPr>
        <w:t>②涉及地表水环境风险的，应覆盖环境风险影响</w:t>
      </w:r>
      <w:r>
        <w:rPr>
          <w:rFonts w:ascii="SimSun" w:hAnsi="SimSun" w:eastAsia="SimSun" w:cs="SimSun"/>
          <w:sz w:val="24"/>
          <w:szCs w:val="24"/>
          <w:spacing w:val="2"/>
        </w:rPr>
        <w:t>范围所及的水环境保护目标</w:t>
      </w:r>
      <w:r>
        <w:rPr>
          <w:rFonts w:ascii="SimSun" w:hAnsi="SimSun" w:eastAsia="SimSun" w:cs="SimSun"/>
          <w:sz w:val="24"/>
          <w:szCs w:val="24"/>
          <w:spacing w:val="-11"/>
        </w:rPr>
        <w:t>水域。</w:t>
      </w:r>
    </w:p>
    <w:p>
      <w:pPr>
        <w:ind w:left="519"/>
        <w:spacing w:before="183" w:line="218" w:lineRule="auto"/>
        <w:rPr>
          <w:rFonts w:ascii="SimSun" w:hAnsi="SimSun" w:eastAsia="SimSun" w:cs="SimSun"/>
          <w:sz w:val="24"/>
          <w:szCs w:val="24"/>
        </w:rPr>
      </w:pPr>
      <w:r>
        <w:rPr>
          <w:rFonts w:ascii="SimSun" w:hAnsi="SimSun" w:eastAsia="SimSun" w:cs="SimSun"/>
          <w:sz w:val="24"/>
          <w:szCs w:val="24"/>
          <w:spacing w:val="-1"/>
        </w:rPr>
        <w:t>本项目废水不外排，不设评价范围。</w:t>
      </w:r>
    </w:p>
    <w:p>
      <w:pPr>
        <w:ind w:left="524"/>
        <w:spacing w:before="183"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）地下水</w:t>
      </w:r>
    </w:p>
    <w:p>
      <w:pPr>
        <w:ind w:left="39" w:right="26" w:firstLine="478"/>
        <w:spacing w:before="164" w:line="354" w:lineRule="auto"/>
        <w:rPr>
          <w:rFonts w:ascii="SimSun" w:hAnsi="SimSun" w:eastAsia="SimSun" w:cs="SimSun"/>
          <w:sz w:val="24"/>
          <w:szCs w:val="24"/>
        </w:rPr>
      </w:pPr>
      <w:r>
        <w:rPr>
          <w:rFonts w:ascii="SimSun" w:hAnsi="SimSun" w:eastAsia="SimSun" w:cs="SimSun"/>
          <w:sz w:val="24"/>
          <w:szCs w:val="24"/>
          <w:spacing w:val="-2"/>
        </w:rPr>
        <w:t>根据《环境影响评价技术导则</w:t>
      </w:r>
      <w:r>
        <w:rPr>
          <w:rFonts w:ascii="SimSun" w:hAnsi="SimSun" w:eastAsia="SimSun" w:cs="SimSun"/>
          <w:sz w:val="24"/>
          <w:szCs w:val="24"/>
          <w:spacing w:val="32"/>
        </w:rPr>
        <w:t xml:space="preserve"> </w:t>
      </w:r>
      <w:r>
        <w:rPr>
          <w:rFonts w:ascii="SimSun" w:hAnsi="SimSun" w:eastAsia="SimSun" w:cs="SimSun"/>
          <w:sz w:val="24"/>
          <w:szCs w:val="24"/>
          <w:spacing w:val="-2"/>
        </w:rPr>
        <w:t>地下水环境》（</w:t>
      </w:r>
      <w:r>
        <w:rPr>
          <w:rFonts w:ascii="Times New Roman" w:hAnsi="Times New Roman" w:eastAsia="Times New Roman" w:cs="Times New Roman"/>
          <w:sz w:val="24"/>
          <w:szCs w:val="24"/>
          <w:spacing w:val="-2"/>
        </w:rPr>
        <w:t>HJ </w:t>
      </w:r>
      <w:r>
        <w:rPr>
          <w:rFonts w:ascii="Times New Roman" w:hAnsi="Times New Roman" w:eastAsia="Times New Roman" w:cs="Times New Roman"/>
          <w:sz w:val="24"/>
          <w:szCs w:val="24"/>
          <w:spacing w:val="-3"/>
        </w:rPr>
        <w:t>610-2016</w:t>
      </w:r>
      <w:r>
        <w:rPr>
          <w:rFonts w:ascii="SimSun" w:hAnsi="SimSun" w:eastAsia="SimSun" w:cs="SimSun"/>
          <w:sz w:val="24"/>
          <w:szCs w:val="24"/>
          <w:spacing w:val="-7"/>
        </w:rPr>
        <w:t>），</w:t>
      </w:r>
      <w:r>
        <w:rPr>
          <w:rFonts w:ascii="SimSun" w:hAnsi="SimSun" w:eastAsia="SimSun" w:cs="SimSun"/>
          <w:sz w:val="24"/>
          <w:szCs w:val="24"/>
          <w:spacing w:val="-3"/>
        </w:rPr>
        <w:t>本次地下水评</w:t>
      </w:r>
      <w:r>
        <w:rPr>
          <w:rFonts w:ascii="SimSun" w:hAnsi="SimSun" w:eastAsia="SimSun" w:cs="SimSun"/>
          <w:sz w:val="24"/>
          <w:szCs w:val="24"/>
          <w:spacing w:val="2"/>
        </w:rPr>
        <w:t>价采用查表法确定地下水评价范围，项目区域地下水流向为由东北至西南。根据</w:t>
      </w:r>
      <w:r>
        <w:rPr>
          <w:rFonts w:ascii="SimSun" w:hAnsi="SimSun" w:eastAsia="SimSun" w:cs="SimSun"/>
          <w:sz w:val="24"/>
          <w:szCs w:val="24"/>
          <w:spacing w:val="-2"/>
        </w:rPr>
        <w:t>项目区地下水流向，以场址西南方向为下游，确定本项目的评价范围为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6km</w:t>
      </w:r>
      <w:r>
        <w:rPr>
          <w:rFonts w:ascii="Times New Roman" w:hAnsi="Times New Roman" w:eastAsia="Times New Roman" w:cs="Times New Roman"/>
          <w:sz w:val="16"/>
          <w:szCs w:val="16"/>
          <w:spacing w:val="-2"/>
          <w:position w:val="10"/>
        </w:rPr>
        <w:t>2</w:t>
      </w:r>
      <w:r>
        <w:rPr>
          <w:rFonts w:ascii="Times New Roman" w:hAnsi="Times New Roman" w:eastAsia="Times New Roman" w:cs="Times New Roman"/>
          <w:sz w:val="16"/>
          <w:szCs w:val="16"/>
          <w:spacing w:val="31"/>
          <w:position w:val="10"/>
        </w:rPr>
        <w:t xml:space="preserve"> </w:t>
      </w:r>
      <w:r>
        <w:rPr>
          <w:rFonts w:ascii="SimSun" w:hAnsi="SimSun" w:eastAsia="SimSun" w:cs="SimSun"/>
          <w:sz w:val="24"/>
          <w:szCs w:val="24"/>
          <w:spacing w:val="-2"/>
        </w:rPr>
        <w:t>的矩</w:t>
      </w:r>
      <w:r>
        <w:rPr>
          <w:rFonts w:ascii="SimSun" w:hAnsi="SimSun" w:eastAsia="SimSun" w:cs="SimSun"/>
          <w:sz w:val="24"/>
          <w:szCs w:val="24"/>
          <w:spacing w:val="-5"/>
        </w:rPr>
        <w:t>形内浅层地下水。</w:t>
      </w:r>
    </w:p>
    <w:p>
      <w:pPr>
        <w:ind w:left="524"/>
        <w:spacing w:before="20"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）环境空气</w:t>
      </w:r>
    </w:p>
    <w:p>
      <w:pPr>
        <w:ind w:left="41" w:right="29" w:firstLine="477"/>
        <w:spacing w:before="164" w:line="359" w:lineRule="auto"/>
        <w:rPr>
          <w:rFonts w:ascii="SimSun" w:hAnsi="SimSun" w:eastAsia="SimSun" w:cs="SimSun"/>
          <w:sz w:val="24"/>
          <w:szCs w:val="24"/>
        </w:rPr>
      </w:pPr>
      <w:r>
        <w:rPr>
          <w:rFonts w:ascii="SimSun" w:hAnsi="SimSun" w:eastAsia="SimSun" w:cs="SimSun"/>
          <w:sz w:val="24"/>
          <w:szCs w:val="24"/>
          <w:spacing w:val="-1"/>
        </w:rPr>
        <w:t>根据 </w:t>
      </w:r>
      <w:r>
        <w:rPr>
          <w:rFonts w:ascii="Times New Roman" w:hAnsi="Times New Roman" w:eastAsia="Times New Roman" w:cs="Times New Roman"/>
          <w:sz w:val="24"/>
          <w:szCs w:val="24"/>
          <w:spacing w:val="-1"/>
        </w:rPr>
        <w:t>HJ2.2-2018</w:t>
      </w:r>
      <w:r>
        <w:rPr>
          <w:rFonts w:ascii="SimSun" w:hAnsi="SimSun" w:eastAsia="SimSun" w:cs="SimSun"/>
          <w:sz w:val="24"/>
          <w:szCs w:val="24"/>
          <w:spacing w:val="-1"/>
        </w:rPr>
        <w:t>《环境影响评价技术导则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大气环境》，评价范围应为以厂址</w:t>
      </w:r>
      <w:r>
        <w:rPr>
          <w:rFonts w:ascii="SimSun" w:hAnsi="SimSun" w:eastAsia="SimSun" w:cs="SimSun"/>
          <w:sz w:val="24"/>
          <w:szCs w:val="24"/>
          <w:spacing w:val="-5"/>
        </w:rPr>
        <w:t>为中心区域，边长为</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5"/>
        </w:rPr>
        <w:t>5km</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5"/>
        </w:rPr>
        <w:t>的区域。</w:t>
      </w:r>
    </w:p>
    <w:p>
      <w:pPr>
        <w:ind w:left="524"/>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）声环境</w:t>
      </w:r>
    </w:p>
    <w:p>
      <w:pPr>
        <w:ind w:left="37" w:right="29" w:firstLine="480"/>
        <w:spacing w:before="162" w:line="359" w:lineRule="auto"/>
        <w:rPr>
          <w:rFonts w:ascii="SimSun" w:hAnsi="SimSun" w:eastAsia="SimSun" w:cs="SimSun"/>
          <w:sz w:val="24"/>
          <w:szCs w:val="24"/>
        </w:rPr>
      </w:pPr>
      <w:r>
        <w:rPr>
          <w:rFonts w:ascii="SimSun" w:hAnsi="SimSun" w:eastAsia="SimSun" w:cs="SimSun"/>
          <w:sz w:val="24"/>
          <w:szCs w:val="24"/>
        </w:rPr>
        <w:t>根据</w:t>
      </w:r>
      <w:r>
        <w:rPr>
          <w:rFonts w:ascii="SimSun" w:hAnsi="SimSun" w:eastAsia="SimSun" w:cs="SimSun"/>
          <w:sz w:val="24"/>
          <w:szCs w:val="24"/>
          <w:spacing w:val="-56"/>
        </w:rPr>
        <w:t xml:space="preserve"> </w:t>
      </w:r>
      <w:r>
        <w:rPr>
          <w:rFonts w:ascii="Times New Roman" w:hAnsi="Times New Roman" w:eastAsia="Times New Roman" w:cs="Times New Roman"/>
          <w:sz w:val="24"/>
          <w:szCs w:val="24"/>
        </w:rPr>
        <w:t>HJ2.4-2009</w:t>
      </w:r>
      <w:r>
        <w:rPr>
          <w:rFonts w:ascii="SimSun" w:hAnsi="SimSun" w:eastAsia="SimSun" w:cs="SimSun"/>
          <w:sz w:val="24"/>
          <w:szCs w:val="24"/>
        </w:rPr>
        <w:t>《环境影响评价技术导</w:t>
      </w:r>
      <w:r>
        <w:rPr>
          <w:rFonts w:ascii="SimSun" w:hAnsi="SimSun" w:eastAsia="SimSun" w:cs="SimSun"/>
          <w:sz w:val="24"/>
          <w:szCs w:val="24"/>
          <w:spacing w:val="-1"/>
        </w:rPr>
        <w:t>则 声环境》中相关要求，声环境影响</w:t>
      </w:r>
      <w:r>
        <w:rPr>
          <w:rFonts w:ascii="SimSun" w:hAnsi="SimSun" w:eastAsia="SimSun" w:cs="SimSun"/>
          <w:sz w:val="24"/>
          <w:szCs w:val="24"/>
          <w:spacing w:val="-1"/>
        </w:rPr>
        <w:t>评价范围为场区及其界外</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200m</w:t>
      </w:r>
      <w:r>
        <w:rPr>
          <w:rFonts w:ascii="SimSun" w:hAnsi="SimSun" w:eastAsia="SimSun" w:cs="SimSun"/>
          <w:sz w:val="24"/>
          <w:szCs w:val="24"/>
          <w:spacing w:val="-1"/>
        </w:rPr>
        <w:t>。</w:t>
      </w:r>
    </w:p>
    <w:p>
      <w:pPr>
        <w:ind w:left="524"/>
        <w:spacing w:line="234" w:lineRule="auto"/>
        <w:rPr>
          <w:rFonts w:ascii="SimSun" w:hAnsi="SimSun" w:eastAsia="SimSun" w:cs="SimSun"/>
          <w:sz w:val="24"/>
          <w:szCs w:val="24"/>
        </w:rPr>
      </w:pPr>
      <w:r>
        <w:pict>
          <v:shape id="_x0000_s128" style="position:absolute;margin-left:1.68601pt;margin-top:40.5036pt;mso-position-vertical-relative:text;mso-position-horizontal-relative:text;width:425.7pt;height:0.6pt;z-index:251695104;" filled="false" strokecolor="#808080" strokeweight="0.50pt" coordsize="8514,12" coordorigin="0,0" path="m5,5l8508,6e">
            <v:stroke endcap="round" miterlimit="10"/>
          </v:shape>
        </w:pict>
      </w: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）生态环境</w:t>
      </w:r>
    </w:p>
    <w:p>
      <w:pPr>
        <w:spacing w:line="234" w:lineRule="auto"/>
        <w:sectPr>
          <w:headerReference w:type="default" r:id="rId15"/>
          <w:footerReference w:type="default" r:id="rId63"/>
          <w:pgSz w:w="11907" w:h="16839"/>
          <w:pgMar w:top="1422" w:right="1670" w:bottom="1618" w:left="1673" w:header="1033" w:footer="1417" w:gutter="0"/>
        </w:sectPr>
        <w:rPr>
          <w:rFonts w:ascii="SimSun" w:hAnsi="SimSun" w:eastAsia="SimSun" w:cs="SimSun"/>
          <w:sz w:val="24"/>
          <w:szCs w:val="24"/>
        </w:rPr>
      </w:pPr>
    </w:p>
    <w:p>
      <w:pPr>
        <w:ind w:left="39" w:right="82" w:firstLine="478"/>
        <w:spacing w:before="312" w:line="359" w:lineRule="auto"/>
        <w:jc w:val="both"/>
        <w:rPr>
          <w:rFonts w:ascii="SimSun" w:hAnsi="SimSun" w:eastAsia="SimSun" w:cs="SimSun"/>
          <w:sz w:val="24"/>
          <w:szCs w:val="24"/>
        </w:rPr>
      </w:pPr>
      <w:r>
        <w:rPr>
          <w:rFonts w:ascii="SimSun" w:hAnsi="SimSun" w:eastAsia="SimSun" w:cs="SimSun"/>
          <w:sz w:val="24"/>
          <w:szCs w:val="24"/>
          <w:spacing w:val="3"/>
        </w:rPr>
        <w:t>根据《环境影响评价技术导则 生态影响》（</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3"/>
        </w:rPr>
        <w:t>19-2022</w:t>
      </w:r>
      <w:r>
        <w:rPr>
          <w:rFonts w:ascii="SimSun" w:hAnsi="SimSun" w:eastAsia="SimSun" w:cs="SimSun"/>
          <w:sz w:val="24"/>
          <w:szCs w:val="24"/>
          <w:spacing w:val="3"/>
        </w:rPr>
        <w:t>）相关规定，评价范</w:t>
      </w:r>
      <w:r>
        <w:rPr>
          <w:rFonts w:ascii="SimSun" w:hAnsi="SimSun" w:eastAsia="SimSun" w:cs="SimSun"/>
          <w:sz w:val="24"/>
          <w:szCs w:val="24"/>
          <w:spacing w:val="3"/>
        </w:rPr>
        <w:t>围为建设项目全部活动的直接影响区域和间接影</w:t>
      </w:r>
      <w:r>
        <w:rPr>
          <w:rFonts w:ascii="SimSun" w:hAnsi="SimSun" w:eastAsia="SimSun" w:cs="SimSun"/>
          <w:sz w:val="24"/>
          <w:szCs w:val="24"/>
          <w:spacing w:val="2"/>
        </w:rPr>
        <w:t>响区域，影响评价范围为场区及</w:t>
      </w:r>
      <w:r>
        <w:rPr>
          <w:rFonts w:ascii="SimSun" w:hAnsi="SimSun" w:eastAsia="SimSun" w:cs="SimSun"/>
          <w:sz w:val="24"/>
          <w:szCs w:val="24"/>
          <w:spacing w:val="-3"/>
        </w:rPr>
        <w:t>其界外</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3"/>
        </w:rPr>
        <w:t>500m</w:t>
      </w:r>
      <w:r>
        <w:rPr>
          <w:rFonts w:ascii="SimSun" w:hAnsi="SimSun" w:eastAsia="SimSun" w:cs="SimSun"/>
          <w:sz w:val="24"/>
          <w:szCs w:val="24"/>
          <w:spacing w:val="-3"/>
        </w:rPr>
        <w:t>。</w:t>
      </w:r>
    </w:p>
    <w:p>
      <w:pPr>
        <w:ind w:left="524"/>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）土壤环境</w:t>
      </w:r>
    </w:p>
    <w:p>
      <w:pPr>
        <w:ind w:left="45" w:right="84" w:firstLine="472"/>
        <w:spacing w:before="164" w:line="358" w:lineRule="auto"/>
        <w:rPr>
          <w:rFonts w:ascii="SimSun" w:hAnsi="SimSun" w:eastAsia="SimSun" w:cs="SimSun"/>
          <w:sz w:val="24"/>
          <w:szCs w:val="24"/>
        </w:rPr>
      </w:pPr>
      <w:r>
        <w:rPr>
          <w:rFonts w:ascii="SimSun" w:hAnsi="SimSun" w:eastAsia="SimSun" w:cs="SimSun"/>
          <w:sz w:val="24"/>
          <w:szCs w:val="24"/>
          <w:spacing w:val="-3"/>
        </w:rPr>
        <w:t>根据</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HJ964-2018</w:t>
      </w:r>
      <w:r>
        <w:rPr>
          <w:rFonts w:ascii="SimSun" w:hAnsi="SimSun" w:eastAsia="SimSun" w:cs="SimSun"/>
          <w:sz w:val="24"/>
          <w:szCs w:val="24"/>
          <w:spacing w:val="-3"/>
        </w:rPr>
        <w:t>《环境影响评价技术导则</w:t>
      </w:r>
      <w:r>
        <w:rPr>
          <w:rFonts w:ascii="SimSun" w:hAnsi="SimSun" w:eastAsia="SimSun" w:cs="SimSun"/>
          <w:sz w:val="24"/>
          <w:szCs w:val="24"/>
          <w:spacing w:val="33"/>
        </w:rPr>
        <w:t xml:space="preserve"> </w:t>
      </w:r>
      <w:r>
        <w:rPr>
          <w:rFonts w:ascii="SimSun" w:hAnsi="SimSun" w:eastAsia="SimSun" w:cs="SimSun"/>
          <w:sz w:val="24"/>
          <w:szCs w:val="24"/>
          <w:spacing w:val="-3"/>
        </w:rPr>
        <w:t>土壤环境（试行）》规定污染影响</w:t>
      </w:r>
      <w:r>
        <w:rPr>
          <w:rFonts w:ascii="SimSun" w:hAnsi="SimSun" w:eastAsia="SimSun" w:cs="SimSun"/>
          <w:sz w:val="24"/>
          <w:szCs w:val="24"/>
          <w:spacing w:val="-2"/>
        </w:rPr>
        <w:t>型项目三级评价范围为占地范围及占地范围外</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0.05km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范</w:t>
      </w:r>
      <w:r>
        <w:rPr>
          <w:rFonts w:ascii="SimSun" w:hAnsi="SimSun" w:eastAsia="SimSun" w:cs="SimSun"/>
          <w:sz w:val="24"/>
          <w:szCs w:val="24"/>
          <w:spacing w:val="-3"/>
        </w:rPr>
        <w:t>围。</w:t>
      </w:r>
    </w:p>
    <w:p>
      <w:pPr>
        <w:ind w:left="524"/>
        <w:spacing w:before="2"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）环境风险</w:t>
      </w:r>
    </w:p>
    <w:p>
      <w:pPr>
        <w:ind w:left="43" w:right="95" w:firstLine="474"/>
        <w:spacing w:before="161" w:line="360" w:lineRule="auto"/>
        <w:rPr>
          <w:rFonts w:ascii="SimSun" w:hAnsi="SimSun" w:eastAsia="SimSun" w:cs="SimSun"/>
          <w:sz w:val="24"/>
          <w:szCs w:val="24"/>
        </w:rPr>
      </w:pPr>
      <w:r>
        <w:rPr>
          <w:rFonts w:ascii="SimSun" w:hAnsi="SimSun" w:eastAsia="SimSun" w:cs="SimSun"/>
          <w:sz w:val="24"/>
          <w:szCs w:val="24"/>
          <w:spacing w:val="3"/>
        </w:rPr>
        <w:t>根据环境风险评价等级确定可知，本项目只</w:t>
      </w:r>
      <w:r>
        <w:rPr>
          <w:rFonts w:ascii="SimSun" w:hAnsi="SimSun" w:eastAsia="SimSun" w:cs="SimSun"/>
          <w:sz w:val="24"/>
          <w:szCs w:val="24"/>
          <w:spacing w:val="2"/>
        </w:rPr>
        <w:t>进行简单分析，因此不设置评价</w:t>
      </w:r>
      <w:r>
        <w:rPr>
          <w:rFonts w:ascii="SimSun" w:hAnsi="SimSun" w:eastAsia="SimSun" w:cs="SimSun"/>
          <w:sz w:val="24"/>
          <w:szCs w:val="24"/>
          <w:spacing w:val="-12"/>
        </w:rPr>
        <w:t>范围。</w:t>
      </w:r>
    </w:p>
    <w:p>
      <w:pPr>
        <w:ind w:left="519"/>
        <w:spacing w:line="218" w:lineRule="auto"/>
        <w:rPr>
          <w:rFonts w:ascii="SimSun" w:hAnsi="SimSun" w:eastAsia="SimSun" w:cs="SimSun"/>
          <w:sz w:val="24"/>
          <w:szCs w:val="24"/>
        </w:rPr>
      </w:pPr>
      <w:r>
        <w:rPr>
          <w:rFonts w:ascii="SimSun" w:hAnsi="SimSun" w:eastAsia="SimSun" w:cs="SimSun"/>
          <w:sz w:val="24"/>
          <w:szCs w:val="24"/>
          <w:spacing w:val="-1"/>
        </w:rPr>
        <w:t>本项目各环境要素评价范围见附图。</w:t>
      </w:r>
    </w:p>
    <w:p>
      <w:pPr>
        <w:pStyle w:val="BodyText"/>
        <w:spacing w:line="363" w:lineRule="auto"/>
        <w:rPr/>
      </w:pPr>
      <w:r/>
    </w:p>
    <w:p>
      <w:pPr>
        <w:ind w:left="34"/>
        <w:spacing w:before="78" w:line="234" w:lineRule="auto"/>
        <w:outlineLvl w:val="1"/>
        <w:rPr>
          <w:rFonts w:ascii="SimSun" w:hAnsi="SimSun" w:eastAsia="SimSun" w:cs="SimSun"/>
          <w:sz w:val="24"/>
          <w:szCs w:val="24"/>
        </w:rPr>
      </w:pPr>
      <w:bookmarkStart w:name="bookmark16" w:id="19"/>
      <w:bookmarkEnd w:id="19"/>
      <w:r>
        <w:rPr>
          <w:rFonts w:ascii="Times New Roman" w:hAnsi="Times New Roman" w:eastAsia="Times New Roman" w:cs="Times New Roman"/>
          <w:sz w:val="24"/>
          <w:szCs w:val="24"/>
          <w:b/>
          <w:bCs/>
          <w:spacing w:val="-2"/>
        </w:rPr>
        <w:t>2.8 </w:t>
      </w:r>
      <w:r>
        <w:rPr>
          <w:rFonts w:ascii="SimSun" w:hAnsi="SimSun" w:eastAsia="SimSun" w:cs="SimSun"/>
          <w:sz w:val="24"/>
          <w:szCs w:val="24"/>
          <w:b/>
          <w:bCs/>
          <w:spacing w:val="-2"/>
        </w:rPr>
        <w:t>环境保护目标</w:t>
      </w:r>
    </w:p>
    <w:p>
      <w:pPr>
        <w:pStyle w:val="BodyText"/>
        <w:spacing w:line="338" w:lineRule="auto"/>
        <w:rPr/>
      </w:pPr>
      <w:r/>
    </w:p>
    <w:p>
      <w:pPr>
        <w:ind w:left="38" w:firstLine="480"/>
        <w:spacing w:before="79" w:line="366" w:lineRule="auto"/>
        <w:rPr>
          <w:rFonts w:ascii="SimSun" w:hAnsi="SimSun" w:eastAsia="SimSun" w:cs="SimSun"/>
          <w:sz w:val="24"/>
          <w:szCs w:val="24"/>
        </w:rPr>
      </w:pPr>
      <w:r>
        <w:pict>
          <v:shape id="_x0000_s132" style="position:absolute;margin-left:1.68601pt;margin-top:394.656pt;mso-position-vertical-relative:text;mso-position-horizontal-relative:text;width:425.7pt;height:0.6pt;z-index:251696128;" filled="false" strokecolor="#808080" strokeweight="0.50pt" coordsize="8514,12" coordorigin="0,0" path="m5,5l8508,6e">
            <v:stroke endcap="round" miterlimit="10"/>
          </v:shape>
        </w:pict>
      </w:r>
      <w:r>
        <w:rPr>
          <w:rFonts w:ascii="SimSun" w:hAnsi="SimSun" w:eastAsia="SimSun" w:cs="SimSun"/>
          <w:sz w:val="24"/>
          <w:szCs w:val="24"/>
          <w:spacing w:val="1"/>
        </w:rPr>
        <w:t>本项目评价范围内没有自然保护区、风景名胜区、世界文化和自然遗产地、</w:t>
      </w:r>
      <w:r>
        <w:rPr>
          <w:rFonts w:ascii="SimSun" w:hAnsi="SimSun" w:eastAsia="SimSun" w:cs="SimSun"/>
          <w:sz w:val="24"/>
          <w:szCs w:val="24"/>
          <w:spacing w:val="2"/>
        </w:rPr>
        <w:t>饮用水水源保护区，没有以医疗卫生、文化教育、科研、行政办公等为主要功能</w:t>
      </w:r>
      <w:r>
        <w:rPr>
          <w:rFonts w:ascii="SimSun" w:hAnsi="SimSun" w:eastAsia="SimSun" w:cs="SimSun"/>
          <w:sz w:val="24"/>
          <w:szCs w:val="24"/>
          <w:spacing w:val="-2"/>
        </w:rPr>
        <w:t>的区域，也没有文物保护单位，具有特殊历史、文化、科学、民族意义的保护地。</w:t>
      </w:r>
      <w:r>
        <w:rPr>
          <w:rFonts w:ascii="SimSun" w:hAnsi="SimSun" w:eastAsia="SimSun" w:cs="SimSun"/>
          <w:sz w:val="24"/>
          <w:szCs w:val="24"/>
          <w:spacing w:val="-1"/>
        </w:rPr>
        <w:t>本项目环境保护目标汇总见表</w:t>
      </w:r>
      <w:r>
        <w:rPr>
          <w:rFonts w:ascii="Times New Roman" w:hAnsi="Times New Roman" w:eastAsia="Times New Roman" w:cs="Times New Roman"/>
          <w:sz w:val="24"/>
          <w:szCs w:val="24"/>
          <w:spacing w:val="-1"/>
        </w:rPr>
        <w:t>2-24</w:t>
      </w:r>
      <w:r>
        <w:rPr>
          <w:rFonts w:ascii="SimSun" w:hAnsi="SimSun" w:eastAsia="SimSun" w:cs="SimSun"/>
          <w:sz w:val="24"/>
          <w:szCs w:val="24"/>
          <w:spacing w:val="-1"/>
        </w:rPr>
        <w:t>。</w:t>
      </w:r>
    </w:p>
    <w:p>
      <w:pPr>
        <w:spacing w:line="366" w:lineRule="auto"/>
        <w:sectPr>
          <w:headerReference w:type="default" r:id="rId64"/>
          <w:footerReference w:type="default" r:id="rId65"/>
          <w:pgSz w:w="11907" w:h="16839"/>
          <w:pgMar w:top="1422" w:right="1613" w:bottom="1618" w:left="1673" w:header="1033" w:footer="1417" w:gutter="0"/>
        </w:sectPr>
        <w:rPr>
          <w:rFonts w:ascii="SimSun" w:hAnsi="SimSun" w:eastAsia="SimSun" w:cs="SimSun"/>
          <w:sz w:val="24"/>
          <w:szCs w:val="24"/>
        </w:rPr>
      </w:pPr>
    </w:p>
    <w:p>
      <w:pPr>
        <w:pStyle w:val="BodyText"/>
        <w:spacing w:line="314" w:lineRule="auto"/>
        <w:rPr/>
      </w:pPr>
      <w:r/>
    </w:p>
    <w:p>
      <w:pPr>
        <w:ind w:left="5498"/>
        <w:spacing w:before="78"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2-24    </w:t>
      </w:r>
      <w:r>
        <w:rPr>
          <w:rFonts w:ascii="SimSun" w:hAnsi="SimSun" w:eastAsia="SimSun" w:cs="SimSun"/>
          <w:sz w:val="24"/>
          <w:szCs w:val="24"/>
          <w:b/>
          <w:bCs/>
          <w:spacing w:val="-2"/>
        </w:rPr>
        <w:t>环境保护目标汇总表</w:t>
      </w:r>
    </w:p>
    <w:p>
      <w:pPr>
        <w:spacing w:line="206" w:lineRule="exact"/>
        <w:rPr/>
      </w:pPr>
      <w:r/>
    </w:p>
    <w:tbl>
      <w:tblPr>
        <w:tblStyle w:val="TableNormal"/>
        <w:tblW w:w="1366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6"/>
        <w:gridCol w:w="2871"/>
        <w:gridCol w:w="1040"/>
        <w:gridCol w:w="1222"/>
        <w:gridCol w:w="1587"/>
        <w:gridCol w:w="1507"/>
        <w:gridCol w:w="1573"/>
        <w:gridCol w:w="2846"/>
      </w:tblGrid>
      <w:tr>
        <w:trPr>
          <w:trHeight w:val="280" w:hRule="atLeast"/>
        </w:trPr>
        <w:tc>
          <w:tcPr>
            <w:tcW w:w="1016" w:type="dxa"/>
            <w:vAlign w:val="top"/>
            <w:vMerge w:val="restart"/>
            <w:tcBorders>
              <w:left w:val="nil"/>
              <w:top w:val="single" w:color="000000" w:sz="10" w:space="0"/>
              <w:bottom w:val="nil"/>
            </w:tcBorders>
          </w:tcPr>
          <w:p>
            <w:pPr>
              <w:pStyle w:val="TableText"/>
              <w:ind w:left="311"/>
              <w:spacing w:before="33" w:line="221" w:lineRule="auto"/>
              <w:rPr/>
            </w:pPr>
            <w:r>
              <w:rPr>
                <w:b/>
                <w:bCs/>
                <w:spacing w:val="-4"/>
              </w:rPr>
              <w:t>环境</w:t>
            </w:r>
          </w:p>
          <w:p>
            <w:pPr>
              <w:pStyle w:val="TableText"/>
              <w:ind w:left="311"/>
              <w:spacing w:before="21" w:line="204" w:lineRule="auto"/>
              <w:rPr/>
            </w:pPr>
            <w:r>
              <w:rPr>
                <w:b/>
                <w:bCs/>
                <w:spacing w:val="-4"/>
              </w:rPr>
              <w:t>要素</w:t>
            </w:r>
          </w:p>
        </w:tc>
        <w:tc>
          <w:tcPr>
            <w:tcW w:w="2871" w:type="dxa"/>
            <w:vAlign w:val="top"/>
            <w:vMerge w:val="restart"/>
            <w:tcBorders>
              <w:top w:val="single" w:color="000000" w:sz="10" w:space="0"/>
              <w:bottom w:val="nil"/>
            </w:tcBorders>
          </w:tcPr>
          <w:p>
            <w:pPr>
              <w:pStyle w:val="TableText"/>
              <w:ind w:left="806"/>
              <w:spacing w:before="170" w:line="221" w:lineRule="auto"/>
              <w:rPr/>
            </w:pPr>
            <w:r>
              <w:rPr>
                <w:b/>
                <w:bCs/>
                <w:spacing w:val="-3"/>
              </w:rPr>
              <w:t>环境保护目标</w:t>
            </w:r>
          </w:p>
        </w:tc>
        <w:tc>
          <w:tcPr>
            <w:tcW w:w="2262" w:type="dxa"/>
            <w:vAlign w:val="top"/>
            <w:gridSpan w:val="2"/>
            <w:tcBorders>
              <w:top w:val="single" w:color="000000" w:sz="10" w:space="0"/>
            </w:tcBorders>
          </w:tcPr>
          <w:p>
            <w:pPr>
              <w:pStyle w:val="TableText"/>
              <w:ind w:left="810"/>
              <w:spacing w:before="33" w:line="208" w:lineRule="auto"/>
              <w:rPr>
                <w:rFonts w:ascii="Times New Roman" w:hAnsi="Times New Roman" w:eastAsia="Times New Roman" w:cs="Times New Roman"/>
              </w:rPr>
            </w:pPr>
            <w:r>
              <w:rPr>
                <w:b/>
                <w:bCs/>
                <w:spacing w:val="-3"/>
              </w:rPr>
              <w:t>坐标</w:t>
            </w:r>
            <w:r>
              <w:rPr>
                <w:rFonts w:ascii="Times New Roman" w:hAnsi="Times New Roman" w:eastAsia="Times New Roman" w:cs="Times New Roman"/>
                <w:b/>
                <w:bCs/>
                <w:spacing w:val="-3"/>
              </w:rPr>
              <w:t>/m</w:t>
            </w:r>
          </w:p>
        </w:tc>
        <w:tc>
          <w:tcPr>
            <w:tcW w:w="1587" w:type="dxa"/>
            <w:vAlign w:val="top"/>
            <w:vMerge w:val="restart"/>
            <w:tcBorders>
              <w:top w:val="single" w:color="000000" w:sz="10" w:space="0"/>
              <w:bottom w:val="nil"/>
            </w:tcBorders>
          </w:tcPr>
          <w:p>
            <w:pPr>
              <w:pStyle w:val="TableText"/>
              <w:ind w:left="588"/>
              <w:spacing w:before="170" w:line="222" w:lineRule="auto"/>
              <w:rPr/>
            </w:pPr>
            <w:r>
              <w:rPr>
                <w:b/>
                <w:bCs/>
                <w:spacing w:val="-4"/>
              </w:rPr>
              <w:t>方位</w:t>
            </w:r>
          </w:p>
        </w:tc>
        <w:tc>
          <w:tcPr>
            <w:tcW w:w="1507" w:type="dxa"/>
            <w:vAlign w:val="top"/>
            <w:vMerge w:val="restart"/>
            <w:tcBorders>
              <w:top w:val="single" w:color="000000" w:sz="10" w:space="0"/>
              <w:bottom w:val="nil"/>
            </w:tcBorders>
          </w:tcPr>
          <w:p>
            <w:pPr>
              <w:pStyle w:val="TableText"/>
              <w:ind w:left="430"/>
              <w:spacing w:before="170" w:line="235" w:lineRule="auto"/>
              <w:rPr>
                <w:rFonts w:ascii="Times New Roman" w:hAnsi="Times New Roman" w:eastAsia="Times New Roman" w:cs="Times New Roman"/>
              </w:rPr>
            </w:pPr>
            <w:r>
              <w:rPr>
                <w:b/>
                <w:bCs/>
                <w:spacing w:val="-2"/>
              </w:rPr>
              <w:t>距离</w:t>
            </w:r>
            <w:r>
              <w:rPr>
                <w:rFonts w:ascii="Times New Roman" w:hAnsi="Times New Roman" w:eastAsia="Times New Roman" w:cs="Times New Roman"/>
                <w:b/>
                <w:bCs/>
                <w:spacing w:val="-2"/>
              </w:rPr>
              <w:t>/m</w:t>
            </w:r>
          </w:p>
        </w:tc>
        <w:tc>
          <w:tcPr>
            <w:tcW w:w="1573" w:type="dxa"/>
            <w:vAlign w:val="top"/>
            <w:vMerge w:val="restart"/>
            <w:tcBorders>
              <w:top w:val="single" w:color="000000" w:sz="10" w:space="0"/>
              <w:bottom w:val="nil"/>
            </w:tcBorders>
          </w:tcPr>
          <w:p>
            <w:pPr>
              <w:pStyle w:val="TableText"/>
              <w:ind w:left="266"/>
              <w:spacing w:before="169" w:line="221" w:lineRule="auto"/>
              <w:rPr/>
            </w:pPr>
            <w:r>
              <w:rPr>
                <w:b/>
                <w:bCs/>
                <w:spacing w:val="-6"/>
              </w:rPr>
              <w:t>规模（人）</w:t>
            </w:r>
          </w:p>
        </w:tc>
        <w:tc>
          <w:tcPr>
            <w:tcW w:w="2846" w:type="dxa"/>
            <w:vAlign w:val="top"/>
            <w:vMerge w:val="restart"/>
            <w:tcBorders>
              <w:right w:val="nil"/>
              <w:top w:val="single" w:color="000000" w:sz="10" w:space="0"/>
              <w:bottom w:val="nil"/>
            </w:tcBorders>
          </w:tcPr>
          <w:p>
            <w:pPr>
              <w:pStyle w:val="TableText"/>
              <w:ind w:left="1115"/>
              <w:spacing w:before="170" w:line="222" w:lineRule="auto"/>
              <w:rPr/>
            </w:pPr>
            <w:r>
              <w:rPr>
                <w:b/>
                <w:bCs/>
                <w:spacing w:val="-4"/>
              </w:rPr>
              <w:t>功能区</w:t>
            </w:r>
          </w:p>
        </w:tc>
      </w:tr>
      <w:tr>
        <w:trPr>
          <w:trHeight w:val="264" w:hRule="atLeast"/>
        </w:trPr>
        <w:tc>
          <w:tcPr>
            <w:tcW w:w="1016" w:type="dxa"/>
            <w:vAlign w:val="top"/>
            <w:vMerge w:val="continue"/>
            <w:tcBorders>
              <w:left w:val="nil"/>
              <w:top w:val="nil"/>
            </w:tcBorders>
          </w:tcPr>
          <w:p>
            <w:pPr>
              <w:rPr>
                <w:rFonts w:ascii="Arial"/>
                <w:sz w:val="21"/>
              </w:rPr>
            </w:pPr>
            <w:r/>
          </w:p>
        </w:tc>
        <w:tc>
          <w:tcPr>
            <w:tcW w:w="2871" w:type="dxa"/>
            <w:vAlign w:val="top"/>
            <w:vMerge w:val="continue"/>
            <w:tcBorders>
              <w:top w:val="nil"/>
            </w:tcBorders>
          </w:tcPr>
          <w:p>
            <w:pPr>
              <w:rPr>
                <w:rFonts w:ascii="Arial"/>
                <w:sz w:val="21"/>
              </w:rPr>
            </w:pPr>
            <w:r/>
          </w:p>
        </w:tc>
        <w:tc>
          <w:tcPr>
            <w:tcW w:w="1040" w:type="dxa"/>
            <w:vAlign w:val="top"/>
          </w:tcPr>
          <w:p>
            <w:pPr>
              <w:ind w:left="442"/>
              <w:spacing w:before="6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X</w:t>
            </w:r>
          </w:p>
        </w:tc>
        <w:tc>
          <w:tcPr>
            <w:tcW w:w="1222" w:type="dxa"/>
            <w:vAlign w:val="top"/>
          </w:tcPr>
          <w:p>
            <w:pPr>
              <w:ind w:left="533"/>
              <w:spacing w:before="66"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Y</w:t>
            </w:r>
          </w:p>
        </w:tc>
        <w:tc>
          <w:tcPr>
            <w:tcW w:w="1587" w:type="dxa"/>
            <w:vAlign w:val="top"/>
            <w:vMerge w:val="continue"/>
            <w:tcBorders>
              <w:top w:val="nil"/>
            </w:tcBorders>
          </w:tcPr>
          <w:p>
            <w:pPr>
              <w:rPr>
                <w:rFonts w:ascii="Arial"/>
                <w:sz w:val="21"/>
              </w:rPr>
            </w:pPr>
            <w:r/>
          </w:p>
        </w:tc>
        <w:tc>
          <w:tcPr>
            <w:tcW w:w="1507" w:type="dxa"/>
            <w:vAlign w:val="top"/>
            <w:vMerge w:val="continue"/>
            <w:tcBorders>
              <w:top w:val="nil"/>
            </w:tcBorders>
          </w:tcPr>
          <w:p>
            <w:pPr>
              <w:rPr>
                <w:rFonts w:ascii="Arial"/>
                <w:sz w:val="21"/>
              </w:rPr>
            </w:pPr>
            <w:r/>
          </w:p>
        </w:tc>
        <w:tc>
          <w:tcPr>
            <w:tcW w:w="1573" w:type="dxa"/>
            <w:vAlign w:val="top"/>
            <w:vMerge w:val="continue"/>
            <w:tcBorders>
              <w:top w:val="nil"/>
            </w:tcBorders>
          </w:tcPr>
          <w:p>
            <w:pPr>
              <w:rPr>
                <w:rFonts w:ascii="Arial"/>
                <w:sz w:val="21"/>
              </w:rPr>
            </w:pPr>
            <w:r/>
          </w:p>
        </w:tc>
        <w:tc>
          <w:tcPr>
            <w:tcW w:w="2846" w:type="dxa"/>
            <w:vAlign w:val="top"/>
            <w:vMerge w:val="continue"/>
            <w:tcBorders>
              <w:right w:val="nil"/>
              <w:top w:val="nil"/>
            </w:tcBorders>
          </w:tcPr>
          <w:p>
            <w:pPr>
              <w:rPr>
                <w:rFonts w:ascii="Arial"/>
                <w:sz w:val="21"/>
              </w:rPr>
            </w:pPr>
            <w:r/>
          </w:p>
        </w:tc>
      </w:tr>
      <w:tr>
        <w:trPr>
          <w:trHeight w:val="549" w:hRule="atLeast"/>
        </w:trPr>
        <w:tc>
          <w:tcPr>
            <w:tcW w:w="1016" w:type="dxa"/>
            <w:vAlign w:val="top"/>
            <w:tcBorders>
              <w:left w:val="nil"/>
            </w:tcBorders>
          </w:tcPr>
          <w:p>
            <w:pPr>
              <w:pStyle w:val="TableText"/>
              <w:ind w:left="416" w:right="180" w:hanging="209"/>
              <w:spacing w:before="36" w:line="221" w:lineRule="auto"/>
              <w:rPr/>
            </w:pPr>
            <w:r>
              <w:rPr>
                <w:spacing w:val="-2"/>
              </w:rPr>
              <w:t>环境空</w:t>
            </w:r>
            <w:r>
              <w:rPr/>
              <w:t>气</w:t>
            </w:r>
          </w:p>
        </w:tc>
        <w:tc>
          <w:tcPr>
            <w:tcW w:w="2871" w:type="dxa"/>
            <w:vAlign w:val="top"/>
          </w:tcPr>
          <w:p>
            <w:pPr>
              <w:ind w:left="1325"/>
              <w:spacing w:before="2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040" w:type="dxa"/>
            <w:vAlign w:val="top"/>
          </w:tcPr>
          <w:p>
            <w:pPr>
              <w:ind w:left="408"/>
              <w:spacing w:before="2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22" w:type="dxa"/>
            <w:vAlign w:val="top"/>
          </w:tcPr>
          <w:p>
            <w:pPr>
              <w:ind w:left="501"/>
              <w:spacing w:before="2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87" w:type="dxa"/>
            <w:vAlign w:val="top"/>
          </w:tcPr>
          <w:p>
            <w:pPr>
              <w:ind w:left="683"/>
              <w:spacing w:before="2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07" w:type="dxa"/>
            <w:vAlign w:val="top"/>
          </w:tcPr>
          <w:p>
            <w:pPr>
              <w:ind w:left="644"/>
              <w:spacing w:before="2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73" w:type="dxa"/>
            <w:vAlign w:val="top"/>
          </w:tcPr>
          <w:p>
            <w:pPr>
              <w:ind w:left="675"/>
              <w:spacing w:before="29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2846" w:type="dxa"/>
            <w:vAlign w:val="top"/>
            <w:tcBorders>
              <w:right w:val="nil"/>
            </w:tcBorders>
          </w:tcPr>
          <w:p>
            <w:pPr>
              <w:pStyle w:val="TableText"/>
              <w:ind w:left="693" w:right="112" w:hanging="580"/>
              <w:spacing w:before="36" w:line="221" w:lineRule="auto"/>
              <w:rPr/>
            </w:pPr>
            <w:r>
              <w:rPr>
                <w:rFonts w:ascii="Times New Roman" w:hAnsi="Times New Roman" w:eastAsia="Times New Roman" w:cs="Times New Roman"/>
                <w:spacing w:val="-4"/>
              </w:rPr>
              <w:t>GB3095-2012</w:t>
            </w:r>
            <w:r>
              <w:rPr>
                <w:spacing w:val="-4"/>
              </w:rPr>
              <w:t>《环境空气质量</w:t>
            </w:r>
            <w:r>
              <w:rPr>
                <w:spacing w:val="-1"/>
              </w:rPr>
              <w:t>标准》二级标准</w:t>
            </w:r>
          </w:p>
        </w:tc>
      </w:tr>
      <w:tr>
        <w:trPr>
          <w:trHeight w:val="546" w:hRule="atLeast"/>
        </w:trPr>
        <w:tc>
          <w:tcPr>
            <w:tcW w:w="1016" w:type="dxa"/>
            <w:vAlign w:val="top"/>
            <w:tcBorders>
              <w:left w:val="nil"/>
            </w:tcBorders>
          </w:tcPr>
          <w:p>
            <w:pPr>
              <w:pStyle w:val="TableText"/>
              <w:ind w:left="212"/>
              <w:spacing w:before="172" w:line="221" w:lineRule="auto"/>
              <w:rPr/>
            </w:pPr>
            <w:r>
              <w:rPr>
                <w:spacing w:val="-2"/>
              </w:rPr>
              <w:t>声环境</w:t>
            </w:r>
          </w:p>
        </w:tc>
        <w:tc>
          <w:tcPr>
            <w:tcW w:w="2871" w:type="dxa"/>
            <w:vAlign w:val="top"/>
          </w:tcPr>
          <w:p>
            <w:pPr>
              <w:ind w:left="1325"/>
              <w:spacing w:before="2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040" w:type="dxa"/>
            <w:vAlign w:val="top"/>
          </w:tcPr>
          <w:p>
            <w:pPr>
              <w:ind w:left="408"/>
              <w:spacing w:before="2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22" w:type="dxa"/>
            <w:vAlign w:val="top"/>
          </w:tcPr>
          <w:p>
            <w:pPr>
              <w:ind w:left="501"/>
              <w:spacing w:before="2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87" w:type="dxa"/>
            <w:vAlign w:val="top"/>
          </w:tcPr>
          <w:p>
            <w:pPr>
              <w:ind w:left="683"/>
              <w:spacing w:before="2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07" w:type="dxa"/>
            <w:vAlign w:val="top"/>
          </w:tcPr>
          <w:p>
            <w:pPr>
              <w:ind w:left="644"/>
              <w:spacing w:before="2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73" w:type="dxa"/>
            <w:vAlign w:val="top"/>
          </w:tcPr>
          <w:p>
            <w:pPr>
              <w:ind w:left="675"/>
              <w:spacing w:before="29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2846" w:type="dxa"/>
            <w:vAlign w:val="top"/>
            <w:tcBorders>
              <w:right w:val="nil"/>
            </w:tcBorders>
          </w:tcPr>
          <w:p>
            <w:pPr>
              <w:pStyle w:val="TableText"/>
              <w:ind w:left="122" w:right="112" w:hanging="9"/>
              <w:spacing w:before="37" w:line="219" w:lineRule="auto"/>
              <w:rPr/>
            </w:pPr>
            <w:r>
              <w:rPr>
                <w:rFonts w:ascii="Times New Roman" w:hAnsi="Times New Roman" w:eastAsia="Times New Roman" w:cs="Times New Roman"/>
                <w:spacing w:val="-4"/>
              </w:rPr>
              <w:t>GB3096-2008</w:t>
            </w:r>
            <w:r>
              <w:rPr>
                <w:spacing w:val="-4"/>
              </w:rPr>
              <w:t>《声环境质量标</w:t>
            </w:r>
            <w:r>
              <w:rPr>
                <w:spacing w:val="-3"/>
              </w:rPr>
              <w:t>准》中</w:t>
            </w:r>
            <w:r>
              <w:rPr>
                <w:spacing w:val="-21"/>
              </w:rPr>
              <w:t xml:space="preserve"> </w:t>
            </w:r>
            <w:r>
              <w:rPr>
                <w:rFonts w:ascii="Times New Roman" w:hAnsi="Times New Roman" w:eastAsia="Times New Roman" w:cs="Times New Roman"/>
                <w:spacing w:val="-3"/>
              </w:rPr>
              <w:t>1 </w:t>
            </w:r>
            <w:r>
              <w:rPr>
                <w:spacing w:val="-3"/>
              </w:rPr>
              <w:t>类区及</w:t>
            </w:r>
            <w:r>
              <w:rPr>
                <w:spacing w:val="-49"/>
              </w:rPr>
              <w:t xml:space="preserve"> </w:t>
            </w:r>
            <w:r>
              <w:rPr>
                <w:rFonts w:ascii="Times New Roman" w:hAnsi="Times New Roman" w:eastAsia="Times New Roman" w:cs="Times New Roman"/>
                <w:spacing w:val="-3"/>
              </w:rPr>
              <w:t>4a </w:t>
            </w:r>
            <w:r>
              <w:rPr>
                <w:spacing w:val="-3"/>
              </w:rPr>
              <w:t>类区标准</w:t>
            </w:r>
          </w:p>
        </w:tc>
      </w:tr>
      <w:tr>
        <w:trPr>
          <w:trHeight w:val="546" w:hRule="atLeast"/>
        </w:trPr>
        <w:tc>
          <w:tcPr>
            <w:tcW w:w="1016" w:type="dxa"/>
            <w:vAlign w:val="top"/>
            <w:tcBorders>
              <w:left w:val="nil"/>
            </w:tcBorders>
          </w:tcPr>
          <w:p>
            <w:pPr>
              <w:pStyle w:val="TableText"/>
              <w:ind w:left="416" w:right="180" w:hanging="207"/>
              <w:spacing w:before="40" w:line="218" w:lineRule="auto"/>
              <w:rPr/>
            </w:pPr>
            <w:r>
              <w:rPr>
                <w:spacing w:val="-3"/>
              </w:rPr>
              <w:t>生态环</w:t>
            </w:r>
            <w:r>
              <w:rPr/>
              <w:t>境</w:t>
            </w:r>
          </w:p>
        </w:tc>
        <w:tc>
          <w:tcPr>
            <w:tcW w:w="2871" w:type="dxa"/>
            <w:vAlign w:val="top"/>
          </w:tcPr>
          <w:p>
            <w:pPr>
              <w:pStyle w:val="TableText"/>
              <w:ind w:left="282"/>
              <w:spacing w:before="177" w:line="219" w:lineRule="auto"/>
              <w:rPr/>
            </w:pPr>
            <w:r>
              <w:rPr>
                <w:spacing w:val="-1"/>
              </w:rPr>
              <w:t>评价范围内的植被及动物</w:t>
            </w:r>
          </w:p>
        </w:tc>
        <w:tc>
          <w:tcPr>
            <w:tcW w:w="1040" w:type="dxa"/>
            <w:vAlign w:val="top"/>
          </w:tcPr>
          <w:p>
            <w:pPr>
              <w:ind w:left="408"/>
              <w:spacing w:before="29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22" w:type="dxa"/>
            <w:vAlign w:val="top"/>
          </w:tcPr>
          <w:p>
            <w:pPr>
              <w:ind w:left="501"/>
              <w:spacing w:before="29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87" w:type="dxa"/>
            <w:vAlign w:val="top"/>
          </w:tcPr>
          <w:p>
            <w:pPr>
              <w:ind w:left="683"/>
              <w:spacing w:before="29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07" w:type="dxa"/>
            <w:vAlign w:val="top"/>
          </w:tcPr>
          <w:p>
            <w:pPr>
              <w:ind w:left="644"/>
              <w:spacing w:before="29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73" w:type="dxa"/>
            <w:vAlign w:val="top"/>
          </w:tcPr>
          <w:p>
            <w:pPr>
              <w:ind w:left="675"/>
              <w:spacing w:before="29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2846" w:type="dxa"/>
            <w:vAlign w:val="top"/>
            <w:tcBorders>
              <w:right w:val="nil"/>
            </w:tcBorders>
          </w:tcPr>
          <w:p>
            <w:pPr>
              <w:pStyle w:val="TableText"/>
              <w:ind w:left="694" w:right="162" w:hanging="527"/>
              <w:spacing w:before="40" w:line="218" w:lineRule="auto"/>
              <w:rPr/>
            </w:pPr>
            <w:r>
              <w:rPr>
                <w:spacing w:val="-1"/>
              </w:rPr>
              <w:t>保护区域生态环境不受项目</w:t>
            </w:r>
            <w:r>
              <w:rPr>
                <w:spacing w:val="-2"/>
              </w:rPr>
              <w:t>建设和运营影响</w:t>
            </w:r>
          </w:p>
        </w:tc>
      </w:tr>
      <w:tr>
        <w:trPr>
          <w:trHeight w:val="546" w:hRule="atLeast"/>
        </w:trPr>
        <w:tc>
          <w:tcPr>
            <w:tcW w:w="1016" w:type="dxa"/>
            <w:vAlign w:val="top"/>
            <w:tcBorders>
              <w:left w:val="nil"/>
            </w:tcBorders>
          </w:tcPr>
          <w:p>
            <w:pPr>
              <w:pStyle w:val="TableText"/>
              <w:ind w:left="207"/>
              <w:spacing w:before="180" w:line="221" w:lineRule="auto"/>
              <w:rPr/>
            </w:pPr>
            <w:r>
              <w:rPr>
                <w:spacing w:val="-2"/>
              </w:rPr>
              <w:t>地表水</w:t>
            </w:r>
          </w:p>
        </w:tc>
        <w:tc>
          <w:tcPr>
            <w:tcW w:w="2871" w:type="dxa"/>
            <w:vAlign w:val="top"/>
          </w:tcPr>
          <w:p>
            <w:pPr>
              <w:ind w:left="1325"/>
              <w:spacing w:before="30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040" w:type="dxa"/>
            <w:vAlign w:val="top"/>
          </w:tcPr>
          <w:p>
            <w:pPr>
              <w:ind w:left="408"/>
              <w:spacing w:before="30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22" w:type="dxa"/>
            <w:vAlign w:val="top"/>
          </w:tcPr>
          <w:p>
            <w:pPr>
              <w:ind w:left="501"/>
              <w:spacing w:before="30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87" w:type="dxa"/>
            <w:vAlign w:val="top"/>
          </w:tcPr>
          <w:p>
            <w:pPr>
              <w:ind w:left="683"/>
              <w:spacing w:before="30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07" w:type="dxa"/>
            <w:vAlign w:val="top"/>
          </w:tcPr>
          <w:p>
            <w:pPr>
              <w:ind w:left="644"/>
              <w:spacing w:before="30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73" w:type="dxa"/>
            <w:vAlign w:val="top"/>
          </w:tcPr>
          <w:p>
            <w:pPr>
              <w:ind w:left="675"/>
              <w:spacing w:before="30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2846" w:type="dxa"/>
            <w:vAlign w:val="top"/>
            <w:tcBorders>
              <w:right w:val="nil"/>
            </w:tcBorders>
          </w:tcPr>
          <w:p>
            <w:pPr>
              <w:pStyle w:val="TableText"/>
              <w:ind w:left="383" w:right="130" w:hanging="258"/>
              <w:spacing w:before="44" w:line="216" w:lineRule="auto"/>
              <w:rPr/>
            </w:pPr>
            <w:r>
              <w:rPr>
                <w:rFonts w:ascii="Times New Roman" w:hAnsi="Times New Roman" w:eastAsia="Times New Roman" w:cs="Times New Roman"/>
                <w:spacing w:val="-1"/>
              </w:rPr>
              <w:t>GB3838—2002</w:t>
            </w:r>
            <w:r>
              <w:rPr>
                <w:spacing w:val="-1"/>
              </w:rPr>
              <w:t>《地表水环境</w:t>
            </w:r>
            <w:r>
              <w:rPr>
                <w:spacing w:val="-1"/>
              </w:rPr>
              <w:t>质量标准》中</w:t>
            </w:r>
            <w:r>
              <w:rPr>
                <w:rFonts w:ascii="Times New Roman" w:hAnsi="Times New Roman" w:eastAsia="Times New Roman" w:cs="Times New Roman"/>
                <w:spacing w:val="-1"/>
              </w:rPr>
              <w:t>Ⅲ</w:t>
            </w:r>
            <w:r>
              <w:rPr>
                <w:spacing w:val="-1"/>
              </w:rPr>
              <w:t>类标准</w:t>
            </w:r>
          </w:p>
        </w:tc>
      </w:tr>
      <w:tr>
        <w:trPr>
          <w:trHeight w:val="546" w:hRule="atLeast"/>
        </w:trPr>
        <w:tc>
          <w:tcPr>
            <w:tcW w:w="1016" w:type="dxa"/>
            <w:vAlign w:val="top"/>
            <w:tcBorders>
              <w:left w:val="nil"/>
            </w:tcBorders>
          </w:tcPr>
          <w:p>
            <w:pPr>
              <w:pStyle w:val="TableText"/>
              <w:ind w:left="416" w:right="180" w:hanging="208"/>
              <w:spacing w:before="46" w:line="215" w:lineRule="auto"/>
              <w:rPr/>
            </w:pPr>
            <w:r>
              <w:rPr>
                <w:spacing w:val="-2"/>
              </w:rPr>
              <w:t>土壤环</w:t>
            </w:r>
            <w:r>
              <w:rPr/>
              <w:t>境</w:t>
            </w:r>
          </w:p>
        </w:tc>
        <w:tc>
          <w:tcPr>
            <w:tcW w:w="2871" w:type="dxa"/>
            <w:vAlign w:val="top"/>
          </w:tcPr>
          <w:p>
            <w:pPr>
              <w:pStyle w:val="TableText"/>
              <w:ind w:left="919" w:right="170" w:hanging="739"/>
              <w:spacing w:before="46" w:line="215" w:lineRule="auto"/>
              <w:rPr/>
            </w:pPr>
            <w:r>
              <w:rPr>
                <w:spacing w:val="-2"/>
              </w:rPr>
              <w:t>厂区内建设用地及周边</w:t>
            </w:r>
            <w:r>
              <w:rPr>
                <w:spacing w:val="-39"/>
              </w:rPr>
              <w:t xml:space="preserve"> </w:t>
            </w:r>
            <w:r>
              <w:rPr>
                <w:rFonts w:ascii="Times New Roman" w:hAnsi="Times New Roman" w:eastAsia="Times New Roman" w:cs="Times New Roman"/>
                <w:spacing w:val="-2"/>
              </w:rPr>
              <w:t>50m</w:t>
            </w:r>
            <w:r>
              <w:rPr>
                <w:spacing w:val="-2"/>
              </w:rPr>
              <w:t>范围内草地</w:t>
            </w:r>
          </w:p>
        </w:tc>
        <w:tc>
          <w:tcPr>
            <w:tcW w:w="1040" w:type="dxa"/>
            <w:vAlign w:val="top"/>
          </w:tcPr>
          <w:p>
            <w:pPr>
              <w:spacing w:line="242" w:lineRule="auto"/>
              <w:rPr>
                <w:rFonts w:ascii="Arial"/>
                <w:sz w:val="21"/>
              </w:rPr>
            </w:pPr>
            <w:r/>
          </w:p>
          <w:p>
            <w:pPr>
              <w:ind w:left="408"/>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222" w:type="dxa"/>
            <w:vAlign w:val="top"/>
          </w:tcPr>
          <w:p>
            <w:pPr>
              <w:spacing w:line="242" w:lineRule="auto"/>
              <w:rPr>
                <w:rFonts w:ascii="Arial"/>
                <w:sz w:val="21"/>
              </w:rPr>
            </w:pPr>
            <w:r/>
          </w:p>
          <w:p>
            <w:pPr>
              <w:ind w:left="501"/>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87" w:type="dxa"/>
            <w:vAlign w:val="top"/>
          </w:tcPr>
          <w:p>
            <w:pPr>
              <w:spacing w:line="242" w:lineRule="auto"/>
              <w:rPr>
                <w:rFonts w:ascii="Arial"/>
                <w:sz w:val="21"/>
              </w:rPr>
            </w:pPr>
            <w:r/>
          </w:p>
          <w:p>
            <w:pPr>
              <w:ind w:left="683"/>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507" w:type="dxa"/>
            <w:vAlign w:val="top"/>
          </w:tcPr>
          <w:p>
            <w:pPr>
              <w:ind w:left="629"/>
              <w:spacing w:before="113"/>
              <w:tabs>
                <w:tab w:val="left" w:pos="873"/>
              </w:tabs>
              <w:rPr>
                <w:rFonts w:ascii="Arial"/>
                <w:sz w:val="21"/>
              </w:rPr>
            </w:pPr>
            <w:r>
              <w:rPr>
                <w:rFonts w:ascii="Arial" w:hAnsi="Arial" w:eastAsia="Arial" w:cs="Arial"/>
                <w:sz w:val="21"/>
                <w:szCs w:val="21"/>
                <w:u w:val="single" w:color="auto"/>
              </w:rPr>
              <w:tab/>
            </w:r>
          </w:p>
        </w:tc>
        <w:tc>
          <w:tcPr>
            <w:tcW w:w="1573" w:type="dxa"/>
            <w:vAlign w:val="top"/>
          </w:tcPr>
          <w:p>
            <w:pPr>
              <w:ind w:left="661"/>
              <w:spacing w:before="113"/>
              <w:tabs>
                <w:tab w:val="left" w:pos="905"/>
              </w:tabs>
              <w:rPr>
                <w:rFonts w:ascii="Arial"/>
                <w:sz w:val="21"/>
              </w:rPr>
            </w:pPr>
            <w:r>
              <w:rPr>
                <w:rFonts w:ascii="Arial" w:hAnsi="Arial" w:eastAsia="Arial" w:cs="Arial"/>
                <w:sz w:val="21"/>
                <w:szCs w:val="21"/>
                <w:u w:val="single" w:color="auto"/>
              </w:rPr>
              <w:tab/>
            </w:r>
          </w:p>
        </w:tc>
        <w:tc>
          <w:tcPr>
            <w:tcW w:w="2846" w:type="dxa"/>
            <w:vAlign w:val="top"/>
            <w:tcBorders>
              <w:right w:val="nil"/>
            </w:tcBorders>
          </w:tcPr>
          <w:p>
            <w:pPr>
              <w:pStyle w:val="TableText"/>
              <w:ind w:left="485" w:right="111" w:hanging="367"/>
              <w:spacing w:before="46" w:line="215" w:lineRule="auto"/>
              <w:rPr/>
            </w:pPr>
            <w:r>
              <w:rPr>
                <w:rFonts w:ascii="Times New Roman" w:hAnsi="Times New Roman" w:eastAsia="Times New Roman" w:cs="Times New Roman"/>
                <w:spacing w:val="-2"/>
              </w:rPr>
              <w:t>GB15618-2018</w:t>
            </w:r>
            <w:r>
              <w:rPr>
                <w:rFonts w:ascii="Times New Roman" w:hAnsi="Times New Roman" w:eastAsia="Times New Roman" w:cs="Times New Roman"/>
                <w:spacing w:val="29"/>
              </w:rPr>
              <w:t xml:space="preserve"> </w:t>
            </w:r>
            <w:r>
              <w:rPr>
                <w:spacing w:val="-2"/>
              </w:rPr>
              <w:t>中农用地土壤</w:t>
            </w:r>
            <w:r>
              <w:rPr>
                <w:spacing w:val="-1"/>
              </w:rPr>
              <w:t>污染风险筛选值要求</w:t>
            </w:r>
          </w:p>
        </w:tc>
      </w:tr>
      <w:tr>
        <w:trPr>
          <w:trHeight w:val="572" w:hRule="atLeast"/>
        </w:trPr>
        <w:tc>
          <w:tcPr>
            <w:tcW w:w="1016" w:type="dxa"/>
            <w:vAlign w:val="top"/>
            <w:tcBorders>
              <w:left w:val="nil"/>
              <w:bottom w:val="single" w:color="000000" w:sz="10" w:space="0"/>
            </w:tcBorders>
          </w:tcPr>
          <w:p>
            <w:pPr>
              <w:pStyle w:val="TableText"/>
              <w:ind w:left="207"/>
              <w:spacing w:before="187" w:line="221" w:lineRule="auto"/>
              <w:rPr/>
            </w:pPr>
            <w:r>
              <w:rPr>
                <w:spacing w:val="-2"/>
              </w:rPr>
              <w:t>地下水</w:t>
            </w:r>
          </w:p>
        </w:tc>
        <w:tc>
          <w:tcPr>
            <w:tcW w:w="2871" w:type="dxa"/>
            <w:vAlign w:val="top"/>
            <w:tcBorders>
              <w:bottom w:val="single" w:color="000000" w:sz="10" w:space="0"/>
            </w:tcBorders>
          </w:tcPr>
          <w:p>
            <w:pPr>
              <w:pStyle w:val="TableText"/>
              <w:ind w:left="181"/>
              <w:spacing w:before="187" w:line="221" w:lineRule="auto"/>
              <w:rPr/>
            </w:pPr>
            <w:r>
              <w:rPr>
                <w:spacing w:val="-1"/>
              </w:rPr>
              <w:t>项目场区及周围浅层地下水</w:t>
            </w:r>
          </w:p>
        </w:tc>
        <w:tc>
          <w:tcPr>
            <w:tcW w:w="6929" w:type="dxa"/>
            <w:vAlign w:val="top"/>
            <w:gridSpan w:val="5"/>
            <w:tcBorders>
              <w:bottom w:val="single" w:color="000000" w:sz="10" w:space="0"/>
            </w:tcBorders>
          </w:tcPr>
          <w:p>
            <w:pPr>
              <w:pStyle w:val="TableText"/>
              <w:ind w:left="2804"/>
              <w:spacing w:before="172" w:line="283" w:lineRule="exact"/>
              <w:rPr>
                <w:rFonts w:ascii="Times New Roman" w:hAnsi="Times New Roman" w:eastAsia="Times New Roman" w:cs="Times New Roman"/>
                <w:sz w:val="13"/>
                <w:szCs w:val="13"/>
              </w:rPr>
            </w:pPr>
            <w:r>
              <w:rPr>
                <w:spacing w:val="-3"/>
                <w:position w:val="1"/>
              </w:rPr>
              <w:t>项目周界</w:t>
            </w:r>
            <w:r>
              <w:rPr>
                <w:spacing w:val="-38"/>
                <w:position w:val="1"/>
              </w:rPr>
              <w:t xml:space="preserve"> </w:t>
            </w:r>
            <w:r>
              <w:rPr>
                <w:rFonts w:ascii="Times New Roman" w:hAnsi="Times New Roman" w:eastAsia="Times New Roman" w:cs="Times New Roman"/>
                <w:spacing w:val="-3"/>
                <w:position w:val="1"/>
              </w:rPr>
              <w:t>6km</w:t>
            </w:r>
            <w:r>
              <w:rPr>
                <w:rFonts w:ascii="Times New Roman" w:hAnsi="Times New Roman" w:eastAsia="Times New Roman" w:cs="Times New Roman"/>
                <w:sz w:val="13"/>
                <w:szCs w:val="13"/>
                <w:spacing w:val="-3"/>
                <w:position w:val="10"/>
              </w:rPr>
              <w:t>2</w:t>
            </w:r>
          </w:p>
        </w:tc>
        <w:tc>
          <w:tcPr>
            <w:tcW w:w="2846" w:type="dxa"/>
            <w:vAlign w:val="top"/>
            <w:tcBorders>
              <w:right w:val="nil"/>
              <w:bottom w:val="single" w:color="000000" w:sz="10" w:space="0"/>
            </w:tcBorders>
          </w:tcPr>
          <w:p>
            <w:pPr>
              <w:pStyle w:val="TableText"/>
              <w:ind w:left="591" w:right="128" w:hanging="478"/>
              <w:spacing w:before="52" w:line="224" w:lineRule="auto"/>
              <w:rPr/>
            </w:pPr>
            <w:r>
              <w:rPr>
                <w:rFonts w:ascii="Times New Roman" w:hAnsi="Times New Roman" w:eastAsia="Times New Roman" w:cs="Times New Roman"/>
                <w:spacing w:val="-2"/>
              </w:rPr>
              <w:t>GB/T14848-2017</w:t>
            </w:r>
            <w:r>
              <w:rPr>
                <w:rFonts w:ascii="Times New Roman" w:hAnsi="Times New Roman" w:eastAsia="Times New Roman" w:cs="Times New Roman"/>
                <w:spacing w:val="42"/>
                <w:w w:val="101"/>
              </w:rPr>
              <w:t xml:space="preserve"> </w:t>
            </w:r>
            <w:r>
              <w:rPr>
                <w:spacing w:val="-2"/>
              </w:rPr>
              <w:t>《地下水质</w:t>
            </w:r>
            <w:r>
              <w:rPr>
                <w:spacing w:val="-1"/>
              </w:rPr>
              <w:t>量标准》</w:t>
            </w:r>
            <w:r>
              <w:rPr>
                <w:rFonts w:ascii="Times New Roman" w:hAnsi="Times New Roman" w:eastAsia="Times New Roman" w:cs="Times New Roman"/>
                <w:spacing w:val="-1"/>
              </w:rPr>
              <w:t>Ⅲ</w:t>
            </w:r>
            <w:r>
              <w:rPr>
                <w:spacing w:val="-1"/>
              </w:rPr>
              <w:t>类标准</w:t>
            </w:r>
          </w:p>
        </w:tc>
      </w:tr>
    </w:tbl>
    <w:p>
      <w:pPr>
        <w:pStyle w:val="BodyText"/>
        <w:rPr/>
      </w:pPr>
      <w:r/>
    </w:p>
    <w:p>
      <w:pPr>
        <w:sectPr>
          <w:headerReference w:type="default" r:id="rId66"/>
          <w:footerReference w:type="default" r:id="rId67"/>
          <w:pgSz w:w="16839" w:h="11907"/>
          <w:pgMar w:top="1422" w:right="1594" w:bottom="1638" w:left="1581" w:header="1034" w:footer="1417" w:gutter="0"/>
        </w:sectPr>
        <w:rPr/>
      </w:pPr>
    </w:p>
    <w:p>
      <w:pPr>
        <w:pStyle w:val="BodyText"/>
        <w:spacing w:line="332" w:lineRule="auto"/>
        <w:rPr/>
      </w:pPr>
      <w:r/>
    </w:p>
    <w:p>
      <w:pPr>
        <w:ind w:left="127"/>
        <w:spacing w:before="97" w:line="233" w:lineRule="auto"/>
        <w:outlineLvl w:val="0"/>
        <w:rPr>
          <w:rFonts w:ascii="SimSun" w:hAnsi="SimSun" w:eastAsia="SimSun" w:cs="SimSun"/>
          <w:sz w:val="30"/>
          <w:szCs w:val="30"/>
        </w:rPr>
      </w:pPr>
      <w:bookmarkStart w:name="bookmark17" w:id="20"/>
      <w:bookmarkEnd w:id="20"/>
      <w:bookmarkStart w:name="bookmark18" w:id="21"/>
      <w:bookmarkEnd w:id="21"/>
      <w:r>
        <w:rPr>
          <w:rFonts w:ascii="Times New Roman" w:hAnsi="Times New Roman" w:eastAsia="Times New Roman" w:cs="Times New Roman"/>
          <w:sz w:val="30"/>
          <w:szCs w:val="30"/>
          <w:b/>
          <w:bCs/>
          <w:spacing w:val="-3"/>
        </w:rPr>
        <w:t>3.</w:t>
      </w:r>
      <w:r>
        <w:rPr>
          <w:rFonts w:ascii="SimSun" w:hAnsi="SimSun" w:eastAsia="SimSun" w:cs="SimSun"/>
          <w:sz w:val="30"/>
          <w:szCs w:val="30"/>
          <w:b/>
          <w:bCs/>
          <w:spacing w:val="-3"/>
        </w:rPr>
        <w:t>建设项目概况与工程分析</w:t>
      </w:r>
    </w:p>
    <w:p>
      <w:pPr>
        <w:pStyle w:val="BodyText"/>
        <w:spacing w:line="446" w:lineRule="auto"/>
        <w:rPr/>
      </w:pPr>
      <w:r/>
    </w:p>
    <w:p>
      <w:pPr>
        <w:ind w:left="126"/>
        <w:spacing w:before="78" w:line="233" w:lineRule="auto"/>
        <w:outlineLvl w:val="1"/>
        <w:rPr>
          <w:rFonts w:ascii="SimSun" w:hAnsi="SimSun" w:eastAsia="SimSun" w:cs="SimSun"/>
          <w:sz w:val="24"/>
          <w:szCs w:val="24"/>
        </w:rPr>
      </w:pPr>
      <w:bookmarkStart w:name="bookmark65" w:id="22"/>
      <w:bookmarkEnd w:id="22"/>
      <w:r>
        <w:rPr>
          <w:rFonts w:ascii="Times New Roman" w:hAnsi="Times New Roman" w:eastAsia="Times New Roman" w:cs="Times New Roman"/>
          <w:sz w:val="24"/>
          <w:szCs w:val="24"/>
          <w:b/>
          <w:bCs/>
          <w:spacing w:val="-2"/>
        </w:rPr>
        <w:t>3.1 </w:t>
      </w:r>
      <w:r>
        <w:rPr>
          <w:rFonts w:ascii="SimSun" w:hAnsi="SimSun" w:eastAsia="SimSun" w:cs="SimSun"/>
          <w:sz w:val="24"/>
          <w:szCs w:val="24"/>
          <w:b/>
          <w:bCs/>
          <w:spacing w:val="-2"/>
        </w:rPr>
        <w:t>建设项目概况</w:t>
      </w:r>
    </w:p>
    <w:p>
      <w:pPr>
        <w:pStyle w:val="BodyText"/>
        <w:spacing w:line="343" w:lineRule="auto"/>
        <w:rPr/>
      </w:pPr>
      <w:r/>
    </w:p>
    <w:p>
      <w:pPr>
        <w:ind w:left="126"/>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3.1.1 </w:t>
      </w:r>
      <w:r>
        <w:rPr>
          <w:rFonts w:ascii="SimSun" w:hAnsi="SimSun" w:eastAsia="SimSun" w:cs="SimSun"/>
          <w:sz w:val="24"/>
          <w:szCs w:val="24"/>
          <w:b/>
          <w:bCs/>
          <w:spacing w:val="-2"/>
        </w:rPr>
        <w:t>项目名称、建设性质及建设地点</w:t>
      </w:r>
    </w:p>
    <w:p>
      <w:pPr>
        <w:pStyle w:val="BodyText"/>
        <w:spacing w:line="343" w:lineRule="auto"/>
        <w:rPr/>
      </w:pPr>
      <w:r/>
    </w:p>
    <w:p>
      <w:pPr>
        <w:ind w:left="177" w:right="115" w:firstLine="437"/>
        <w:spacing w:before="78" w:line="359" w:lineRule="auto"/>
        <w:rPr>
          <w:rFonts w:ascii="SimSun" w:hAnsi="SimSun" w:eastAsia="SimSun" w:cs="SimSun"/>
          <w:sz w:val="24"/>
          <w:szCs w:val="24"/>
        </w:rPr>
      </w:pPr>
      <w:r>
        <w:rPr>
          <w:rFonts w:ascii="SimSun" w:hAnsi="SimSun" w:eastAsia="SimSun" w:cs="SimSun"/>
          <w:sz w:val="24"/>
          <w:szCs w:val="24"/>
          <w:spacing w:val="2"/>
        </w:rPr>
        <w:t>项目名称：锡林郭勒盟牧林农机服务有限责任公司肉牛育肥养殖基地建设项</w:t>
      </w:r>
      <w:r>
        <w:rPr>
          <w:rFonts w:ascii="SimSun" w:hAnsi="SimSun" w:eastAsia="SimSun" w:cs="SimSun"/>
          <w:sz w:val="24"/>
          <w:szCs w:val="24"/>
        </w:rPr>
        <w:t>目</w:t>
      </w:r>
    </w:p>
    <w:p>
      <w:pPr>
        <w:ind w:left="614"/>
        <w:spacing w:before="1" w:line="218" w:lineRule="auto"/>
        <w:rPr>
          <w:rFonts w:ascii="SimSun" w:hAnsi="SimSun" w:eastAsia="SimSun" w:cs="SimSun"/>
          <w:sz w:val="24"/>
          <w:szCs w:val="24"/>
        </w:rPr>
      </w:pPr>
      <w:r>
        <w:rPr>
          <w:rFonts w:ascii="SimSun" w:hAnsi="SimSun" w:eastAsia="SimSun" w:cs="SimSun"/>
          <w:sz w:val="24"/>
          <w:szCs w:val="24"/>
          <w:spacing w:val="-1"/>
        </w:rPr>
        <w:t>建设单位：锡林郭勒盟牧林农机服务有限责任公司</w:t>
      </w:r>
    </w:p>
    <w:p>
      <w:pPr>
        <w:ind w:left="614"/>
        <w:spacing w:before="184" w:line="220" w:lineRule="auto"/>
        <w:rPr>
          <w:rFonts w:ascii="SimSun" w:hAnsi="SimSun" w:eastAsia="SimSun" w:cs="SimSun"/>
          <w:sz w:val="24"/>
          <w:szCs w:val="24"/>
        </w:rPr>
      </w:pPr>
      <w:r>
        <w:rPr>
          <w:rFonts w:ascii="SimSun" w:hAnsi="SimSun" w:eastAsia="SimSun" w:cs="SimSun"/>
          <w:sz w:val="24"/>
          <w:szCs w:val="24"/>
          <w:spacing w:val="-2"/>
        </w:rPr>
        <w:t>建设性质：新建</w:t>
      </w:r>
    </w:p>
    <w:p>
      <w:pPr>
        <w:ind w:left="130" w:right="106" w:firstLine="483"/>
        <w:spacing w:before="180" w:line="360" w:lineRule="auto"/>
        <w:jc w:val="both"/>
        <w:rPr>
          <w:rFonts w:ascii="SimSun" w:hAnsi="SimSun" w:eastAsia="SimSun" w:cs="SimSun"/>
          <w:sz w:val="24"/>
          <w:szCs w:val="24"/>
        </w:rPr>
      </w:pPr>
      <w:r>
        <w:rPr>
          <w:rFonts w:ascii="SimSun" w:hAnsi="SimSun" w:eastAsia="SimSun" w:cs="SimSun"/>
          <w:sz w:val="24"/>
          <w:szCs w:val="24"/>
          <w:spacing w:val="3"/>
        </w:rPr>
        <w:t>建设地点：本项目位于锡林郭勒盟锡林浩特</w:t>
      </w:r>
      <w:r>
        <w:rPr>
          <w:rFonts w:ascii="SimSun" w:hAnsi="SimSun" w:eastAsia="SimSun" w:cs="SimSun"/>
          <w:sz w:val="24"/>
          <w:szCs w:val="24"/>
          <w:spacing w:val="2"/>
        </w:rPr>
        <w:t>市额尔顿街道办事处新兴社区沃</w:t>
      </w:r>
      <w:r>
        <w:rPr>
          <w:rFonts w:ascii="SimSun" w:hAnsi="SimSun" w:eastAsia="SimSun" w:cs="SimSun"/>
          <w:sz w:val="24"/>
          <w:szCs w:val="24"/>
          <w:spacing w:val="-4"/>
        </w:rPr>
        <w:t>源奶牛场，中心地理坐标为东经 </w:t>
      </w:r>
      <w:r>
        <w:rPr>
          <w:rFonts w:ascii="Times New Roman" w:hAnsi="Times New Roman" w:eastAsia="Times New Roman" w:cs="Times New Roman"/>
          <w:sz w:val="24"/>
          <w:szCs w:val="24"/>
          <w:spacing w:val="-4"/>
        </w:rPr>
        <w:t>116</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4"/>
        </w:rPr>
        <w:t>度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分</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5"/>
        </w:rPr>
        <w:t>1.345</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5"/>
        </w:rPr>
        <w:t>秒；北纬</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5"/>
        </w:rPr>
        <w:t>43</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5"/>
        </w:rPr>
        <w:t>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56</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5"/>
        </w:rPr>
        <w:t>分</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5"/>
        </w:rPr>
        <w:t>38.833</w:t>
      </w:r>
      <w:r>
        <w:rPr>
          <w:rFonts w:ascii="SimSun" w:hAnsi="SimSun" w:eastAsia="SimSun" w:cs="SimSun"/>
          <w:sz w:val="24"/>
          <w:szCs w:val="24"/>
          <w:spacing w:val="-1"/>
        </w:rPr>
        <w:t>秒，场区东侧为牧草地，南侧为牧草地，西侧</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
        </w:rPr>
        <w:t>40m</w:t>
      </w:r>
      <w:r>
        <w:rPr>
          <w:rFonts w:ascii="Times New Roman" w:hAnsi="Times New Roman" w:eastAsia="Times New Roman" w:cs="Times New Roman"/>
          <w:sz w:val="24"/>
          <w:szCs w:val="24"/>
          <w:spacing w:val="32"/>
          <w:w w:val="101"/>
        </w:rPr>
        <w:t xml:space="preserve"> </w:t>
      </w:r>
      <w:r>
        <w:rPr>
          <w:rFonts w:ascii="SimSun" w:hAnsi="SimSun" w:eastAsia="SimSun" w:cs="SimSun"/>
          <w:sz w:val="24"/>
          <w:szCs w:val="24"/>
          <w:spacing w:val="-1"/>
        </w:rPr>
        <w:t>为乌海线公路，隔公路</w:t>
      </w:r>
      <w:r>
        <w:rPr>
          <w:rFonts w:ascii="SimSun" w:hAnsi="SimSun" w:eastAsia="SimSun" w:cs="SimSun"/>
          <w:sz w:val="24"/>
          <w:szCs w:val="24"/>
          <w:spacing w:val="-2"/>
        </w:rPr>
        <w:t>为牧草</w:t>
      </w:r>
      <w:r>
        <w:rPr>
          <w:rFonts w:ascii="SimSun" w:hAnsi="SimSun" w:eastAsia="SimSun" w:cs="SimSun"/>
          <w:sz w:val="24"/>
          <w:szCs w:val="24"/>
          <w:spacing w:val="-1"/>
        </w:rPr>
        <w:t>地和锡市公墓区，北侧为牧草地，最近敏感点为西侧 </w:t>
      </w:r>
      <w:r>
        <w:rPr>
          <w:rFonts w:ascii="Times New Roman" w:hAnsi="Times New Roman" w:eastAsia="Times New Roman" w:cs="Times New Roman"/>
          <w:sz w:val="24"/>
          <w:szCs w:val="24"/>
          <w:spacing w:val="-1"/>
        </w:rPr>
        <w:t>4.5km  </w:t>
      </w:r>
      <w:r>
        <w:rPr>
          <w:rFonts w:ascii="SimSun" w:hAnsi="SimSun" w:eastAsia="SimSun" w:cs="SimSun"/>
          <w:sz w:val="24"/>
          <w:szCs w:val="24"/>
          <w:spacing w:val="-1"/>
        </w:rPr>
        <w:t>处锡林浩特市居民，</w:t>
      </w:r>
      <w:r>
        <w:rPr>
          <w:rFonts w:ascii="SimSun" w:hAnsi="SimSun" w:eastAsia="SimSun" w:cs="SimSun"/>
          <w:sz w:val="24"/>
          <w:szCs w:val="24"/>
          <w:spacing w:val="-3"/>
        </w:rPr>
        <w:t>本项目地理位置详见附图</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w:t>
      </w:r>
    </w:p>
    <w:p>
      <w:pPr>
        <w:ind w:left="126"/>
        <w:spacing w:before="256"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3.1.2 </w:t>
      </w:r>
      <w:r>
        <w:rPr>
          <w:rFonts w:ascii="SimSun" w:hAnsi="SimSun" w:eastAsia="SimSun" w:cs="SimSun"/>
          <w:sz w:val="24"/>
          <w:szCs w:val="24"/>
          <w:b/>
          <w:bCs/>
          <w:spacing w:val="-2"/>
        </w:rPr>
        <w:t>项目总投资及环保投资</w:t>
      </w:r>
    </w:p>
    <w:p>
      <w:pPr>
        <w:pStyle w:val="BodyText"/>
        <w:spacing w:line="341" w:lineRule="auto"/>
        <w:rPr/>
      </w:pPr>
      <w:r/>
    </w:p>
    <w:p>
      <w:pPr>
        <w:ind w:left="154" w:right="105" w:firstLine="461"/>
        <w:spacing w:before="79" w:line="361" w:lineRule="auto"/>
        <w:rPr>
          <w:rFonts w:ascii="SimSun" w:hAnsi="SimSun" w:eastAsia="SimSun" w:cs="SimSun"/>
          <w:sz w:val="24"/>
          <w:szCs w:val="24"/>
        </w:rPr>
      </w:pPr>
      <w:r>
        <w:rPr>
          <w:rFonts w:ascii="SimSun" w:hAnsi="SimSun" w:eastAsia="SimSun" w:cs="SimSun"/>
          <w:sz w:val="24"/>
          <w:szCs w:val="24"/>
          <w:spacing w:val="-3"/>
        </w:rPr>
        <w:t>项目总投资</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3"/>
        </w:rPr>
        <w:t>330</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万元，其中建设单位自筹 </w:t>
      </w:r>
      <w:r>
        <w:rPr>
          <w:rFonts w:ascii="Times New Roman" w:hAnsi="Times New Roman" w:eastAsia="Times New Roman" w:cs="Times New Roman"/>
          <w:sz w:val="24"/>
          <w:szCs w:val="24"/>
          <w:spacing w:val="-3"/>
        </w:rPr>
        <w:t>130</w:t>
      </w:r>
      <w:r>
        <w:rPr>
          <w:rFonts w:ascii="Times New Roman" w:hAnsi="Times New Roman" w:eastAsia="Times New Roman" w:cs="Times New Roman"/>
          <w:sz w:val="24"/>
          <w:szCs w:val="24"/>
          <w:spacing w:val="34"/>
          <w:w w:val="101"/>
        </w:rPr>
        <w:t xml:space="preserve"> </w:t>
      </w:r>
      <w:r>
        <w:rPr>
          <w:rFonts w:ascii="SimSun" w:hAnsi="SimSun" w:eastAsia="SimSun" w:cs="SimSun"/>
          <w:sz w:val="24"/>
          <w:szCs w:val="24"/>
          <w:spacing w:val="-3"/>
        </w:rPr>
        <w:t>万元，银行贷款</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3"/>
        </w:rPr>
        <w:t>200</w:t>
      </w:r>
      <w:r>
        <w:rPr>
          <w:rFonts w:ascii="Times New Roman" w:hAnsi="Times New Roman" w:eastAsia="Times New Roman" w:cs="Times New Roman"/>
          <w:sz w:val="24"/>
          <w:szCs w:val="24"/>
          <w:spacing w:val="32"/>
          <w:w w:val="101"/>
        </w:rPr>
        <w:t xml:space="preserve"> </w:t>
      </w:r>
      <w:r>
        <w:rPr>
          <w:rFonts w:ascii="SimSun" w:hAnsi="SimSun" w:eastAsia="SimSun" w:cs="SimSun"/>
          <w:sz w:val="24"/>
          <w:szCs w:val="24"/>
          <w:spacing w:val="-3"/>
        </w:rPr>
        <w:t>万</w:t>
      </w:r>
      <w:r>
        <w:rPr>
          <w:rFonts w:ascii="SimSun" w:hAnsi="SimSun" w:eastAsia="SimSun" w:cs="SimSun"/>
          <w:sz w:val="24"/>
          <w:szCs w:val="24"/>
          <w:spacing w:val="-4"/>
        </w:rPr>
        <w:t>元。其</w:t>
      </w:r>
      <w:r>
        <w:rPr>
          <w:rFonts w:ascii="SimSun" w:hAnsi="SimSun" w:eastAsia="SimSun" w:cs="SimSun"/>
          <w:sz w:val="24"/>
          <w:szCs w:val="24"/>
          <w:spacing w:val="-4"/>
        </w:rPr>
        <w:t>中环保投资为</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万元，占总投资的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9.1%</w:t>
      </w:r>
      <w:r>
        <w:rPr>
          <w:rFonts w:ascii="SimSun" w:hAnsi="SimSun" w:eastAsia="SimSun" w:cs="SimSun"/>
          <w:sz w:val="24"/>
          <w:szCs w:val="24"/>
          <w:spacing w:val="-4"/>
        </w:rPr>
        <w:t>。</w:t>
      </w:r>
    </w:p>
    <w:p>
      <w:pPr>
        <w:ind w:left="126"/>
        <w:spacing w:before="256"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3.1.3 </w:t>
      </w:r>
      <w:r>
        <w:rPr>
          <w:rFonts w:ascii="SimSun" w:hAnsi="SimSun" w:eastAsia="SimSun" w:cs="SimSun"/>
          <w:sz w:val="24"/>
          <w:szCs w:val="24"/>
          <w:b/>
          <w:bCs/>
          <w:spacing w:val="-2"/>
        </w:rPr>
        <w:t>建设规模及组成</w:t>
      </w:r>
    </w:p>
    <w:p>
      <w:pPr>
        <w:pStyle w:val="BodyText"/>
        <w:spacing w:line="341" w:lineRule="auto"/>
        <w:rPr/>
      </w:pPr>
      <w:r/>
    </w:p>
    <w:p>
      <w:pPr>
        <w:ind w:left="618"/>
        <w:spacing w:before="79"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）建设规模</w:t>
      </w:r>
    </w:p>
    <w:p>
      <w:pPr>
        <w:ind w:left="138" w:right="105" w:firstLine="474"/>
        <w:spacing w:before="165" w:line="359" w:lineRule="auto"/>
        <w:rPr>
          <w:rFonts w:ascii="SimSun" w:hAnsi="SimSun" w:eastAsia="SimSun" w:cs="SimSun"/>
          <w:sz w:val="24"/>
          <w:szCs w:val="24"/>
        </w:rPr>
      </w:pPr>
      <w:r>
        <w:rPr>
          <w:rFonts w:ascii="SimSun" w:hAnsi="SimSun" w:eastAsia="SimSun" w:cs="SimSun"/>
          <w:sz w:val="24"/>
          <w:szCs w:val="24"/>
          <w:spacing w:val="-1"/>
        </w:rPr>
        <w:t>本项目建成后育肥牛均外购，从购入到出栏平均需 </w:t>
      </w:r>
      <w:r>
        <w:rPr>
          <w:rFonts w:ascii="Times New Roman" w:hAnsi="Times New Roman" w:eastAsia="Times New Roman" w:cs="Times New Roman"/>
          <w:sz w:val="24"/>
          <w:szCs w:val="24"/>
          <w:spacing w:val="-1"/>
        </w:rPr>
        <w:t>6  </w:t>
      </w:r>
      <w:r>
        <w:rPr>
          <w:rFonts w:ascii="SimSun" w:hAnsi="SimSun" w:eastAsia="SimSun" w:cs="SimSun"/>
          <w:sz w:val="24"/>
          <w:szCs w:val="24"/>
          <w:spacing w:val="-1"/>
        </w:rPr>
        <w:t>个月，平均每年出栏 </w:t>
      </w:r>
      <w:r>
        <w:rPr>
          <w:rFonts w:ascii="Times New Roman" w:hAnsi="Times New Roman" w:eastAsia="Times New Roman" w:cs="Times New Roman"/>
          <w:sz w:val="24"/>
          <w:szCs w:val="24"/>
          <w:spacing w:val="-1"/>
        </w:rPr>
        <w:t>2</w:t>
      </w:r>
      <w:r>
        <w:rPr>
          <w:rFonts w:ascii="SimSun" w:hAnsi="SimSun" w:eastAsia="SimSun" w:cs="SimSun"/>
          <w:sz w:val="24"/>
          <w:szCs w:val="24"/>
          <w:spacing w:val="-2"/>
        </w:rPr>
        <w:t>次，年存栏育肥牛</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600 </w:t>
      </w:r>
      <w:r>
        <w:rPr>
          <w:rFonts w:ascii="SimSun" w:hAnsi="SimSun" w:eastAsia="SimSun" w:cs="SimSun"/>
          <w:sz w:val="24"/>
          <w:szCs w:val="24"/>
          <w:spacing w:val="-2"/>
        </w:rPr>
        <w:t>头，年出栏育肥牛</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1200</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头，该场不涉及种牛繁育。</w:t>
      </w:r>
    </w:p>
    <w:p>
      <w:pPr>
        <w:ind w:left="612"/>
        <w:spacing w:before="1" w:line="232" w:lineRule="auto"/>
        <w:rPr>
          <w:rFonts w:ascii="SimSun" w:hAnsi="SimSun" w:eastAsia="SimSun" w:cs="SimSun"/>
          <w:sz w:val="24"/>
          <w:szCs w:val="24"/>
        </w:rPr>
      </w:pPr>
      <w:r>
        <w:rPr>
          <w:rFonts w:ascii="SimSun" w:hAnsi="SimSun" w:eastAsia="SimSun" w:cs="SimSun"/>
          <w:sz w:val="24"/>
          <w:szCs w:val="24"/>
          <w:spacing w:val="-2"/>
        </w:rPr>
        <w:t>本项目存栏、出栏情况详见表</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3-1</w:t>
      </w:r>
      <w:r>
        <w:rPr>
          <w:rFonts w:ascii="SimSun" w:hAnsi="SimSun" w:eastAsia="SimSun" w:cs="SimSun"/>
          <w:sz w:val="24"/>
          <w:szCs w:val="24"/>
          <w:spacing w:val="-2"/>
        </w:rPr>
        <w:t>。</w:t>
      </w:r>
    </w:p>
    <w:p>
      <w:pPr>
        <w:ind w:left="2082"/>
        <w:spacing w:before="163"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spacing w:val="-2"/>
        </w:rPr>
        <w:t>3-1      </w:t>
      </w:r>
      <w:r>
        <w:rPr>
          <w:rFonts w:ascii="SimSun" w:hAnsi="SimSun" w:eastAsia="SimSun" w:cs="SimSun"/>
          <w:sz w:val="24"/>
          <w:szCs w:val="24"/>
          <w:b/>
          <w:bCs/>
          <w:spacing w:val="-2"/>
        </w:rPr>
        <w:t>本项目生猪存栏、出栏情况一览表</w:t>
      </w:r>
    </w:p>
    <w:p>
      <w:pPr>
        <w:spacing w:line="13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696"/>
        <w:gridCol w:w="1932"/>
        <w:gridCol w:w="2098"/>
        <w:gridCol w:w="2278"/>
      </w:tblGrid>
      <w:tr>
        <w:trPr>
          <w:trHeight w:val="270" w:hRule="atLeast"/>
        </w:trPr>
        <w:tc>
          <w:tcPr>
            <w:tcW w:w="731" w:type="dxa"/>
            <w:vAlign w:val="top"/>
            <w:tcBorders>
              <w:top w:val="single" w:color="000000" w:sz="10" w:space="0"/>
              <w:left w:val="nil"/>
            </w:tcBorders>
          </w:tcPr>
          <w:p>
            <w:pPr>
              <w:pStyle w:val="TableText"/>
              <w:ind w:left="168"/>
              <w:spacing w:before="33" w:line="199" w:lineRule="auto"/>
              <w:rPr/>
            </w:pPr>
            <w:r>
              <w:rPr>
                <w:b/>
                <w:bCs/>
                <w:spacing w:val="-4"/>
              </w:rPr>
              <w:t>序号</w:t>
            </w:r>
          </w:p>
        </w:tc>
        <w:tc>
          <w:tcPr>
            <w:tcW w:w="1696" w:type="dxa"/>
            <w:vAlign w:val="top"/>
            <w:tcBorders>
              <w:top w:val="single" w:color="000000" w:sz="10" w:space="0"/>
            </w:tcBorders>
          </w:tcPr>
          <w:p>
            <w:pPr>
              <w:pStyle w:val="TableText"/>
              <w:ind w:left="640"/>
              <w:spacing w:before="33" w:line="199" w:lineRule="auto"/>
              <w:rPr/>
            </w:pPr>
            <w:r>
              <w:rPr>
                <w:b/>
                <w:bCs/>
                <w:spacing w:val="-4"/>
              </w:rPr>
              <w:t>类别</w:t>
            </w:r>
          </w:p>
        </w:tc>
        <w:tc>
          <w:tcPr>
            <w:tcW w:w="1932" w:type="dxa"/>
            <w:vAlign w:val="top"/>
            <w:tcBorders>
              <w:top w:val="single" w:color="000000" w:sz="10" w:space="0"/>
            </w:tcBorders>
          </w:tcPr>
          <w:p>
            <w:pPr>
              <w:pStyle w:val="TableText"/>
              <w:ind w:left="234"/>
              <w:spacing w:before="33" w:line="199" w:lineRule="auto"/>
              <w:rPr/>
            </w:pPr>
            <w:r>
              <w:rPr>
                <w:b/>
                <w:bCs/>
                <w:spacing w:val="-5"/>
              </w:rPr>
              <w:t>年存栏量（头）</w:t>
            </w:r>
          </w:p>
        </w:tc>
        <w:tc>
          <w:tcPr>
            <w:tcW w:w="2098" w:type="dxa"/>
            <w:vAlign w:val="top"/>
            <w:tcBorders>
              <w:top w:val="single" w:color="000000" w:sz="10" w:space="0"/>
            </w:tcBorders>
          </w:tcPr>
          <w:p>
            <w:pPr>
              <w:pStyle w:val="TableText"/>
              <w:ind w:left="316"/>
              <w:spacing w:before="33" w:line="199" w:lineRule="auto"/>
              <w:rPr/>
            </w:pPr>
            <w:r>
              <w:rPr>
                <w:b/>
                <w:bCs/>
                <w:spacing w:val="-5"/>
              </w:rPr>
              <w:t>年出栏量（头）</w:t>
            </w:r>
          </w:p>
        </w:tc>
        <w:tc>
          <w:tcPr>
            <w:tcW w:w="2278" w:type="dxa"/>
            <w:vAlign w:val="top"/>
            <w:tcBorders>
              <w:top w:val="single" w:color="000000" w:sz="10" w:space="0"/>
              <w:right w:val="nil"/>
            </w:tcBorders>
          </w:tcPr>
          <w:p>
            <w:pPr>
              <w:pStyle w:val="TableText"/>
              <w:ind w:left="935"/>
              <w:spacing w:before="33" w:line="199" w:lineRule="auto"/>
              <w:rPr/>
            </w:pPr>
            <w:r>
              <w:rPr>
                <w:b/>
                <w:bCs/>
                <w:spacing w:val="-5"/>
              </w:rPr>
              <w:t>备注</w:t>
            </w:r>
          </w:p>
        </w:tc>
      </w:tr>
      <w:tr>
        <w:trPr>
          <w:trHeight w:val="289" w:hRule="atLeast"/>
        </w:trPr>
        <w:tc>
          <w:tcPr>
            <w:tcW w:w="731" w:type="dxa"/>
            <w:vAlign w:val="top"/>
            <w:tcBorders>
              <w:bottom w:val="single" w:color="000000" w:sz="10" w:space="0"/>
              <w:left w:val="nil"/>
            </w:tcBorders>
          </w:tcPr>
          <w:p>
            <w:pPr>
              <w:ind w:left="343"/>
              <w:spacing w:before="71"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696" w:type="dxa"/>
            <w:vAlign w:val="top"/>
            <w:tcBorders>
              <w:bottom w:val="single" w:color="000000" w:sz="10" w:space="0"/>
            </w:tcBorders>
          </w:tcPr>
          <w:p>
            <w:pPr>
              <w:pStyle w:val="TableText"/>
              <w:ind w:left="545"/>
              <w:spacing w:before="41" w:line="209" w:lineRule="auto"/>
              <w:rPr/>
            </w:pPr>
            <w:r>
              <w:rPr>
                <w:spacing w:val="-3"/>
              </w:rPr>
              <w:t>育肥牛</w:t>
            </w:r>
          </w:p>
        </w:tc>
        <w:tc>
          <w:tcPr>
            <w:tcW w:w="1932" w:type="dxa"/>
            <w:vAlign w:val="top"/>
            <w:tcBorders>
              <w:bottom w:val="single" w:color="000000" w:sz="10" w:space="0"/>
            </w:tcBorders>
          </w:tcPr>
          <w:p>
            <w:pPr>
              <w:ind w:left="815"/>
              <w:spacing w:before="71"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600</w:t>
            </w:r>
          </w:p>
        </w:tc>
        <w:tc>
          <w:tcPr>
            <w:tcW w:w="2098" w:type="dxa"/>
            <w:vAlign w:val="top"/>
            <w:tcBorders>
              <w:bottom w:val="single" w:color="000000" w:sz="10" w:space="0"/>
            </w:tcBorders>
          </w:tcPr>
          <w:p>
            <w:pPr>
              <w:ind w:left="860"/>
              <w:spacing w:before="71"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1200</w:t>
            </w:r>
          </w:p>
        </w:tc>
        <w:tc>
          <w:tcPr>
            <w:tcW w:w="2278" w:type="dxa"/>
            <w:vAlign w:val="top"/>
            <w:tcBorders>
              <w:bottom w:val="single" w:color="000000" w:sz="10" w:space="0"/>
              <w:right w:val="nil"/>
            </w:tcBorders>
          </w:tcPr>
          <w:p>
            <w:pPr>
              <w:pStyle w:val="TableText"/>
              <w:ind w:left="936"/>
              <w:spacing w:before="41" w:line="209" w:lineRule="auto"/>
              <w:rPr/>
            </w:pPr>
            <w:r>
              <w:rPr>
                <w:spacing w:val="-3"/>
              </w:rPr>
              <w:t>外购</w:t>
            </w:r>
          </w:p>
        </w:tc>
      </w:tr>
    </w:tbl>
    <w:p>
      <w:pPr>
        <w:ind w:left="618"/>
        <w:spacing w:before="3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）项目组成</w:t>
      </w:r>
    </w:p>
    <w:p>
      <w:pPr>
        <w:ind w:left="612"/>
        <w:spacing w:before="163" w:line="233" w:lineRule="auto"/>
        <w:rPr>
          <w:rFonts w:ascii="SimSun" w:hAnsi="SimSun" w:eastAsia="SimSun" w:cs="SimSun"/>
          <w:sz w:val="24"/>
          <w:szCs w:val="24"/>
        </w:rPr>
      </w:pPr>
      <w:r>
        <w:rPr>
          <w:rFonts w:ascii="SimSun" w:hAnsi="SimSun" w:eastAsia="SimSun" w:cs="SimSun"/>
          <w:sz w:val="24"/>
          <w:szCs w:val="24"/>
          <w:spacing w:val="-2"/>
        </w:rPr>
        <w:t>本项目工程组成详见表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2"/>
        </w:rPr>
        <w:t>3-2</w:t>
      </w:r>
      <w:r>
        <w:rPr>
          <w:rFonts w:ascii="SimSun" w:hAnsi="SimSun" w:eastAsia="SimSun" w:cs="SimSun"/>
          <w:sz w:val="24"/>
          <w:szCs w:val="24"/>
          <w:spacing w:val="-2"/>
        </w:rPr>
        <w:t>。</w:t>
      </w:r>
    </w:p>
    <w:p>
      <w:pPr>
        <w:spacing w:line="233" w:lineRule="auto"/>
        <w:sectPr>
          <w:headerReference w:type="default" r:id="rId68"/>
          <w:footerReference w:type="default" r:id="rId2"/>
          <w:pgSz w:w="11907" w:h="16839"/>
          <w:pgMar w:top="1390" w:right="1591" w:bottom="400" w:left="1579" w:header="1054" w:footer="0" w:gutter="0"/>
        </w:sectPr>
        <w:rPr>
          <w:rFonts w:ascii="SimSun" w:hAnsi="SimSun" w:eastAsia="SimSun" w:cs="SimSun"/>
          <w:sz w:val="24"/>
          <w:szCs w:val="24"/>
        </w:rPr>
      </w:pPr>
    </w:p>
    <w:p>
      <w:pPr>
        <w:pStyle w:val="BodyText"/>
        <w:spacing w:line="415" w:lineRule="auto"/>
        <w:rPr/>
      </w:pPr>
      <w:r/>
    </w:p>
    <w:p>
      <w:pPr>
        <w:ind w:left="2968"/>
        <w:spacing w:before="78"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3-2    </w:t>
      </w:r>
      <w:r>
        <w:rPr>
          <w:rFonts w:ascii="SimSun" w:hAnsi="SimSun" w:eastAsia="SimSun" w:cs="SimSun"/>
          <w:sz w:val="24"/>
          <w:szCs w:val="24"/>
          <w:b/>
          <w:bCs/>
          <w:spacing w:val="-2"/>
        </w:rPr>
        <w:t>本项目工程组成一览表</w:t>
      </w:r>
    </w:p>
    <w:p>
      <w:pPr>
        <w:spacing w:line="131" w:lineRule="exact"/>
        <w:rPr/>
      </w:pPr>
      <w:r/>
    </w:p>
    <w:tbl>
      <w:tblPr>
        <w:tblStyle w:val="TableNormal"/>
        <w:tblW w:w="87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1"/>
        <w:gridCol w:w="948"/>
        <w:gridCol w:w="6275"/>
        <w:gridCol w:w="814"/>
      </w:tblGrid>
      <w:tr>
        <w:trPr>
          <w:trHeight w:val="282" w:hRule="atLeast"/>
        </w:trPr>
        <w:tc>
          <w:tcPr>
            <w:tcW w:w="681" w:type="dxa"/>
            <w:vAlign w:val="top"/>
            <w:tcBorders>
              <w:left w:val="nil"/>
              <w:top w:val="single" w:color="000000" w:sz="10" w:space="0"/>
            </w:tcBorders>
          </w:tcPr>
          <w:p>
            <w:pPr>
              <w:pStyle w:val="TableText"/>
              <w:ind w:left="137"/>
              <w:spacing w:before="36" w:line="207" w:lineRule="auto"/>
              <w:rPr/>
            </w:pPr>
            <w:r>
              <w:rPr>
                <w:b/>
                <w:bCs/>
                <w:spacing w:val="-4"/>
              </w:rPr>
              <w:t>类别</w:t>
            </w:r>
          </w:p>
        </w:tc>
        <w:tc>
          <w:tcPr>
            <w:tcW w:w="948" w:type="dxa"/>
            <w:vAlign w:val="top"/>
            <w:tcBorders>
              <w:top w:val="single" w:color="000000" w:sz="10" w:space="0"/>
            </w:tcBorders>
          </w:tcPr>
          <w:p>
            <w:pPr>
              <w:pStyle w:val="TableText"/>
              <w:ind w:left="270"/>
              <w:spacing w:before="36" w:line="207" w:lineRule="auto"/>
              <w:rPr/>
            </w:pPr>
            <w:r>
              <w:rPr>
                <w:b/>
                <w:bCs/>
                <w:spacing w:val="-5"/>
              </w:rPr>
              <w:t>名称</w:t>
            </w:r>
          </w:p>
        </w:tc>
        <w:tc>
          <w:tcPr>
            <w:tcW w:w="6275" w:type="dxa"/>
            <w:vAlign w:val="top"/>
            <w:tcBorders>
              <w:top w:val="single" w:color="000000" w:sz="10" w:space="0"/>
            </w:tcBorders>
          </w:tcPr>
          <w:p>
            <w:pPr>
              <w:pStyle w:val="TableText"/>
              <w:ind w:left="2407"/>
              <w:spacing w:before="36" w:line="207" w:lineRule="auto"/>
              <w:rPr/>
            </w:pPr>
            <w:r>
              <w:rPr>
                <w:b/>
                <w:bCs/>
                <w:spacing w:val="-9"/>
              </w:rPr>
              <w:t>组</w:t>
            </w:r>
            <w:r>
              <w:rPr>
                <w:spacing w:val="11"/>
              </w:rPr>
              <w:t xml:space="preserve"> </w:t>
            </w:r>
            <w:r>
              <w:rPr>
                <w:b/>
                <w:bCs/>
                <w:spacing w:val="-9"/>
              </w:rPr>
              <w:t>成</w:t>
            </w:r>
            <w:r>
              <w:rPr>
                <w:spacing w:val="8"/>
              </w:rPr>
              <w:t xml:space="preserve"> </w:t>
            </w:r>
            <w:r>
              <w:rPr>
                <w:b/>
                <w:bCs/>
                <w:spacing w:val="-9"/>
              </w:rPr>
              <w:t>及</w:t>
            </w:r>
            <w:r>
              <w:rPr>
                <w:spacing w:val="7"/>
              </w:rPr>
              <w:t xml:space="preserve"> </w:t>
            </w:r>
            <w:r>
              <w:rPr>
                <w:b/>
                <w:bCs/>
                <w:spacing w:val="-9"/>
              </w:rPr>
              <w:t>规</w:t>
            </w:r>
            <w:r>
              <w:rPr>
                <w:spacing w:val="8"/>
              </w:rPr>
              <w:t xml:space="preserve"> </w:t>
            </w:r>
            <w:r>
              <w:rPr>
                <w:b/>
                <w:bCs/>
                <w:spacing w:val="-9"/>
              </w:rPr>
              <w:t>模</w:t>
            </w:r>
          </w:p>
        </w:tc>
        <w:tc>
          <w:tcPr>
            <w:tcW w:w="814" w:type="dxa"/>
            <w:vAlign w:val="top"/>
            <w:tcBorders>
              <w:right w:val="nil"/>
              <w:top w:val="single" w:color="000000" w:sz="10" w:space="0"/>
            </w:tcBorders>
          </w:tcPr>
          <w:p>
            <w:pPr>
              <w:pStyle w:val="TableText"/>
              <w:ind w:left="203"/>
              <w:spacing w:before="36" w:line="207" w:lineRule="auto"/>
              <w:rPr/>
            </w:pPr>
            <w:r>
              <w:rPr>
                <w:b/>
                <w:bCs/>
                <w:spacing w:val="-5"/>
              </w:rPr>
              <w:t>备注</w:t>
            </w:r>
          </w:p>
        </w:tc>
      </w:tr>
      <w:tr>
        <w:trPr>
          <w:trHeight w:val="821" w:hRule="atLeast"/>
        </w:trPr>
        <w:tc>
          <w:tcPr>
            <w:tcW w:w="681" w:type="dxa"/>
            <w:vAlign w:val="top"/>
            <w:tcBorders>
              <w:left w:val="nil"/>
            </w:tcBorders>
          </w:tcPr>
          <w:p>
            <w:pPr>
              <w:pStyle w:val="TableText"/>
              <w:ind w:left="139" w:right="126"/>
              <w:spacing w:before="166" w:line="241" w:lineRule="auto"/>
              <w:rPr/>
            </w:pPr>
            <w:r>
              <w:rPr>
                <w:spacing w:val="-4"/>
              </w:rPr>
              <w:t>主体</w:t>
            </w:r>
            <w:r>
              <w:rPr>
                <w:spacing w:val="-5"/>
              </w:rPr>
              <w:t>工程</w:t>
            </w:r>
          </w:p>
        </w:tc>
        <w:tc>
          <w:tcPr>
            <w:tcW w:w="948" w:type="dxa"/>
            <w:vAlign w:val="top"/>
          </w:tcPr>
          <w:p>
            <w:pPr>
              <w:pStyle w:val="TableText"/>
              <w:ind w:left="275"/>
              <w:spacing w:before="303" w:line="222" w:lineRule="auto"/>
              <w:rPr/>
            </w:pPr>
            <w:r>
              <w:rPr>
                <w:spacing w:val="-3"/>
              </w:rPr>
              <w:t>牛舍</w:t>
            </w:r>
          </w:p>
        </w:tc>
        <w:tc>
          <w:tcPr>
            <w:tcW w:w="6275" w:type="dxa"/>
            <w:vAlign w:val="top"/>
          </w:tcPr>
          <w:p>
            <w:pPr>
              <w:pStyle w:val="TableText"/>
              <w:ind w:left="127" w:right="102" w:hanging="5"/>
              <w:spacing w:before="12" w:line="234" w:lineRule="auto"/>
              <w:jc w:val="both"/>
              <w:rPr/>
            </w:pPr>
            <w:r>
              <w:rPr>
                <w:rFonts w:ascii="Times New Roman" w:hAnsi="Times New Roman" w:eastAsia="Times New Roman" w:cs="Times New Roman"/>
                <w:spacing w:val="-2"/>
              </w:rPr>
              <w:t>3 </w:t>
            </w:r>
            <w:r>
              <w:rPr>
                <w:spacing w:val="-2"/>
              </w:rPr>
              <w:t>栋，每栋建筑面积</w:t>
            </w:r>
            <w:r>
              <w:rPr>
                <w:spacing w:val="-50"/>
              </w:rPr>
              <w:t xml:space="preserve"> </w:t>
            </w:r>
            <w:r>
              <w:rPr>
                <w:rFonts w:ascii="Times New Roman" w:hAnsi="Times New Roman" w:eastAsia="Times New Roman" w:cs="Times New Roman"/>
                <w:spacing w:val="-2"/>
              </w:rPr>
              <w:t>2000m</w:t>
            </w:r>
            <w:r>
              <w:rPr>
                <w:rFonts w:ascii="Times New Roman" w:hAnsi="Times New Roman" w:eastAsia="Times New Roman" w:cs="Times New Roman"/>
                <w:sz w:val="13"/>
                <w:szCs w:val="13"/>
                <w:spacing w:val="-2"/>
                <w:position w:val="9"/>
              </w:rPr>
              <w:t>2</w:t>
            </w:r>
            <w:r>
              <w:rPr>
                <w:spacing w:val="-2"/>
              </w:rPr>
              <w:t>，尺寸为 </w:t>
            </w:r>
            <w:r>
              <w:rPr>
                <w:rFonts w:ascii="Times New Roman" w:hAnsi="Times New Roman" w:eastAsia="Times New Roman" w:cs="Times New Roman"/>
                <w:spacing w:val="-2"/>
              </w:rPr>
              <w:t>100m</w:t>
            </w:r>
            <w:r>
              <w:rPr>
                <w:rFonts w:ascii="Arial" w:hAnsi="Arial" w:eastAsia="Arial" w:cs="Arial"/>
                <w:spacing w:val="-2"/>
              </w:rPr>
              <w:t>×</w:t>
            </w:r>
            <w:r>
              <w:rPr>
                <w:rFonts w:ascii="Times New Roman" w:hAnsi="Times New Roman" w:eastAsia="Times New Roman" w:cs="Times New Roman"/>
                <w:spacing w:val="-2"/>
              </w:rPr>
              <w:t>20m</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1 </w:t>
            </w:r>
            <w:r>
              <w:rPr>
                <w:spacing w:val="-2"/>
              </w:rPr>
              <w:t>层，采取一般</w:t>
            </w:r>
            <w:r>
              <w:rPr>
                <w:spacing w:val="-2"/>
              </w:rPr>
              <w:t>防渗处理，防渗要求为一般防渗，防渗等级底部为混凝土结构，应</w:t>
            </w:r>
            <w:r>
              <w:rPr/>
              <w:t>保证能达到黏土防渗层</w:t>
            </w:r>
            <w:r>
              <w:rPr>
                <w:spacing w:val="-49"/>
              </w:rPr>
              <w:t xml:space="preserve"> </w:t>
            </w:r>
            <w:r>
              <w:rPr>
                <w:rFonts w:ascii="Times New Roman" w:hAnsi="Times New Roman" w:eastAsia="Times New Roman" w:cs="Times New Roman"/>
              </w:rPr>
              <w:t>Mb≥1.5m</w:t>
            </w:r>
            <w:r>
              <w:rPr>
                <w:rFonts w:ascii="Times New Roman" w:hAnsi="Times New Roman" w:eastAsia="Times New Roman" w:cs="Times New Roman"/>
                <w:spacing w:val="-30"/>
              </w:rPr>
              <w:t xml:space="preserve"> </w:t>
            </w:r>
            <w:r>
              <w:rPr/>
              <w:t>，</w:t>
            </w:r>
            <w:r>
              <w:rPr>
                <w:rFonts w:ascii="Times New Roman" w:hAnsi="Times New Roman" w:eastAsia="Times New Roman" w:cs="Times New Roman"/>
              </w:rPr>
              <w:t>K</w:t>
            </w:r>
            <w:r>
              <w:rPr>
                <w:rFonts w:ascii="Times New Roman" w:hAnsi="Times New Roman" w:eastAsia="Times New Roman" w:cs="Times New Roman"/>
                <w:spacing w:val="-1"/>
              </w:rPr>
              <w:t>≤1×10</w:t>
            </w:r>
            <w:r>
              <w:rPr>
                <w:rFonts w:ascii="Times New Roman" w:hAnsi="Times New Roman" w:eastAsia="Times New Roman" w:cs="Times New Roman"/>
                <w:sz w:val="13"/>
                <w:szCs w:val="13"/>
                <w:spacing w:val="-1"/>
                <w:position w:val="9"/>
              </w:rPr>
              <w:t>-7</w:t>
            </w:r>
            <w:r>
              <w:rPr>
                <w:rFonts w:ascii="Times New Roman" w:hAnsi="Times New Roman" w:eastAsia="Times New Roman" w:cs="Times New Roman"/>
                <w:spacing w:val="-1"/>
              </w:rPr>
              <w:t>cm/s</w:t>
            </w:r>
            <w:r>
              <w:rPr>
                <w:rFonts w:ascii="Times New Roman" w:hAnsi="Times New Roman" w:eastAsia="Times New Roman" w:cs="Times New Roman"/>
                <w:spacing w:val="29"/>
              </w:rPr>
              <w:t xml:space="preserve"> </w:t>
            </w:r>
            <w:r>
              <w:rPr>
                <w:spacing w:val="-1"/>
              </w:rPr>
              <w:t>同等防渗性能。</w:t>
            </w:r>
          </w:p>
        </w:tc>
        <w:tc>
          <w:tcPr>
            <w:tcW w:w="814" w:type="dxa"/>
            <w:vAlign w:val="top"/>
            <w:tcBorders>
              <w:right w:val="nil"/>
            </w:tcBorders>
          </w:tcPr>
          <w:p>
            <w:pPr>
              <w:pStyle w:val="TableText"/>
              <w:ind w:left="204"/>
              <w:spacing w:before="303" w:line="221" w:lineRule="auto"/>
              <w:rPr/>
            </w:pPr>
            <w:r>
              <w:rPr>
                <w:spacing w:val="-2"/>
              </w:rPr>
              <w:t>新建</w:t>
            </w:r>
          </w:p>
        </w:tc>
      </w:tr>
      <w:tr>
        <w:trPr>
          <w:trHeight w:val="3265" w:hRule="atLeast"/>
        </w:trPr>
        <w:tc>
          <w:tcPr>
            <w:tcW w:w="681" w:type="dxa"/>
            <w:vAlign w:val="top"/>
            <w:vMerge w:val="restart"/>
            <w:tcBorders>
              <w:left w:val="nil"/>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39" w:right="126" w:hanging="3"/>
              <w:spacing w:before="68" w:line="241" w:lineRule="auto"/>
              <w:rPr/>
            </w:pPr>
            <w:r>
              <w:rPr>
                <w:spacing w:val="-3"/>
              </w:rPr>
              <w:t>储运</w:t>
            </w:r>
            <w:r>
              <w:rPr>
                <w:spacing w:val="-5"/>
              </w:rPr>
              <w:t>工程</w:t>
            </w:r>
          </w:p>
        </w:tc>
        <w:tc>
          <w:tcPr>
            <w:tcW w:w="948"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3"/>
              <w:spacing w:before="68" w:line="221" w:lineRule="auto"/>
              <w:rPr/>
            </w:pPr>
            <w:r>
              <w:rPr>
                <w:spacing w:val="-1"/>
              </w:rPr>
              <w:t>储粪库</w:t>
            </w:r>
          </w:p>
        </w:tc>
        <w:tc>
          <w:tcPr>
            <w:tcW w:w="6275" w:type="dxa"/>
            <w:vAlign w:val="top"/>
          </w:tcPr>
          <w:p>
            <w:pPr>
              <w:pStyle w:val="TableText"/>
              <w:ind w:right="8"/>
              <w:spacing w:before="15" w:line="282" w:lineRule="exact"/>
              <w:jc w:val="right"/>
              <w:rPr/>
            </w:pPr>
            <w:r>
              <w:rPr>
                <w:rFonts w:ascii="Times New Roman" w:hAnsi="Times New Roman" w:eastAsia="Times New Roman" w:cs="Times New Roman"/>
                <w:spacing w:val="-2"/>
                <w:position w:val="1"/>
              </w:rPr>
              <w:t>1 </w:t>
            </w:r>
            <w:r>
              <w:rPr>
                <w:spacing w:val="-2"/>
                <w:position w:val="1"/>
              </w:rPr>
              <w:t>栋，</w:t>
            </w:r>
            <w:r>
              <w:rPr>
                <w:rFonts w:ascii="Times New Roman" w:hAnsi="Times New Roman" w:eastAsia="Times New Roman" w:cs="Times New Roman"/>
                <w:spacing w:val="-2"/>
                <w:position w:val="1"/>
              </w:rPr>
              <w:t>1 </w:t>
            </w:r>
            <w:r>
              <w:rPr>
                <w:spacing w:val="-2"/>
                <w:position w:val="1"/>
              </w:rPr>
              <w:t>栋建筑面积</w:t>
            </w:r>
            <w:r>
              <w:rPr>
                <w:spacing w:val="-33"/>
                <w:position w:val="1"/>
              </w:rPr>
              <w:t xml:space="preserve"> </w:t>
            </w:r>
            <w:r>
              <w:rPr>
                <w:rFonts w:ascii="Times New Roman" w:hAnsi="Times New Roman" w:eastAsia="Times New Roman" w:cs="Times New Roman"/>
                <w:spacing w:val="-2"/>
                <w:position w:val="1"/>
              </w:rPr>
              <w:t>300m</w:t>
            </w:r>
            <w:r>
              <w:rPr>
                <w:rFonts w:ascii="Times New Roman" w:hAnsi="Times New Roman" w:eastAsia="Times New Roman" w:cs="Times New Roman"/>
                <w:sz w:val="13"/>
                <w:szCs w:val="13"/>
                <w:spacing w:val="-2"/>
                <w:position w:val="10"/>
              </w:rPr>
              <w:t>2</w:t>
            </w:r>
            <w:r>
              <w:rPr>
                <w:spacing w:val="-2"/>
                <w:position w:val="1"/>
              </w:rPr>
              <w:t>，尺寸为</w:t>
            </w:r>
            <w:r>
              <w:rPr>
                <w:spacing w:val="-44"/>
                <w:position w:val="1"/>
              </w:rPr>
              <w:t xml:space="preserve"> </w:t>
            </w:r>
            <w:r>
              <w:rPr>
                <w:rFonts w:ascii="Times New Roman" w:hAnsi="Times New Roman" w:eastAsia="Times New Roman" w:cs="Times New Roman"/>
                <w:spacing w:val="-2"/>
                <w:position w:val="1"/>
              </w:rPr>
              <w:t>30m</w:t>
            </w:r>
            <w:r>
              <w:rPr>
                <w:rFonts w:ascii="Arial" w:hAnsi="Arial" w:eastAsia="Arial" w:cs="Arial"/>
                <w:spacing w:val="-2"/>
                <w:position w:val="1"/>
              </w:rPr>
              <w:t>×</w:t>
            </w:r>
            <w:r>
              <w:rPr>
                <w:rFonts w:ascii="Times New Roman" w:hAnsi="Times New Roman" w:eastAsia="Times New Roman" w:cs="Times New Roman"/>
                <w:spacing w:val="-2"/>
                <w:position w:val="1"/>
              </w:rPr>
              <w:t>10m</w:t>
            </w:r>
            <w:r>
              <w:rPr>
                <w:rFonts w:ascii="Times New Roman" w:hAnsi="Times New Roman" w:eastAsia="Times New Roman" w:cs="Times New Roman"/>
                <w:spacing w:val="-30"/>
                <w:position w:val="1"/>
              </w:rPr>
              <w:t xml:space="preserve"> </w:t>
            </w:r>
            <w:r>
              <w:rPr>
                <w:spacing w:val="-2"/>
                <w:position w:val="1"/>
              </w:rPr>
              <w:t>，一层，高度为</w:t>
            </w:r>
            <w:r>
              <w:rPr>
                <w:spacing w:val="-44"/>
                <w:position w:val="1"/>
              </w:rPr>
              <w:t xml:space="preserve"> </w:t>
            </w:r>
            <w:r>
              <w:rPr>
                <w:rFonts w:ascii="Times New Roman" w:hAnsi="Times New Roman" w:eastAsia="Times New Roman" w:cs="Times New Roman"/>
                <w:spacing w:val="-2"/>
                <w:position w:val="1"/>
              </w:rPr>
              <w:t>7m</w:t>
            </w:r>
            <w:r>
              <w:rPr>
                <w:spacing w:val="-2"/>
                <w:position w:val="1"/>
              </w:rPr>
              <w:t>，</w:t>
            </w:r>
          </w:p>
          <w:p>
            <w:pPr>
              <w:pStyle w:val="TableText"/>
              <w:ind w:left="114"/>
              <w:spacing w:before="5" w:line="220" w:lineRule="auto"/>
              <w:rPr/>
            </w:pPr>
            <w:r>
              <w:rPr>
                <w:spacing w:val="-5"/>
              </w:rPr>
              <w:t>罩棚结构，根据农业农村部办公厅 生态环境部办公厅关于印发《畜</w:t>
            </w:r>
          </w:p>
          <w:p>
            <w:pPr>
              <w:pStyle w:val="TableText"/>
              <w:spacing w:before="24" w:line="234" w:lineRule="auto"/>
              <w:jc w:val="right"/>
              <w:rPr/>
            </w:pPr>
            <w:r>
              <w:rPr>
                <w:spacing w:val="-12"/>
              </w:rPr>
              <w:t>禽养殖场（户）粪污处理设施建设技术指南》的通知（农办牧〔</w:t>
            </w:r>
            <w:r>
              <w:rPr>
                <w:rFonts w:ascii="Times New Roman" w:hAnsi="Times New Roman" w:eastAsia="Times New Roman" w:cs="Times New Roman"/>
                <w:spacing w:val="-12"/>
              </w:rPr>
              <w:t>2022</w:t>
            </w:r>
            <w:r>
              <w:rPr>
                <w:spacing w:val="-12"/>
              </w:rPr>
              <w:t>〕</w:t>
            </w:r>
          </w:p>
          <w:p>
            <w:pPr>
              <w:pStyle w:val="TableText"/>
              <w:ind w:left="131"/>
              <w:spacing w:before="4" w:line="234" w:lineRule="auto"/>
              <w:rPr/>
            </w:pPr>
            <w:r>
              <w:rPr>
                <w:rFonts w:ascii="Times New Roman" w:hAnsi="Times New Roman" w:eastAsia="Times New Roman" w:cs="Times New Roman"/>
                <w:spacing w:val="-4"/>
              </w:rPr>
              <w:t>19</w:t>
            </w:r>
            <w:r>
              <w:rPr>
                <w:rFonts w:ascii="Times New Roman" w:hAnsi="Times New Roman" w:eastAsia="Times New Roman" w:cs="Times New Roman"/>
                <w:spacing w:val="14"/>
                <w:w w:val="101"/>
              </w:rPr>
              <w:t xml:space="preserve"> </w:t>
            </w:r>
            <w:r>
              <w:rPr>
                <w:spacing w:val="-4"/>
              </w:rPr>
              <w:t>号）可知，粪污暂存设施鼓励采取加盖等措施，减少恶臭气体排</w:t>
            </w:r>
          </w:p>
          <w:p>
            <w:pPr>
              <w:pStyle w:val="TableText"/>
              <w:ind w:left="114"/>
              <w:spacing w:before="7" w:line="220" w:lineRule="auto"/>
              <w:rPr/>
            </w:pPr>
            <w:r>
              <w:rPr>
                <w:spacing w:val="-1"/>
              </w:rPr>
              <w:t>放和雨水进入，本项目储粪库仅为临时周转暂存</w:t>
            </w:r>
            <w:r>
              <w:rPr>
                <w:spacing w:val="-2"/>
              </w:rPr>
              <w:t>，采用垫料工艺进</w:t>
            </w:r>
          </w:p>
          <w:p>
            <w:pPr>
              <w:pStyle w:val="TableText"/>
              <w:ind w:left="118"/>
              <w:spacing w:before="20" w:line="221" w:lineRule="auto"/>
              <w:rPr/>
            </w:pPr>
            <w:r>
              <w:rPr>
                <w:spacing w:val="-2"/>
              </w:rPr>
              <w:t>行养殖，垫料内添加发酵床菌种，可有效的减少臭气的产生，废垫</w:t>
            </w:r>
          </w:p>
          <w:p>
            <w:pPr>
              <w:pStyle w:val="TableText"/>
              <w:ind w:left="122"/>
              <w:spacing w:before="24" w:line="234" w:lineRule="auto"/>
              <w:rPr/>
            </w:pPr>
            <w:r>
              <w:rPr/>
              <w:t>料</w:t>
            </w:r>
            <w:r>
              <w:rPr>
                <w:spacing w:val="-49"/>
              </w:rPr>
              <w:t xml:space="preserve"> </w:t>
            </w:r>
            <w:r>
              <w:rPr>
                <w:rFonts w:ascii="Times New Roman" w:hAnsi="Times New Roman" w:eastAsia="Times New Roman" w:cs="Times New Roman"/>
              </w:rPr>
              <w:t>4 </w:t>
            </w:r>
            <w:r>
              <w:rPr/>
              <w:t>个月更换一次，</w:t>
            </w:r>
            <w:r>
              <w:rPr>
                <w:rFonts w:ascii="Times New Roman" w:hAnsi="Times New Roman" w:eastAsia="Times New Roman" w:cs="Times New Roman"/>
              </w:rPr>
              <w:t>3 </w:t>
            </w:r>
            <w:r>
              <w:rPr/>
              <w:t>栋牛舍交替更换，定期外售</w:t>
            </w:r>
            <w:r>
              <w:rPr>
                <w:spacing w:val="-1"/>
              </w:rPr>
              <w:t>给相关单位生产</w:t>
            </w:r>
          </w:p>
          <w:p>
            <w:pPr>
              <w:pStyle w:val="TableText"/>
              <w:ind w:right="17"/>
              <w:spacing w:before="4" w:line="234" w:lineRule="auto"/>
              <w:jc w:val="right"/>
              <w:rPr/>
            </w:pPr>
            <w:r>
              <w:rPr>
                <w:spacing w:val="-1"/>
              </w:rPr>
              <w:t>有机肥，储粪库仅临时贮存，贮存不超过</w:t>
            </w:r>
            <w:r>
              <w:rPr>
                <w:spacing w:val="-30"/>
              </w:rPr>
              <w:t xml:space="preserve"> </w:t>
            </w:r>
            <w:r>
              <w:rPr>
                <w:rFonts w:ascii="Times New Roman" w:hAnsi="Times New Roman" w:eastAsia="Times New Roman" w:cs="Times New Roman"/>
                <w:spacing w:val="-1"/>
              </w:rPr>
              <w:t>7d</w:t>
            </w:r>
            <w:r>
              <w:rPr>
                <w:spacing w:val="-1"/>
              </w:rPr>
              <w:t>，储粪库为罩棚结构，</w:t>
            </w:r>
          </w:p>
          <w:p>
            <w:pPr>
              <w:pStyle w:val="TableText"/>
              <w:ind w:left="114"/>
              <w:spacing w:before="7" w:line="220" w:lineRule="auto"/>
              <w:rPr/>
            </w:pPr>
            <w:r>
              <w:rPr>
                <w:spacing w:val="-1"/>
              </w:rPr>
              <w:t>对罩棚内临时贮存的垫料喷洒除臭剂，可有效减少恶臭的产生，罩</w:t>
            </w:r>
          </w:p>
          <w:p>
            <w:pPr>
              <w:pStyle w:val="TableText"/>
              <w:ind w:left="1671"/>
              <w:spacing w:before="21" w:line="221" w:lineRule="auto"/>
              <w:rPr/>
            </w:pPr>
            <w:r>
              <w:rPr>
                <w:spacing w:val="-2"/>
              </w:rPr>
              <w:t>棚结构能起到雨水进入的效果。</w:t>
            </w:r>
          </w:p>
          <w:p>
            <w:pPr>
              <w:pStyle w:val="TableText"/>
              <w:ind w:left="128"/>
              <w:spacing w:before="22" w:line="221" w:lineRule="auto"/>
              <w:rPr/>
            </w:pPr>
            <w:r>
              <w:rPr>
                <w:spacing w:val="-2"/>
              </w:rPr>
              <w:t>防渗要求为一般防渗，防渗等级底部为混凝土结构，应保证能达到</w:t>
            </w:r>
          </w:p>
          <w:p>
            <w:pPr>
              <w:pStyle w:val="TableText"/>
              <w:ind w:left="704"/>
              <w:spacing w:before="4" w:line="214" w:lineRule="auto"/>
              <w:rPr/>
            </w:pPr>
            <w:r>
              <w:rPr>
                <w:spacing w:val="-2"/>
              </w:rPr>
              <w:t>黏土防渗层</w:t>
            </w:r>
            <w:r>
              <w:rPr>
                <w:spacing w:val="-41"/>
              </w:rPr>
              <w:t xml:space="preserve"> </w:t>
            </w:r>
            <w:r>
              <w:rPr>
                <w:rFonts w:ascii="Times New Roman" w:hAnsi="Times New Roman" w:eastAsia="Times New Roman" w:cs="Times New Roman"/>
                <w:spacing w:val="-2"/>
              </w:rPr>
              <w:t>Mb≥1.5m</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z w:val="13"/>
                <w:szCs w:val="13"/>
                <w:spacing w:val="-2"/>
                <w:position w:val="9"/>
              </w:rPr>
              <w:t>-7</w:t>
            </w:r>
            <w:r>
              <w:rPr>
                <w:rFonts w:ascii="Times New Roman" w:hAnsi="Times New Roman" w:eastAsia="Times New Roman" w:cs="Times New Roman"/>
                <w:spacing w:val="-2"/>
              </w:rPr>
              <w:t>cm/s</w:t>
            </w:r>
            <w:r>
              <w:rPr>
                <w:rFonts w:ascii="Times New Roman" w:hAnsi="Times New Roman" w:eastAsia="Times New Roman" w:cs="Times New Roman"/>
                <w:spacing w:val="29"/>
              </w:rPr>
              <w:t xml:space="preserve"> </w:t>
            </w:r>
            <w:r>
              <w:rPr>
                <w:spacing w:val="-2"/>
              </w:rPr>
              <w:t>同等防渗性能。</w:t>
            </w:r>
          </w:p>
        </w:tc>
        <w:tc>
          <w:tcPr>
            <w:tcW w:w="814" w:type="dxa"/>
            <w:vAlign w:val="top"/>
            <w:tcBorders>
              <w:right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204"/>
              <w:spacing w:before="68" w:line="221" w:lineRule="auto"/>
              <w:rPr/>
            </w:pPr>
            <w:r>
              <w:rPr>
                <w:spacing w:val="-2"/>
              </w:rPr>
              <w:t>新建</w:t>
            </w:r>
          </w:p>
        </w:tc>
      </w:tr>
      <w:tr>
        <w:trPr>
          <w:trHeight w:val="822" w:hRule="atLeast"/>
        </w:trPr>
        <w:tc>
          <w:tcPr>
            <w:tcW w:w="681" w:type="dxa"/>
            <w:vAlign w:val="top"/>
            <w:vMerge w:val="continue"/>
            <w:tcBorders>
              <w:left w:val="nil"/>
              <w:top w:val="nil"/>
              <w:bottom w:val="nil"/>
            </w:tcBorders>
          </w:tcPr>
          <w:p>
            <w:pPr>
              <w:rPr>
                <w:rFonts w:ascii="Arial"/>
                <w:sz w:val="21"/>
              </w:rPr>
            </w:pPr>
            <w:r/>
          </w:p>
        </w:tc>
        <w:tc>
          <w:tcPr>
            <w:tcW w:w="948" w:type="dxa"/>
            <w:vAlign w:val="top"/>
          </w:tcPr>
          <w:p>
            <w:pPr>
              <w:pStyle w:val="TableText"/>
              <w:ind w:left="167"/>
              <w:spacing w:before="41" w:line="221" w:lineRule="auto"/>
              <w:rPr/>
            </w:pPr>
            <w:r>
              <w:rPr>
                <w:spacing w:val="-2"/>
              </w:rPr>
              <w:t>危险废</w:t>
            </w:r>
          </w:p>
          <w:p>
            <w:pPr>
              <w:pStyle w:val="TableText"/>
              <w:ind w:left="389" w:right="152" w:hanging="225"/>
              <w:spacing w:before="18" w:line="220" w:lineRule="auto"/>
              <w:rPr/>
            </w:pPr>
            <w:r>
              <w:rPr>
                <w:spacing w:val="-2"/>
              </w:rPr>
              <w:t>物暂存</w:t>
            </w:r>
            <w:r>
              <w:rPr/>
              <w:t>间</w:t>
            </w:r>
          </w:p>
        </w:tc>
        <w:tc>
          <w:tcPr>
            <w:tcW w:w="6275" w:type="dxa"/>
            <w:vAlign w:val="top"/>
          </w:tcPr>
          <w:p>
            <w:pPr>
              <w:pStyle w:val="TableText"/>
              <w:ind w:left="167"/>
              <w:spacing w:before="39" w:line="282" w:lineRule="exact"/>
              <w:rPr/>
            </w:pPr>
            <w:r>
              <w:rPr>
                <w:spacing w:val="-2"/>
                <w:position w:val="1"/>
              </w:rPr>
              <w:t>危险废物暂存，建筑面积</w:t>
            </w:r>
            <w:r>
              <w:rPr>
                <w:spacing w:val="-22"/>
                <w:position w:val="1"/>
              </w:rPr>
              <w:t xml:space="preserve"> </w:t>
            </w:r>
            <w:r>
              <w:rPr>
                <w:rFonts w:ascii="Times New Roman" w:hAnsi="Times New Roman" w:eastAsia="Times New Roman" w:cs="Times New Roman"/>
                <w:spacing w:val="-2"/>
                <w:position w:val="1"/>
              </w:rPr>
              <w:t>10m</w:t>
            </w:r>
            <w:r>
              <w:rPr>
                <w:rFonts w:ascii="Times New Roman" w:hAnsi="Times New Roman" w:eastAsia="Times New Roman" w:cs="Times New Roman"/>
                <w:sz w:val="13"/>
                <w:szCs w:val="13"/>
                <w:spacing w:val="-2"/>
                <w:position w:val="10"/>
              </w:rPr>
              <w:t>2</w:t>
            </w:r>
            <w:r>
              <w:rPr>
                <w:rFonts w:ascii="Times New Roman" w:hAnsi="Times New Roman" w:eastAsia="Times New Roman" w:cs="Times New Roman"/>
                <w:sz w:val="13"/>
                <w:szCs w:val="13"/>
                <w:spacing w:val="-7"/>
                <w:position w:val="10"/>
              </w:rPr>
              <w:t xml:space="preserve"> </w:t>
            </w:r>
            <w:r>
              <w:rPr>
                <w:spacing w:val="-2"/>
                <w:position w:val="1"/>
              </w:rPr>
              <w:t>，采取重点防渗处理，防渗要求为</w:t>
            </w:r>
          </w:p>
          <w:p>
            <w:pPr>
              <w:pStyle w:val="TableText"/>
              <w:ind w:left="307"/>
              <w:spacing w:before="8" w:line="205" w:lineRule="auto"/>
              <w:rPr/>
            </w:pPr>
            <w:r>
              <w:rPr/>
              <w:t>重点防渗，危废间内采用抗渗混凝土地面级围裙，渗</w:t>
            </w:r>
            <w:r>
              <w:rPr>
                <w:spacing w:val="-1"/>
              </w:rPr>
              <w:t>透系数≤</w:t>
            </w:r>
          </w:p>
          <w:p>
            <w:pPr>
              <w:ind w:left="2762"/>
              <w:spacing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1"/>
              </w:rPr>
              <w:t>10</w:t>
            </w:r>
            <w:r>
              <w:rPr>
                <w:rFonts w:ascii="Times New Roman" w:hAnsi="Times New Roman" w:eastAsia="Times New Roman" w:cs="Times New Roman"/>
                <w:sz w:val="13"/>
                <w:szCs w:val="13"/>
                <w:spacing w:val="-2"/>
                <w:position w:val="8"/>
              </w:rPr>
              <w:t>-10</w:t>
            </w:r>
            <w:r>
              <w:rPr>
                <w:rFonts w:ascii="Times New Roman" w:hAnsi="Times New Roman" w:eastAsia="Times New Roman" w:cs="Times New Roman"/>
                <w:sz w:val="21"/>
                <w:szCs w:val="21"/>
                <w:spacing w:val="-2"/>
                <w:position w:val="-1"/>
              </w:rPr>
              <w:t>cm/s</w:t>
            </w:r>
          </w:p>
        </w:tc>
        <w:tc>
          <w:tcPr>
            <w:tcW w:w="814" w:type="dxa"/>
            <w:vAlign w:val="top"/>
            <w:tcBorders>
              <w:right w:val="nil"/>
            </w:tcBorders>
          </w:tcPr>
          <w:p>
            <w:pPr>
              <w:spacing w:line="242" w:lineRule="auto"/>
              <w:rPr>
                <w:rFonts w:ascii="Arial"/>
                <w:sz w:val="21"/>
              </w:rPr>
            </w:pPr>
            <w:r/>
          </w:p>
          <w:p>
            <w:pPr>
              <w:pStyle w:val="TableText"/>
              <w:ind w:left="204"/>
              <w:spacing w:before="68" w:line="221" w:lineRule="auto"/>
              <w:rPr/>
            </w:pPr>
            <w:r>
              <w:rPr>
                <w:spacing w:val="-2"/>
              </w:rPr>
              <w:t>新建</w:t>
            </w:r>
          </w:p>
        </w:tc>
      </w:tr>
      <w:tr>
        <w:trPr>
          <w:trHeight w:val="548" w:hRule="atLeast"/>
        </w:trPr>
        <w:tc>
          <w:tcPr>
            <w:tcW w:w="681" w:type="dxa"/>
            <w:vAlign w:val="top"/>
            <w:vMerge w:val="continue"/>
            <w:tcBorders>
              <w:left w:val="nil"/>
              <w:top w:val="nil"/>
            </w:tcBorders>
          </w:tcPr>
          <w:p>
            <w:pPr>
              <w:rPr>
                <w:rFonts w:ascii="Arial"/>
                <w:sz w:val="21"/>
              </w:rPr>
            </w:pPr>
            <w:r/>
          </w:p>
        </w:tc>
        <w:tc>
          <w:tcPr>
            <w:tcW w:w="948" w:type="dxa"/>
            <w:vAlign w:val="top"/>
          </w:tcPr>
          <w:p>
            <w:pPr>
              <w:pStyle w:val="TableText"/>
              <w:ind w:left="270"/>
              <w:spacing w:before="175" w:line="221" w:lineRule="auto"/>
              <w:rPr/>
            </w:pPr>
            <w:r>
              <w:rPr>
                <w:spacing w:val="-2"/>
              </w:rPr>
              <w:t>运输</w:t>
            </w:r>
          </w:p>
        </w:tc>
        <w:tc>
          <w:tcPr>
            <w:tcW w:w="6275" w:type="dxa"/>
            <w:vAlign w:val="top"/>
          </w:tcPr>
          <w:p>
            <w:pPr>
              <w:pStyle w:val="TableText"/>
              <w:ind w:left="202"/>
              <w:spacing w:before="39" w:line="220" w:lineRule="auto"/>
              <w:rPr/>
            </w:pPr>
            <w:r>
              <w:rPr/>
              <w:t>本项目废垫料由有机肥公司负责运输，防疫废物由有资</w:t>
            </w:r>
            <w:r>
              <w:rPr>
                <w:spacing w:val="-1"/>
              </w:rPr>
              <w:t>质单位处</w:t>
            </w:r>
          </w:p>
          <w:p>
            <w:pPr>
              <w:pStyle w:val="TableText"/>
              <w:ind w:left="1149"/>
              <w:spacing w:before="23" w:line="198" w:lineRule="auto"/>
              <w:rPr/>
            </w:pPr>
            <w:r>
              <w:rPr>
                <w:spacing w:val="-1"/>
              </w:rPr>
              <w:t>理，病死牛委托相关单位进行无害化处置。</w:t>
            </w:r>
          </w:p>
        </w:tc>
        <w:tc>
          <w:tcPr>
            <w:tcW w:w="814" w:type="dxa"/>
            <w:vAlign w:val="top"/>
            <w:tcBorders>
              <w:right w:val="nil"/>
            </w:tcBorders>
          </w:tcPr>
          <w:p>
            <w:pPr>
              <w:pStyle w:val="TableText"/>
              <w:ind w:left="204"/>
              <w:spacing w:before="176" w:line="221" w:lineRule="auto"/>
              <w:rPr/>
            </w:pPr>
            <w:r>
              <w:rPr>
                <w:spacing w:val="-2"/>
              </w:rPr>
              <w:t>新建</w:t>
            </w:r>
          </w:p>
        </w:tc>
      </w:tr>
      <w:tr>
        <w:trPr>
          <w:trHeight w:val="822" w:hRule="atLeast"/>
        </w:trPr>
        <w:tc>
          <w:tcPr>
            <w:tcW w:w="681" w:type="dxa"/>
            <w:vAlign w:val="top"/>
            <w:vMerge w:val="restart"/>
            <w:tcBorders>
              <w:left w:val="nil"/>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39" w:right="126"/>
              <w:spacing w:before="68" w:line="241" w:lineRule="auto"/>
              <w:rPr/>
            </w:pPr>
            <w:r>
              <w:rPr>
                <w:spacing w:val="-4"/>
              </w:rPr>
              <w:t>辅助</w:t>
            </w:r>
            <w:r>
              <w:rPr>
                <w:spacing w:val="-5"/>
              </w:rPr>
              <w:t>工程</w:t>
            </w:r>
          </w:p>
        </w:tc>
        <w:tc>
          <w:tcPr>
            <w:tcW w:w="948" w:type="dxa"/>
            <w:vAlign w:val="top"/>
          </w:tcPr>
          <w:p>
            <w:pPr>
              <w:pStyle w:val="TableText"/>
              <w:ind w:left="166"/>
              <w:spacing w:before="40" w:line="221" w:lineRule="auto"/>
              <w:rPr/>
            </w:pPr>
            <w:r>
              <w:rPr>
                <w:spacing w:val="-3"/>
              </w:rPr>
              <w:t>草料库</w:t>
            </w:r>
          </w:p>
          <w:p>
            <w:pPr>
              <w:pStyle w:val="TableText"/>
              <w:ind w:left="375" w:right="152" w:hanging="210"/>
              <w:spacing w:before="22" w:line="219" w:lineRule="auto"/>
              <w:rPr/>
            </w:pPr>
            <w:r>
              <w:rPr>
                <w:spacing w:val="-2"/>
              </w:rPr>
              <w:t>和青储</w:t>
            </w:r>
            <w:r>
              <w:rPr/>
              <w:t>窖</w:t>
            </w:r>
          </w:p>
        </w:tc>
        <w:tc>
          <w:tcPr>
            <w:tcW w:w="6275" w:type="dxa"/>
            <w:vAlign w:val="top"/>
          </w:tcPr>
          <w:p>
            <w:pPr>
              <w:pStyle w:val="TableText"/>
              <w:ind w:left="114"/>
              <w:spacing w:before="24" w:line="241" w:lineRule="auto"/>
              <w:rPr/>
            </w:pPr>
            <w:r>
              <w:rPr/>
              <w:t>饲草料库</w:t>
            </w:r>
            <w:r>
              <w:rPr>
                <w:spacing w:val="-29"/>
              </w:rPr>
              <w:t xml:space="preserve"> </w:t>
            </w:r>
            <w:r>
              <w:rPr>
                <w:rFonts w:ascii="Times New Roman" w:hAnsi="Times New Roman" w:eastAsia="Times New Roman" w:cs="Times New Roman"/>
              </w:rPr>
              <w:t>3 </w:t>
            </w:r>
            <w:r>
              <w:rPr/>
              <w:t>座，其中</w:t>
            </w:r>
            <w:r>
              <w:rPr>
                <w:spacing w:val="-48"/>
              </w:rPr>
              <w:t xml:space="preserve"> </w:t>
            </w:r>
            <w:r>
              <w:rPr>
                <w:rFonts w:ascii="Times New Roman" w:hAnsi="Times New Roman" w:eastAsia="Times New Roman" w:cs="Times New Roman"/>
              </w:rPr>
              <w:t>2 </w:t>
            </w:r>
            <w:r>
              <w:rPr/>
              <w:t>栋建筑面积为</w:t>
            </w:r>
            <w:r>
              <w:rPr>
                <w:rFonts w:ascii="Times New Roman" w:hAnsi="Times New Roman" w:eastAsia="Times New Roman" w:cs="Times New Roman"/>
              </w:rPr>
              <w:t>2000m</w:t>
            </w:r>
            <w:r>
              <w:rPr>
                <w:rFonts w:ascii="Times New Roman" w:hAnsi="Times New Roman" w:eastAsia="Times New Roman" w:cs="Times New Roman"/>
                <w:sz w:val="13"/>
                <w:szCs w:val="13"/>
                <w:position w:val="9"/>
              </w:rPr>
              <w:t>2</w:t>
            </w:r>
            <w:r>
              <w:rPr>
                <w:rFonts w:ascii="Times New Roman" w:hAnsi="Times New Roman" w:eastAsia="Times New Roman" w:cs="Times New Roman"/>
                <w:sz w:val="13"/>
                <w:szCs w:val="13"/>
                <w:spacing w:val="-6"/>
                <w:position w:val="9"/>
              </w:rPr>
              <w:t xml:space="preserve"> </w:t>
            </w:r>
            <w:r>
              <w:rPr/>
              <w:t>，</w:t>
            </w:r>
            <w:r>
              <w:rPr>
                <w:rFonts w:ascii="Times New Roman" w:hAnsi="Times New Roman" w:eastAsia="Times New Roman" w:cs="Times New Roman"/>
              </w:rPr>
              <w:t>1 </w:t>
            </w:r>
            <w:r>
              <w:rPr/>
              <w:t>栋建筑面积为</w:t>
            </w:r>
          </w:p>
          <w:p>
            <w:pPr>
              <w:pStyle w:val="TableText"/>
              <w:ind w:left="118" w:right="104" w:hanging="3"/>
              <w:spacing w:before="1" w:line="225" w:lineRule="auto"/>
              <w:rPr/>
            </w:pPr>
            <w:r>
              <w:rPr>
                <w:rFonts w:ascii="Times New Roman" w:hAnsi="Times New Roman" w:eastAsia="Times New Roman" w:cs="Times New Roman"/>
                <w:spacing w:val="-3"/>
              </w:rPr>
              <w:t>3000m</w:t>
            </w:r>
            <w:r>
              <w:rPr>
                <w:rFonts w:ascii="Times New Roman" w:hAnsi="Times New Roman" w:eastAsia="Times New Roman" w:cs="Times New Roman"/>
                <w:sz w:val="13"/>
                <w:szCs w:val="13"/>
                <w:spacing w:val="-3"/>
                <w:position w:val="9"/>
              </w:rPr>
              <w:t>2</w:t>
            </w:r>
            <w:r>
              <w:rPr>
                <w:rFonts w:ascii="Times New Roman" w:hAnsi="Times New Roman" w:eastAsia="Times New Roman" w:cs="Times New Roman"/>
                <w:sz w:val="13"/>
                <w:szCs w:val="13"/>
                <w:spacing w:val="-7"/>
                <w:position w:val="9"/>
              </w:rPr>
              <w:t xml:space="preserve"> </w:t>
            </w:r>
            <w:r>
              <w:rPr>
                <w:spacing w:val="-3"/>
              </w:rPr>
              <w:t>，共计</w:t>
            </w:r>
            <w:r>
              <w:rPr>
                <w:spacing w:val="-37"/>
              </w:rPr>
              <w:t xml:space="preserve"> </w:t>
            </w:r>
            <w:r>
              <w:rPr>
                <w:rFonts w:ascii="Times New Roman" w:hAnsi="Times New Roman" w:eastAsia="Times New Roman" w:cs="Times New Roman"/>
                <w:spacing w:val="-3"/>
              </w:rPr>
              <w:t>7000 m</w:t>
            </w:r>
            <w:r>
              <w:rPr>
                <w:rFonts w:ascii="Times New Roman" w:hAnsi="Times New Roman" w:eastAsia="Times New Roman" w:cs="Times New Roman"/>
                <w:sz w:val="13"/>
                <w:szCs w:val="13"/>
                <w:spacing w:val="-3"/>
                <w:position w:val="9"/>
              </w:rPr>
              <w:t>2</w:t>
            </w:r>
            <w:r>
              <w:rPr>
                <w:rFonts w:ascii="Times New Roman" w:hAnsi="Times New Roman" w:eastAsia="Times New Roman" w:cs="Times New Roman"/>
                <w:sz w:val="13"/>
                <w:szCs w:val="13"/>
                <w:spacing w:val="-6"/>
                <w:position w:val="9"/>
              </w:rPr>
              <w:t xml:space="preserve"> </w:t>
            </w:r>
            <w:r>
              <w:rPr>
                <w:spacing w:val="-3"/>
              </w:rPr>
              <w:t>；另外拟建</w:t>
            </w:r>
            <w:r>
              <w:rPr>
                <w:spacing w:val="-28"/>
              </w:rPr>
              <w:t xml:space="preserve"> </w:t>
            </w:r>
            <w:r>
              <w:rPr>
                <w:rFonts w:ascii="Times New Roman" w:hAnsi="Times New Roman" w:eastAsia="Times New Roman" w:cs="Times New Roman"/>
                <w:spacing w:val="-3"/>
              </w:rPr>
              <w:t>1 </w:t>
            </w:r>
            <w:r>
              <w:rPr>
                <w:spacing w:val="-3"/>
              </w:rPr>
              <w:t>座青储窖，面积</w:t>
            </w:r>
            <w:r>
              <w:rPr>
                <w:spacing w:val="-42"/>
              </w:rPr>
              <w:t xml:space="preserve"> </w:t>
            </w:r>
            <w:r>
              <w:rPr>
                <w:rFonts w:ascii="Times New Roman" w:hAnsi="Times New Roman" w:eastAsia="Times New Roman" w:cs="Times New Roman"/>
                <w:spacing w:val="-3"/>
              </w:rPr>
              <w:t>500 m</w:t>
            </w:r>
            <w:r>
              <w:rPr>
                <w:rFonts w:ascii="Times New Roman" w:hAnsi="Times New Roman" w:eastAsia="Times New Roman" w:cs="Times New Roman"/>
                <w:sz w:val="13"/>
                <w:szCs w:val="13"/>
                <w:spacing w:val="-3"/>
                <w:position w:val="9"/>
              </w:rPr>
              <w:t>2</w:t>
            </w:r>
            <w:r>
              <w:rPr>
                <w:rFonts w:ascii="Times New Roman" w:hAnsi="Times New Roman" w:eastAsia="Times New Roman" w:cs="Times New Roman"/>
                <w:sz w:val="13"/>
                <w:szCs w:val="13"/>
                <w:spacing w:val="-7"/>
                <w:position w:val="9"/>
              </w:rPr>
              <w:t xml:space="preserve"> </w:t>
            </w:r>
            <w:r>
              <w:rPr>
                <w:spacing w:val="-4"/>
              </w:rPr>
              <w:t>，采取</w:t>
            </w:r>
            <w:r>
              <w:rPr/>
              <w:t>简单防渗处理，防渗要求为简单防渗，进行</w:t>
            </w:r>
            <w:r>
              <w:rPr>
                <w:spacing w:val="-1"/>
              </w:rPr>
              <w:t>一般地面硬化。</w:t>
            </w:r>
          </w:p>
        </w:tc>
        <w:tc>
          <w:tcPr>
            <w:tcW w:w="814" w:type="dxa"/>
            <w:vAlign w:val="top"/>
            <w:tcBorders>
              <w:right w:val="nil"/>
            </w:tcBorders>
          </w:tcPr>
          <w:p>
            <w:pPr>
              <w:spacing w:line="244" w:lineRule="auto"/>
              <w:rPr>
                <w:rFonts w:ascii="Arial"/>
                <w:sz w:val="21"/>
              </w:rPr>
            </w:pPr>
            <w:r/>
          </w:p>
          <w:p>
            <w:pPr>
              <w:pStyle w:val="TableText"/>
              <w:ind w:left="204"/>
              <w:spacing w:before="69" w:line="221" w:lineRule="auto"/>
              <w:rPr/>
            </w:pPr>
            <w:r>
              <w:rPr>
                <w:spacing w:val="-2"/>
              </w:rPr>
              <w:t>新建</w:t>
            </w:r>
          </w:p>
        </w:tc>
      </w:tr>
      <w:tr>
        <w:trPr>
          <w:trHeight w:val="819" w:hRule="atLeast"/>
        </w:trPr>
        <w:tc>
          <w:tcPr>
            <w:tcW w:w="681" w:type="dxa"/>
            <w:vAlign w:val="top"/>
            <w:vMerge w:val="continue"/>
            <w:tcBorders>
              <w:left w:val="nil"/>
              <w:top w:val="nil"/>
              <w:bottom w:val="nil"/>
            </w:tcBorders>
          </w:tcPr>
          <w:p>
            <w:pPr>
              <w:rPr>
                <w:rFonts w:ascii="Arial"/>
                <w:sz w:val="21"/>
              </w:rPr>
            </w:pPr>
            <w:r/>
          </w:p>
        </w:tc>
        <w:tc>
          <w:tcPr>
            <w:tcW w:w="948" w:type="dxa"/>
            <w:vAlign w:val="top"/>
          </w:tcPr>
          <w:p>
            <w:pPr>
              <w:spacing w:line="243" w:lineRule="auto"/>
              <w:rPr>
                <w:rFonts w:ascii="Arial"/>
                <w:sz w:val="21"/>
              </w:rPr>
            </w:pPr>
            <w:r/>
          </w:p>
          <w:p>
            <w:pPr>
              <w:pStyle w:val="TableText"/>
              <w:ind w:left="163"/>
              <w:spacing w:before="68" w:line="220" w:lineRule="auto"/>
              <w:rPr/>
            </w:pPr>
            <w:r>
              <w:rPr>
                <w:spacing w:val="-1"/>
              </w:rPr>
              <w:t>机械库</w:t>
            </w:r>
          </w:p>
        </w:tc>
        <w:tc>
          <w:tcPr>
            <w:tcW w:w="6275" w:type="dxa"/>
            <w:vAlign w:val="top"/>
          </w:tcPr>
          <w:p>
            <w:pPr>
              <w:pStyle w:val="TableText"/>
              <w:ind w:left="114" w:right="100"/>
              <w:spacing w:before="41" w:line="225" w:lineRule="auto"/>
              <w:jc w:val="both"/>
              <w:rPr/>
            </w:pPr>
            <w:r>
              <w:rPr>
                <w:spacing w:val="-4"/>
              </w:rPr>
              <w:t>拟建</w:t>
            </w:r>
            <w:r>
              <w:rPr>
                <w:spacing w:val="-15"/>
              </w:rPr>
              <w:t xml:space="preserve"> </w:t>
            </w:r>
            <w:r>
              <w:rPr>
                <w:rFonts w:ascii="Times New Roman" w:hAnsi="Times New Roman" w:eastAsia="Times New Roman" w:cs="Times New Roman"/>
                <w:spacing w:val="-4"/>
              </w:rPr>
              <w:t>1 </w:t>
            </w:r>
            <w:r>
              <w:rPr>
                <w:spacing w:val="-4"/>
              </w:rPr>
              <w:t>座机械库，尺寸为</w:t>
            </w:r>
            <w:r>
              <w:rPr>
                <w:spacing w:val="-42"/>
              </w:rPr>
              <w:t xml:space="preserve"> </w:t>
            </w:r>
            <w:r>
              <w:rPr>
                <w:rFonts w:ascii="Times New Roman" w:hAnsi="Times New Roman" w:eastAsia="Times New Roman" w:cs="Times New Roman"/>
                <w:spacing w:val="-4"/>
              </w:rPr>
              <w:t>50m</w:t>
            </w:r>
            <w:r>
              <w:rPr>
                <w:rFonts w:ascii="Arial" w:hAnsi="Arial" w:eastAsia="Arial" w:cs="Arial"/>
                <w:spacing w:val="-4"/>
              </w:rPr>
              <w:t>×</w:t>
            </w:r>
            <w:r>
              <w:rPr>
                <w:rFonts w:ascii="Times New Roman" w:hAnsi="Times New Roman" w:eastAsia="Times New Roman" w:cs="Times New Roman"/>
                <w:spacing w:val="-4"/>
              </w:rPr>
              <w:t>20m</w:t>
            </w:r>
            <w:r>
              <w:rPr>
                <w:rFonts w:ascii="Times New Roman" w:hAnsi="Times New Roman" w:eastAsia="Times New Roman" w:cs="Times New Roman"/>
                <w:spacing w:val="-30"/>
              </w:rPr>
              <w:t xml:space="preserve"> </w:t>
            </w:r>
            <w:r>
              <w:rPr>
                <w:spacing w:val="-4"/>
              </w:rPr>
              <w:t>，</w:t>
            </w:r>
            <w:r>
              <w:rPr>
                <w:rFonts w:ascii="Times New Roman" w:hAnsi="Times New Roman" w:eastAsia="Times New Roman" w:cs="Times New Roman"/>
                <w:spacing w:val="-4"/>
              </w:rPr>
              <w:t>1 </w:t>
            </w:r>
            <w:r>
              <w:rPr>
                <w:spacing w:val="-4"/>
              </w:rPr>
              <w:t>层，采取一般防渗处理，防</w:t>
            </w:r>
            <w:r>
              <w:rPr>
                <w:spacing w:val="-1"/>
              </w:rPr>
              <w:t>渗要求为一般防渗，防渗等级底部为混凝土结构</w:t>
            </w:r>
            <w:r>
              <w:rPr>
                <w:spacing w:val="-2"/>
              </w:rPr>
              <w:t>，应保证能达到黏</w:t>
            </w:r>
            <w:r>
              <w:rPr>
                <w:spacing w:val="-2"/>
              </w:rPr>
              <w:t>土防渗层</w:t>
            </w:r>
            <w:r>
              <w:rPr>
                <w:spacing w:val="-49"/>
              </w:rPr>
              <w:t xml:space="preserve"> </w:t>
            </w:r>
            <w:r>
              <w:rPr>
                <w:rFonts w:ascii="Times New Roman" w:hAnsi="Times New Roman" w:eastAsia="Times New Roman" w:cs="Times New Roman"/>
                <w:spacing w:val="-2"/>
              </w:rPr>
              <w:t>Mb≥1.5m</w:t>
            </w:r>
            <w:r>
              <w:rPr>
                <w:rFonts w:ascii="Times New Roman" w:hAnsi="Times New Roman" w:eastAsia="Times New Roman" w:cs="Times New Roman"/>
                <w:spacing w:val="-30"/>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z w:val="13"/>
                <w:szCs w:val="13"/>
                <w:spacing w:val="-2"/>
                <w:position w:val="9"/>
              </w:rPr>
              <w:t>-7</w:t>
            </w:r>
            <w:r>
              <w:rPr>
                <w:rFonts w:ascii="Times New Roman" w:hAnsi="Times New Roman" w:eastAsia="Times New Roman" w:cs="Times New Roman"/>
                <w:spacing w:val="-2"/>
              </w:rPr>
              <w:t>cm/s</w:t>
            </w:r>
            <w:r>
              <w:rPr>
                <w:rFonts w:ascii="Times New Roman" w:hAnsi="Times New Roman" w:eastAsia="Times New Roman" w:cs="Times New Roman"/>
                <w:spacing w:val="28"/>
                <w:w w:val="101"/>
              </w:rPr>
              <w:t xml:space="preserve"> </w:t>
            </w:r>
            <w:r>
              <w:rPr>
                <w:spacing w:val="-2"/>
              </w:rPr>
              <w:t>同</w:t>
            </w:r>
            <w:r>
              <w:rPr>
                <w:spacing w:val="-3"/>
              </w:rPr>
              <w:t>等防渗性能。</w:t>
            </w:r>
          </w:p>
        </w:tc>
        <w:tc>
          <w:tcPr>
            <w:tcW w:w="814" w:type="dxa"/>
            <w:vAlign w:val="top"/>
            <w:tcBorders>
              <w:right w:val="nil"/>
            </w:tcBorders>
          </w:tcPr>
          <w:p>
            <w:pPr>
              <w:spacing w:line="243" w:lineRule="auto"/>
              <w:rPr>
                <w:rFonts w:ascii="Arial"/>
                <w:sz w:val="21"/>
              </w:rPr>
            </w:pPr>
            <w:r/>
          </w:p>
          <w:p>
            <w:pPr>
              <w:pStyle w:val="TableText"/>
              <w:ind w:left="204"/>
              <w:spacing w:before="69" w:line="221" w:lineRule="auto"/>
              <w:rPr/>
            </w:pPr>
            <w:r>
              <w:rPr>
                <w:spacing w:val="-2"/>
              </w:rPr>
              <w:t>新建</w:t>
            </w:r>
          </w:p>
        </w:tc>
      </w:tr>
      <w:tr>
        <w:trPr>
          <w:trHeight w:val="551" w:hRule="atLeast"/>
        </w:trPr>
        <w:tc>
          <w:tcPr>
            <w:tcW w:w="681" w:type="dxa"/>
            <w:vAlign w:val="top"/>
            <w:vMerge w:val="continue"/>
            <w:tcBorders>
              <w:left w:val="nil"/>
              <w:top w:val="nil"/>
            </w:tcBorders>
          </w:tcPr>
          <w:p>
            <w:pPr>
              <w:rPr>
                <w:rFonts w:ascii="Arial"/>
                <w:sz w:val="21"/>
              </w:rPr>
            </w:pPr>
            <w:r/>
          </w:p>
        </w:tc>
        <w:tc>
          <w:tcPr>
            <w:tcW w:w="948" w:type="dxa"/>
            <w:vAlign w:val="top"/>
          </w:tcPr>
          <w:p>
            <w:pPr>
              <w:pStyle w:val="TableText"/>
              <w:ind w:left="272" w:right="152" w:hanging="104"/>
              <w:spacing w:before="45" w:line="218" w:lineRule="auto"/>
              <w:rPr/>
            </w:pPr>
            <w:r>
              <w:rPr>
                <w:spacing w:val="-3"/>
              </w:rPr>
              <w:t>办公生</w:t>
            </w:r>
            <w:r>
              <w:rPr>
                <w:spacing w:val="-3"/>
              </w:rPr>
              <w:t>活区</w:t>
            </w:r>
          </w:p>
        </w:tc>
        <w:tc>
          <w:tcPr>
            <w:tcW w:w="6275" w:type="dxa"/>
            <w:vAlign w:val="top"/>
          </w:tcPr>
          <w:p>
            <w:pPr>
              <w:pStyle w:val="TableText"/>
              <w:ind w:left="141"/>
              <w:spacing w:before="30" w:line="282" w:lineRule="exact"/>
              <w:rPr/>
            </w:pPr>
            <w:r>
              <w:rPr>
                <w:spacing w:val="-1"/>
                <w:position w:val="1"/>
              </w:rPr>
              <w:t>建筑面积</w:t>
            </w:r>
            <w:r>
              <w:rPr>
                <w:spacing w:val="-40"/>
                <w:position w:val="1"/>
              </w:rPr>
              <w:t xml:space="preserve"> </w:t>
            </w:r>
            <w:r>
              <w:rPr>
                <w:rFonts w:ascii="Times New Roman" w:hAnsi="Times New Roman" w:eastAsia="Times New Roman" w:cs="Times New Roman"/>
                <w:spacing w:val="-1"/>
                <w:position w:val="1"/>
              </w:rPr>
              <w:t>800m</w:t>
            </w:r>
            <w:r>
              <w:rPr>
                <w:rFonts w:ascii="Times New Roman" w:hAnsi="Times New Roman" w:eastAsia="Times New Roman" w:cs="Times New Roman"/>
                <w:sz w:val="13"/>
                <w:szCs w:val="13"/>
                <w:spacing w:val="-1"/>
                <w:position w:val="10"/>
              </w:rPr>
              <w:t>2</w:t>
            </w:r>
            <w:r>
              <w:rPr>
                <w:rFonts w:ascii="Times New Roman" w:hAnsi="Times New Roman" w:eastAsia="Times New Roman" w:cs="Times New Roman"/>
                <w:sz w:val="13"/>
                <w:szCs w:val="13"/>
                <w:spacing w:val="-6"/>
                <w:position w:val="10"/>
              </w:rPr>
              <w:t xml:space="preserve"> </w:t>
            </w:r>
            <w:r>
              <w:rPr>
                <w:spacing w:val="-1"/>
                <w:position w:val="1"/>
              </w:rPr>
              <w:t>，包括食堂及危险废物贮存间，</w:t>
            </w:r>
            <w:r>
              <w:rPr>
                <w:rFonts w:ascii="Times New Roman" w:hAnsi="Times New Roman" w:eastAsia="Times New Roman" w:cs="Times New Roman"/>
                <w:spacing w:val="-2"/>
                <w:position w:val="1"/>
              </w:rPr>
              <w:t>1 </w:t>
            </w:r>
            <w:r>
              <w:rPr>
                <w:spacing w:val="-2"/>
                <w:position w:val="1"/>
              </w:rPr>
              <w:t>层，采取简单防</w:t>
            </w:r>
          </w:p>
          <w:p>
            <w:pPr>
              <w:pStyle w:val="TableText"/>
              <w:ind w:left="1778"/>
              <w:spacing w:before="4" w:line="197" w:lineRule="auto"/>
              <w:rPr/>
            </w:pPr>
            <w:r>
              <w:rPr>
                <w:spacing w:val="-2"/>
              </w:rPr>
              <w:t>渗处理，进行一般地面硬化。</w:t>
            </w:r>
          </w:p>
        </w:tc>
        <w:tc>
          <w:tcPr>
            <w:tcW w:w="814" w:type="dxa"/>
            <w:vAlign w:val="top"/>
            <w:tcBorders>
              <w:right w:val="nil"/>
            </w:tcBorders>
          </w:tcPr>
          <w:p>
            <w:pPr>
              <w:pStyle w:val="TableText"/>
              <w:ind w:left="204"/>
              <w:spacing w:before="180" w:line="221" w:lineRule="auto"/>
              <w:rPr/>
            </w:pPr>
            <w:r>
              <w:rPr>
                <w:spacing w:val="-2"/>
              </w:rPr>
              <w:t>新建</w:t>
            </w:r>
          </w:p>
        </w:tc>
      </w:tr>
      <w:tr>
        <w:trPr>
          <w:trHeight w:val="548" w:hRule="atLeast"/>
        </w:trPr>
        <w:tc>
          <w:tcPr>
            <w:tcW w:w="681" w:type="dxa"/>
            <w:vAlign w:val="top"/>
            <w:vMerge w:val="restart"/>
            <w:tcBorders>
              <w:left w:val="nil"/>
              <w:bottom w:val="nil"/>
            </w:tcBorders>
          </w:tcPr>
          <w:p>
            <w:pPr>
              <w:spacing w:line="312" w:lineRule="auto"/>
              <w:rPr>
                <w:rFonts w:ascii="Arial"/>
                <w:sz w:val="21"/>
              </w:rPr>
            </w:pPr>
            <w:r/>
          </w:p>
          <w:p>
            <w:pPr>
              <w:spacing w:line="312" w:lineRule="auto"/>
              <w:rPr>
                <w:rFonts w:ascii="Arial"/>
                <w:sz w:val="21"/>
              </w:rPr>
            </w:pPr>
            <w:r/>
          </w:p>
          <w:p>
            <w:pPr>
              <w:spacing w:line="313" w:lineRule="auto"/>
              <w:rPr>
                <w:rFonts w:ascii="Arial"/>
                <w:sz w:val="21"/>
              </w:rPr>
            </w:pPr>
            <w:r/>
          </w:p>
          <w:p>
            <w:pPr>
              <w:pStyle w:val="TableText"/>
              <w:ind w:left="140" w:right="126" w:firstLine="4"/>
              <w:spacing w:before="68" w:line="243" w:lineRule="auto"/>
              <w:rPr/>
            </w:pPr>
            <w:r>
              <w:rPr>
                <w:spacing w:val="-7"/>
              </w:rPr>
              <w:t>公用</w:t>
            </w:r>
            <w:r>
              <w:rPr>
                <w:spacing w:val="-5"/>
              </w:rPr>
              <w:t>工程</w:t>
            </w:r>
          </w:p>
        </w:tc>
        <w:tc>
          <w:tcPr>
            <w:tcW w:w="948" w:type="dxa"/>
            <w:vAlign w:val="top"/>
          </w:tcPr>
          <w:p>
            <w:pPr>
              <w:pStyle w:val="TableText"/>
              <w:ind w:left="372" w:right="152" w:hanging="207"/>
              <w:spacing w:before="44" w:line="217" w:lineRule="auto"/>
              <w:rPr/>
            </w:pPr>
            <w:r>
              <w:rPr>
                <w:spacing w:val="-2"/>
              </w:rPr>
              <w:t>给水工</w:t>
            </w:r>
            <w:r>
              <w:rPr/>
              <w:t>程</w:t>
            </w:r>
          </w:p>
        </w:tc>
        <w:tc>
          <w:tcPr>
            <w:tcW w:w="6275" w:type="dxa"/>
            <w:vAlign w:val="top"/>
          </w:tcPr>
          <w:p>
            <w:pPr>
              <w:pStyle w:val="TableText"/>
              <w:ind w:left="132"/>
              <w:spacing w:before="163" w:line="281" w:lineRule="exact"/>
              <w:rPr>
                <w:rFonts w:ascii="Times New Roman" w:hAnsi="Times New Roman" w:eastAsia="Times New Roman" w:cs="Times New Roman"/>
              </w:rPr>
            </w:pPr>
            <w:r>
              <w:rPr>
                <w:spacing w:val="-3"/>
                <w:position w:val="1"/>
              </w:rPr>
              <w:t>养殖用水由场区内</w:t>
            </w:r>
            <w:r>
              <w:rPr>
                <w:spacing w:val="-11"/>
                <w:position w:val="1"/>
              </w:rPr>
              <w:t xml:space="preserve"> </w:t>
            </w:r>
            <w:r>
              <w:rPr>
                <w:rFonts w:ascii="Times New Roman" w:hAnsi="Times New Roman" w:eastAsia="Times New Roman" w:cs="Times New Roman"/>
                <w:spacing w:val="-3"/>
                <w:position w:val="1"/>
              </w:rPr>
              <w:t>1</w:t>
            </w:r>
            <w:r>
              <w:rPr>
                <w:rFonts w:ascii="Times New Roman" w:hAnsi="Times New Roman" w:eastAsia="Times New Roman" w:cs="Times New Roman"/>
                <w:spacing w:val="19"/>
                <w:w w:val="101"/>
                <w:position w:val="1"/>
              </w:rPr>
              <w:t xml:space="preserve"> </w:t>
            </w:r>
            <w:r>
              <w:rPr>
                <w:spacing w:val="-3"/>
                <w:position w:val="1"/>
              </w:rPr>
              <w:t>眼深井水供给，井深</w:t>
            </w:r>
            <w:r>
              <w:rPr>
                <w:spacing w:val="-28"/>
                <w:position w:val="1"/>
              </w:rPr>
              <w:t xml:space="preserve"> </w:t>
            </w:r>
            <w:r>
              <w:rPr>
                <w:rFonts w:ascii="Times New Roman" w:hAnsi="Times New Roman" w:eastAsia="Times New Roman" w:cs="Times New Roman"/>
                <w:spacing w:val="-3"/>
                <w:position w:val="1"/>
              </w:rPr>
              <w:t>150m</w:t>
            </w:r>
            <w:r>
              <w:rPr>
                <w:spacing w:val="-3"/>
                <w:position w:val="1"/>
              </w:rPr>
              <w:t>，出水量为</w:t>
            </w:r>
            <w:r>
              <w:rPr>
                <w:spacing w:val="-42"/>
                <w:position w:val="1"/>
              </w:rPr>
              <w:t xml:space="preserve"> </w:t>
            </w:r>
            <w:r>
              <w:rPr>
                <w:rFonts w:ascii="Times New Roman" w:hAnsi="Times New Roman" w:eastAsia="Times New Roman" w:cs="Times New Roman"/>
                <w:spacing w:val="-3"/>
                <w:position w:val="1"/>
              </w:rPr>
              <w:t>50m</w:t>
            </w:r>
            <w:r>
              <w:rPr>
                <w:rFonts w:ascii="Times New Roman" w:hAnsi="Times New Roman" w:eastAsia="Times New Roman" w:cs="Times New Roman"/>
                <w:sz w:val="13"/>
                <w:szCs w:val="13"/>
                <w:spacing w:val="-3"/>
                <w:position w:val="10"/>
              </w:rPr>
              <w:t>3</w:t>
            </w:r>
            <w:r>
              <w:rPr>
                <w:rFonts w:ascii="Times New Roman" w:hAnsi="Times New Roman" w:eastAsia="Times New Roman" w:cs="Times New Roman"/>
                <w:spacing w:val="-3"/>
                <w:position w:val="1"/>
              </w:rPr>
              <w:t>/h</w:t>
            </w:r>
          </w:p>
        </w:tc>
        <w:tc>
          <w:tcPr>
            <w:tcW w:w="814" w:type="dxa"/>
            <w:vAlign w:val="top"/>
            <w:tcBorders>
              <w:right w:val="nil"/>
            </w:tcBorders>
          </w:tcPr>
          <w:p>
            <w:pPr>
              <w:ind w:left="375"/>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819" w:hRule="atLeast"/>
        </w:trPr>
        <w:tc>
          <w:tcPr>
            <w:tcW w:w="681" w:type="dxa"/>
            <w:vAlign w:val="top"/>
            <w:vMerge w:val="continue"/>
            <w:tcBorders>
              <w:left w:val="nil"/>
              <w:top w:val="nil"/>
              <w:bottom w:val="nil"/>
            </w:tcBorders>
          </w:tcPr>
          <w:p>
            <w:pPr>
              <w:rPr>
                <w:rFonts w:ascii="Arial"/>
                <w:sz w:val="21"/>
              </w:rPr>
            </w:pPr>
            <w:r/>
          </w:p>
        </w:tc>
        <w:tc>
          <w:tcPr>
            <w:tcW w:w="948" w:type="dxa"/>
            <w:vAlign w:val="top"/>
          </w:tcPr>
          <w:p>
            <w:pPr>
              <w:pStyle w:val="TableText"/>
              <w:ind w:left="371" w:right="152" w:hanging="207"/>
              <w:spacing w:before="182" w:line="241" w:lineRule="auto"/>
              <w:rPr/>
            </w:pPr>
            <w:r>
              <w:rPr>
                <w:spacing w:val="-2"/>
              </w:rPr>
              <w:t>排水工</w:t>
            </w:r>
            <w:r>
              <w:rPr/>
              <w:t>程</w:t>
            </w:r>
          </w:p>
        </w:tc>
        <w:tc>
          <w:tcPr>
            <w:tcW w:w="6275" w:type="dxa"/>
            <w:vAlign w:val="top"/>
          </w:tcPr>
          <w:p>
            <w:pPr>
              <w:pStyle w:val="TableText"/>
              <w:ind w:left="116" w:right="99" w:firstLine="3"/>
              <w:spacing w:before="47" w:line="239" w:lineRule="auto"/>
              <w:rPr/>
            </w:pPr>
            <w:r>
              <w:rPr>
                <w:spacing w:val="-2"/>
              </w:rPr>
              <w:t>牛尿进入垫料后，定期清运至储粪库，与粪便一同定期外售给相关</w:t>
            </w:r>
            <w:r>
              <w:rPr>
                <w:spacing w:val="-1"/>
              </w:rPr>
              <w:t>单位生产有机肥。</w:t>
            </w:r>
          </w:p>
          <w:p>
            <w:pPr>
              <w:pStyle w:val="TableText"/>
              <w:ind w:left="116"/>
              <w:spacing w:line="191" w:lineRule="auto"/>
              <w:rPr/>
            </w:pPr>
            <w:r>
              <w:rPr>
                <w:spacing w:val="-1"/>
              </w:rPr>
              <w:t>生活污水排防渗池，定期由环卫部门清抽处理。</w:t>
            </w:r>
          </w:p>
        </w:tc>
        <w:tc>
          <w:tcPr>
            <w:tcW w:w="814" w:type="dxa"/>
            <w:vAlign w:val="top"/>
            <w:tcBorders>
              <w:right w:val="nil"/>
            </w:tcBorders>
          </w:tcPr>
          <w:p>
            <w:pPr>
              <w:spacing w:line="285" w:lineRule="auto"/>
              <w:rPr>
                <w:rFonts w:ascii="Arial"/>
                <w:sz w:val="21"/>
              </w:rPr>
            </w:pPr>
            <w:r/>
          </w:p>
          <w:p>
            <w:pPr>
              <w:ind w:left="375"/>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49" w:hRule="atLeast"/>
        </w:trPr>
        <w:tc>
          <w:tcPr>
            <w:tcW w:w="681" w:type="dxa"/>
            <w:vAlign w:val="top"/>
            <w:vMerge w:val="continue"/>
            <w:tcBorders>
              <w:left w:val="nil"/>
              <w:top w:val="nil"/>
              <w:bottom w:val="nil"/>
            </w:tcBorders>
          </w:tcPr>
          <w:p>
            <w:pPr>
              <w:rPr>
                <w:rFonts w:ascii="Arial"/>
                <w:sz w:val="21"/>
              </w:rPr>
            </w:pPr>
            <w:r/>
          </w:p>
        </w:tc>
        <w:tc>
          <w:tcPr>
            <w:tcW w:w="948" w:type="dxa"/>
            <w:vAlign w:val="top"/>
          </w:tcPr>
          <w:p>
            <w:pPr>
              <w:pStyle w:val="TableText"/>
              <w:ind w:left="371" w:right="152" w:hanging="207"/>
              <w:spacing w:before="47" w:line="216" w:lineRule="auto"/>
              <w:rPr/>
            </w:pPr>
            <w:r>
              <w:rPr>
                <w:spacing w:val="-2"/>
              </w:rPr>
              <w:t>供暖工</w:t>
            </w:r>
            <w:r>
              <w:rPr/>
              <w:t>程</w:t>
            </w:r>
          </w:p>
        </w:tc>
        <w:tc>
          <w:tcPr>
            <w:tcW w:w="6275" w:type="dxa"/>
            <w:vAlign w:val="top"/>
          </w:tcPr>
          <w:p>
            <w:pPr>
              <w:pStyle w:val="TableText"/>
              <w:ind w:left="2851"/>
              <w:spacing w:before="184" w:line="220" w:lineRule="auto"/>
              <w:rPr/>
            </w:pPr>
            <w:r>
              <w:rPr>
                <w:spacing w:val="-7"/>
              </w:rPr>
              <w:t>电供暖</w:t>
            </w:r>
          </w:p>
        </w:tc>
        <w:tc>
          <w:tcPr>
            <w:tcW w:w="814" w:type="dxa"/>
            <w:vAlign w:val="top"/>
            <w:tcBorders>
              <w:right w:val="nil"/>
            </w:tcBorders>
          </w:tcPr>
          <w:p>
            <w:pPr>
              <w:ind w:left="375"/>
              <w:spacing w:before="21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48" w:hRule="atLeast"/>
        </w:trPr>
        <w:tc>
          <w:tcPr>
            <w:tcW w:w="681" w:type="dxa"/>
            <w:vAlign w:val="top"/>
            <w:vMerge w:val="continue"/>
            <w:tcBorders>
              <w:left w:val="nil"/>
              <w:top w:val="nil"/>
            </w:tcBorders>
          </w:tcPr>
          <w:p>
            <w:pPr>
              <w:rPr>
                <w:rFonts w:ascii="Arial"/>
                <w:sz w:val="21"/>
              </w:rPr>
            </w:pPr>
            <w:r/>
          </w:p>
        </w:tc>
        <w:tc>
          <w:tcPr>
            <w:tcW w:w="948" w:type="dxa"/>
            <w:vAlign w:val="top"/>
          </w:tcPr>
          <w:p>
            <w:pPr>
              <w:pStyle w:val="TableText"/>
              <w:ind w:left="371" w:right="152" w:hanging="207"/>
              <w:spacing w:before="51" w:line="214" w:lineRule="auto"/>
              <w:rPr/>
            </w:pPr>
            <w:r>
              <w:rPr>
                <w:spacing w:val="-2"/>
              </w:rPr>
              <w:t>供电工</w:t>
            </w:r>
            <w:r>
              <w:rPr/>
              <w:t>程</w:t>
            </w:r>
          </w:p>
        </w:tc>
        <w:tc>
          <w:tcPr>
            <w:tcW w:w="6275" w:type="dxa"/>
            <w:vAlign w:val="top"/>
          </w:tcPr>
          <w:p>
            <w:pPr>
              <w:pStyle w:val="TableText"/>
              <w:ind w:left="2618"/>
              <w:spacing w:before="185" w:line="220" w:lineRule="auto"/>
              <w:rPr/>
            </w:pPr>
            <w:r>
              <w:rPr>
                <w:spacing w:val="-1"/>
              </w:rPr>
              <w:t>供电网接入</w:t>
            </w:r>
          </w:p>
        </w:tc>
        <w:tc>
          <w:tcPr>
            <w:tcW w:w="814" w:type="dxa"/>
            <w:vAlign w:val="top"/>
            <w:tcBorders>
              <w:right w:val="nil"/>
            </w:tcBorders>
          </w:tcPr>
          <w:p>
            <w:pPr>
              <w:ind w:left="375"/>
              <w:spacing w:before="21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821" w:hRule="atLeast"/>
        </w:trPr>
        <w:tc>
          <w:tcPr>
            <w:tcW w:w="681" w:type="dxa"/>
            <w:vAlign w:val="top"/>
            <w:vMerge w:val="restart"/>
            <w:tcBorders>
              <w:left w:val="nil"/>
              <w:bottom w:val="nil"/>
            </w:tcBorders>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pStyle w:val="TableText"/>
              <w:ind w:left="139" w:right="126" w:hanging="2"/>
              <w:spacing w:before="68" w:line="243" w:lineRule="auto"/>
              <w:rPr/>
            </w:pPr>
            <w:r>
              <w:rPr>
                <w:spacing w:val="-3"/>
              </w:rPr>
              <w:t>环保</w:t>
            </w:r>
            <w:r>
              <w:rPr>
                <w:spacing w:val="-5"/>
              </w:rPr>
              <w:t>工程</w:t>
            </w:r>
          </w:p>
        </w:tc>
        <w:tc>
          <w:tcPr>
            <w:tcW w:w="948" w:type="dxa"/>
            <w:vAlign w:val="top"/>
          </w:tcPr>
          <w:p>
            <w:pPr>
              <w:spacing w:line="253" w:lineRule="auto"/>
              <w:rPr>
                <w:rFonts w:ascii="Arial"/>
                <w:sz w:val="21"/>
              </w:rPr>
            </w:pPr>
            <w:r/>
          </w:p>
          <w:p>
            <w:pPr>
              <w:pStyle w:val="TableText"/>
              <w:ind w:left="269"/>
              <w:spacing w:before="68" w:line="221" w:lineRule="auto"/>
              <w:rPr/>
            </w:pPr>
            <w:r>
              <w:rPr>
                <w:spacing w:val="-2"/>
              </w:rPr>
              <w:t>废水</w:t>
            </w:r>
          </w:p>
        </w:tc>
        <w:tc>
          <w:tcPr>
            <w:tcW w:w="6275" w:type="dxa"/>
            <w:vAlign w:val="top"/>
          </w:tcPr>
          <w:p>
            <w:pPr>
              <w:pStyle w:val="TableText"/>
              <w:ind w:left="117" w:right="28" w:firstLine="2"/>
              <w:spacing w:before="53" w:line="222" w:lineRule="auto"/>
              <w:jc w:val="both"/>
              <w:rPr/>
            </w:pPr>
            <w:r>
              <w:rPr>
                <w:spacing w:val="-2"/>
              </w:rPr>
              <w:t>牛尿进入垫料后，定期清运至储粪库，场区无流动尿液，不建设污</w:t>
            </w:r>
            <w:r>
              <w:rPr>
                <w:spacing w:val="-2"/>
              </w:rPr>
              <w:t>水收集管道，生活污水排防渗池，定期由环卫部门清抽处理。场区</w:t>
            </w:r>
            <w:r>
              <w:rPr>
                <w:spacing w:val="-6"/>
              </w:rPr>
              <w:t>四周建设雨水收集边沟，雨水通过雨水收集排放，可实现雨污分流。</w:t>
            </w:r>
          </w:p>
        </w:tc>
        <w:tc>
          <w:tcPr>
            <w:tcW w:w="814" w:type="dxa"/>
            <w:vAlign w:val="top"/>
            <w:tcBorders>
              <w:right w:val="nil"/>
            </w:tcBorders>
          </w:tcPr>
          <w:p>
            <w:pPr>
              <w:spacing w:line="254" w:lineRule="auto"/>
              <w:rPr>
                <w:rFonts w:ascii="Arial"/>
                <w:sz w:val="21"/>
              </w:rPr>
            </w:pPr>
            <w:r/>
          </w:p>
          <w:p>
            <w:pPr>
              <w:pStyle w:val="TableText"/>
              <w:ind w:left="204"/>
              <w:spacing w:before="68" w:line="221" w:lineRule="auto"/>
              <w:rPr/>
            </w:pPr>
            <w:r>
              <w:rPr>
                <w:spacing w:val="-2"/>
              </w:rPr>
              <w:t>新建</w:t>
            </w:r>
          </w:p>
        </w:tc>
      </w:tr>
      <w:tr>
        <w:trPr>
          <w:trHeight w:val="821" w:hRule="atLeast"/>
        </w:trPr>
        <w:tc>
          <w:tcPr>
            <w:tcW w:w="681" w:type="dxa"/>
            <w:vAlign w:val="top"/>
            <w:vMerge w:val="continue"/>
            <w:tcBorders>
              <w:left w:val="nil"/>
              <w:bottom w:val="nil"/>
              <w:top w:val="nil"/>
            </w:tcBorders>
          </w:tcPr>
          <w:p>
            <w:pPr>
              <w:rPr>
                <w:rFonts w:ascii="Arial"/>
                <w:sz w:val="21"/>
              </w:rPr>
            </w:pPr>
            <w:r/>
          </w:p>
        </w:tc>
        <w:tc>
          <w:tcPr>
            <w:tcW w:w="948" w:type="dxa"/>
            <w:vAlign w:val="top"/>
          </w:tcPr>
          <w:p>
            <w:pPr>
              <w:spacing w:line="256" w:lineRule="auto"/>
              <w:rPr>
                <w:rFonts w:ascii="Arial"/>
                <w:sz w:val="21"/>
              </w:rPr>
            </w:pPr>
            <w:r/>
          </w:p>
          <w:p>
            <w:pPr>
              <w:pStyle w:val="TableText"/>
              <w:ind w:left="269"/>
              <w:spacing w:before="68" w:line="221" w:lineRule="auto"/>
              <w:rPr/>
            </w:pPr>
            <w:r>
              <w:rPr>
                <w:spacing w:val="-2"/>
              </w:rPr>
              <w:t>废气</w:t>
            </w:r>
          </w:p>
        </w:tc>
        <w:tc>
          <w:tcPr>
            <w:tcW w:w="6275" w:type="dxa"/>
            <w:vAlign w:val="top"/>
          </w:tcPr>
          <w:p>
            <w:pPr>
              <w:pStyle w:val="TableText"/>
              <w:ind w:left="119"/>
              <w:spacing w:before="51" w:line="220" w:lineRule="auto"/>
              <w:rPr/>
            </w:pPr>
            <w:r>
              <w:rPr>
                <w:spacing w:val="-2"/>
              </w:rPr>
              <w:t>牛舍粪便日产日清，厂区定期喷洒除臭剂，牛舍、储粪库等投加生</w:t>
            </w:r>
          </w:p>
          <w:p>
            <w:pPr>
              <w:pStyle w:val="TableText"/>
              <w:ind w:left="114"/>
              <w:spacing w:before="23" w:line="234" w:lineRule="auto"/>
              <w:rPr/>
            </w:pPr>
            <w:r>
              <w:rPr>
                <w:spacing w:val="-1"/>
              </w:rPr>
              <w:t>物除臭剂抑制恶臭气体产生，牛舍设置风机</w:t>
            </w:r>
            <w:r>
              <w:rPr>
                <w:spacing w:val="-48"/>
              </w:rPr>
              <w:t xml:space="preserve"> </w:t>
            </w:r>
            <w:r>
              <w:rPr>
                <w:rFonts w:ascii="Times New Roman" w:hAnsi="Times New Roman" w:eastAsia="Times New Roman" w:cs="Times New Roman"/>
                <w:spacing w:val="-1"/>
              </w:rPr>
              <w:t>24</w:t>
            </w:r>
            <w:r>
              <w:rPr>
                <w:rFonts w:ascii="Times New Roman" w:hAnsi="Times New Roman" w:eastAsia="Times New Roman" w:cs="Times New Roman"/>
                <w:spacing w:val="-2"/>
              </w:rPr>
              <w:t>h </w:t>
            </w:r>
            <w:r>
              <w:rPr>
                <w:spacing w:val="-2"/>
              </w:rPr>
              <w:t>排风；食堂油烟经</w:t>
            </w:r>
          </w:p>
          <w:p>
            <w:pPr>
              <w:pStyle w:val="TableText"/>
              <w:ind w:left="1361"/>
              <w:spacing w:before="5" w:line="188" w:lineRule="auto"/>
              <w:rPr/>
            </w:pPr>
            <w:r>
              <w:rPr>
                <w:spacing w:val="-1"/>
              </w:rPr>
              <w:t>油烟净化器净化处理后经专用烟道排放</w:t>
            </w:r>
          </w:p>
        </w:tc>
        <w:tc>
          <w:tcPr>
            <w:tcW w:w="814" w:type="dxa"/>
            <w:vAlign w:val="top"/>
            <w:tcBorders>
              <w:right w:val="nil"/>
            </w:tcBorders>
          </w:tcPr>
          <w:p>
            <w:pPr>
              <w:spacing w:line="256" w:lineRule="auto"/>
              <w:rPr>
                <w:rFonts w:ascii="Arial"/>
                <w:sz w:val="21"/>
              </w:rPr>
            </w:pPr>
            <w:r/>
          </w:p>
          <w:p>
            <w:pPr>
              <w:pStyle w:val="TableText"/>
              <w:ind w:left="204"/>
              <w:spacing w:before="68" w:line="221" w:lineRule="auto"/>
              <w:rPr/>
            </w:pPr>
            <w:r>
              <w:rPr>
                <w:spacing w:val="-2"/>
              </w:rPr>
              <w:t>新建</w:t>
            </w:r>
          </w:p>
        </w:tc>
      </w:tr>
      <w:tr>
        <w:trPr>
          <w:trHeight w:val="275" w:hRule="atLeast"/>
        </w:trPr>
        <w:tc>
          <w:tcPr>
            <w:tcW w:w="681" w:type="dxa"/>
            <w:vAlign w:val="top"/>
            <w:vMerge w:val="continue"/>
            <w:tcBorders>
              <w:left w:val="nil"/>
              <w:bottom w:val="nil"/>
              <w:top w:val="nil"/>
            </w:tcBorders>
          </w:tcPr>
          <w:p>
            <w:pPr>
              <w:rPr>
                <w:rFonts w:ascii="Arial"/>
                <w:sz w:val="21"/>
              </w:rPr>
            </w:pPr>
            <w:r/>
          </w:p>
        </w:tc>
        <w:tc>
          <w:tcPr>
            <w:tcW w:w="948" w:type="dxa"/>
            <w:vAlign w:val="top"/>
          </w:tcPr>
          <w:p>
            <w:pPr>
              <w:pStyle w:val="TableText"/>
              <w:ind w:left="280"/>
              <w:spacing w:before="53" w:line="186" w:lineRule="auto"/>
              <w:rPr/>
            </w:pPr>
            <w:r>
              <w:rPr>
                <w:spacing w:val="-4"/>
              </w:rPr>
              <w:t>噪声</w:t>
            </w:r>
          </w:p>
        </w:tc>
        <w:tc>
          <w:tcPr>
            <w:tcW w:w="6275" w:type="dxa"/>
            <w:vAlign w:val="top"/>
          </w:tcPr>
          <w:p>
            <w:pPr>
              <w:pStyle w:val="TableText"/>
              <w:ind w:left="1040"/>
              <w:spacing w:before="53" w:line="186" w:lineRule="auto"/>
              <w:rPr/>
            </w:pPr>
            <w:r>
              <w:rPr>
                <w:spacing w:val="-1"/>
              </w:rPr>
              <w:t>低噪声设备、隔声、基础减振，厂区周围绿化</w:t>
            </w:r>
          </w:p>
        </w:tc>
        <w:tc>
          <w:tcPr>
            <w:tcW w:w="814" w:type="dxa"/>
            <w:vAlign w:val="top"/>
            <w:tcBorders>
              <w:right w:val="nil"/>
            </w:tcBorders>
          </w:tcPr>
          <w:p>
            <w:pPr>
              <w:pStyle w:val="TableText"/>
              <w:ind w:left="204"/>
              <w:spacing w:before="53" w:line="186" w:lineRule="auto"/>
              <w:rPr/>
            </w:pPr>
            <w:r>
              <w:rPr>
                <w:spacing w:val="-2"/>
              </w:rPr>
              <w:t>新建</w:t>
            </w:r>
          </w:p>
        </w:tc>
      </w:tr>
      <w:tr>
        <w:trPr>
          <w:trHeight w:val="575" w:hRule="atLeast"/>
        </w:trPr>
        <w:tc>
          <w:tcPr>
            <w:tcW w:w="681" w:type="dxa"/>
            <w:vAlign w:val="top"/>
            <w:vMerge w:val="continue"/>
            <w:tcBorders>
              <w:left w:val="nil"/>
              <w:bottom w:val="single" w:color="000000" w:sz="10" w:space="0"/>
              <w:top w:val="nil"/>
            </w:tcBorders>
          </w:tcPr>
          <w:p>
            <w:pPr>
              <w:rPr>
                <w:rFonts w:ascii="Arial"/>
                <w:sz w:val="21"/>
              </w:rPr>
            </w:pPr>
            <w:r/>
          </w:p>
        </w:tc>
        <w:tc>
          <w:tcPr>
            <w:tcW w:w="948" w:type="dxa"/>
            <w:vAlign w:val="top"/>
            <w:tcBorders>
              <w:bottom w:val="single" w:color="000000" w:sz="10" w:space="0"/>
            </w:tcBorders>
          </w:tcPr>
          <w:p>
            <w:pPr>
              <w:pStyle w:val="TableText"/>
              <w:ind w:left="372" w:right="152" w:hanging="190"/>
              <w:spacing w:before="55" w:line="224" w:lineRule="auto"/>
              <w:rPr/>
            </w:pPr>
            <w:r>
              <w:rPr>
                <w:spacing w:val="-8"/>
              </w:rPr>
              <w:t>固体废</w:t>
            </w:r>
            <w:r>
              <w:rPr/>
              <w:t>物</w:t>
            </w:r>
          </w:p>
        </w:tc>
        <w:tc>
          <w:tcPr>
            <w:tcW w:w="6275" w:type="dxa"/>
            <w:vAlign w:val="top"/>
            <w:tcBorders>
              <w:bottom w:val="single" w:color="000000" w:sz="10" w:space="0"/>
            </w:tcBorders>
          </w:tcPr>
          <w:p>
            <w:pPr>
              <w:pStyle w:val="TableText"/>
              <w:ind w:left="114" w:right="100"/>
              <w:spacing w:before="55" w:line="224" w:lineRule="auto"/>
              <w:rPr/>
            </w:pPr>
            <w:r>
              <w:rPr>
                <w:spacing w:val="-1"/>
              </w:rPr>
              <w:t>废垫料暂存于储粪库内，定期外售相关单位生产有</w:t>
            </w:r>
            <w:r>
              <w:rPr>
                <w:spacing w:val="-2"/>
              </w:rPr>
              <w:t>机肥；病死牛暂</w:t>
            </w:r>
            <w:r>
              <w:rPr>
                <w:spacing w:val="-1"/>
              </w:rPr>
              <w:t>存于冷藏集装箱内，病死牛委托相关单位进行无害</w:t>
            </w:r>
            <w:r>
              <w:rPr>
                <w:spacing w:val="-2"/>
              </w:rPr>
              <w:t>化处置；防疫废</w:t>
            </w:r>
          </w:p>
        </w:tc>
        <w:tc>
          <w:tcPr>
            <w:tcW w:w="814" w:type="dxa"/>
            <w:vAlign w:val="top"/>
            <w:tcBorders>
              <w:right w:val="nil"/>
              <w:bottom w:val="single" w:color="000000" w:sz="10" w:space="0"/>
            </w:tcBorders>
          </w:tcPr>
          <w:p>
            <w:pPr>
              <w:pStyle w:val="TableText"/>
              <w:ind w:left="204"/>
              <w:spacing w:before="191" w:line="221" w:lineRule="auto"/>
              <w:rPr/>
            </w:pPr>
            <w:r>
              <w:rPr>
                <w:spacing w:val="-2"/>
              </w:rPr>
              <w:t>新建</w:t>
            </w:r>
          </w:p>
        </w:tc>
      </w:tr>
    </w:tbl>
    <w:p>
      <w:pPr>
        <w:pStyle w:val="BodyText"/>
        <w:rPr/>
      </w:pPr>
      <w:r/>
    </w:p>
    <w:p>
      <w:pPr>
        <w:sectPr>
          <w:headerReference w:type="default" r:id="rId69"/>
          <w:pgSz w:w="11907" w:h="16839"/>
          <w:pgMar w:top="1390" w:right="1591" w:bottom="400" w:left="1596" w:header="1054" w:footer="0" w:gutter="0"/>
        </w:sectPr>
        <w:rPr/>
      </w:pPr>
    </w:p>
    <w:p>
      <w:pPr>
        <w:spacing w:line="49" w:lineRule="exact"/>
        <w:rPr/>
      </w:pPr>
      <w:r/>
    </w:p>
    <w:tbl>
      <w:tblPr>
        <w:tblStyle w:val="TableNormal"/>
        <w:tblW w:w="8718" w:type="dxa"/>
        <w:tblInd w:w="1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81"/>
        <w:gridCol w:w="948"/>
        <w:gridCol w:w="6275"/>
        <w:gridCol w:w="814"/>
      </w:tblGrid>
      <w:tr>
        <w:trPr>
          <w:trHeight w:val="824" w:hRule="atLeast"/>
        </w:trPr>
        <w:tc>
          <w:tcPr>
            <w:tcW w:w="681" w:type="dxa"/>
            <w:vAlign w:val="top"/>
            <w:vMerge w:val="restart"/>
            <w:tcBorders>
              <w:bottom w:val="nil"/>
              <w:top w:val="single" w:color="000000" w:sz="10" w:space="0"/>
              <w:left w:val="nil"/>
            </w:tcBorders>
          </w:tcPr>
          <w:p>
            <w:pPr>
              <w:rPr>
                <w:rFonts w:ascii="Arial"/>
                <w:sz w:val="21"/>
              </w:rPr>
            </w:pPr>
            <w:r/>
          </w:p>
        </w:tc>
        <w:tc>
          <w:tcPr>
            <w:tcW w:w="948" w:type="dxa"/>
            <w:vAlign w:val="top"/>
            <w:tcBorders>
              <w:top w:val="single" w:color="000000" w:sz="10" w:space="0"/>
            </w:tcBorders>
          </w:tcPr>
          <w:p>
            <w:pPr>
              <w:rPr>
                <w:rFonts w:ascii="Arial"/>
                <w:sz w:val="21"/>
              </w:rPr>
            </w:pPr>
            <w:r/>
          </w:p>
        </w:tc>
        <w:tc>
          <w:tcPr>
            <w:tcW w:w="6275" w:type="dxa"/>
            <w:vAlign w:val="top"/>
            <w:tcBorders>
              <w:top w:val="single" w:color="000000" w:sz="10" w:space="0"/>
            </w:tcBorders>
          </w:tcPr>
          <w:p>
            <w:pPr>
              <w:pStyle w:val="TableText"/>
              <w:ind w:left="114"/>
              <w:spacing w:before="35" w:line="220" w:lineRule="auto"/>
              <w:rPr/>
            </w:pPr>
            <w:r>
              <w:rPr>
                <w:spacing w:val="-1"/>
              </w:rPr>
              <w:t>物、废消毒剂包装袋暂存于危险废物暂存间内，</w:t>
            </w:r>
            <w:r>
              <w:rPr>
                <w:spacing w:val="-2"/>
              </w:rPr>
              <w:t>定期交给有资质单</w:t>
            </w:r>
          </w:p>
          <w:p>
            <w:pPr>
              <w:pStyle w:val="TableText"/>
              <w:ind w:left="114"/>
              <w:spacing w:before="21" w:line="220" w:lineRule="auto"/>
              <w:rPr/>
            </w:pPr>
            <w:r>
              <w:rPr>
                <w:spacing w:val="-1"/>
              </w:rPr>
              <w:t>位处理；废除臭剂包装袋、餐厨垃圾与生活垃圾</w:t>
            </w:r>
            <w:r>
              <w:rPr>
                <w:spacing w:val="-2"/>
              </w:rPr>
              <w:t>收集后由环卫部门</w:t>
            </w:r>
          </w:p>
          <w:p>
            <w:pPr>
              <w:pStyle w:val="TableText"/>
              <w:ind w:left="2623"/>
              <w:spacing w:before="20" w:line="207" w:lineRule="auto"/>
              <w:rPr/>
            </w:pPr>
            <w:r>
              <w:rPr>
                <w:spacing w:val="-6"/>
              </w:rPr>
              <w:t>定期处理。</w:t>
            </w:r>
          </w:p>
        </w:tc>
        <w:tc>
          <w:tcPr>
            <w:tcW w:w="814" w:type="dxa"/>
            <w:vAlign w:val="top"/>
            <w:tcBorders>
              <w:top w:val="single" w:color="000000" w:sz="10" w:space="0"/>
              <w:right w:val="nil"/>
            </w:tcBorders>
          </w:tcPr>
          <w:p>
            <w:pPr>
              <w:rPr>
                <w:rFonts w:ascii="Arial"/>
                <w:sz w:val="21"/>
              </w:rPr>
            </w:pPr>
            <w:r/>
          </w:p>
        </w:tc>
      </w:tr>
      <w:tr>
        <w:trPr>
          <w:trHeight w:val="819" w:hRule="atLeast"/>
        </w:trPr>
        <w:tc>
          <w:tcPr>
            <w:tcW w:w="681" w:type="dxa"/>
            <w:vAlign w:val="top"/>
            <w:vMerge w:val="continue"/>
            <w:tcBorders>
              <w:bottom w:val="nil"/>
              <w:top w:val="nil"/>
              <w:left w:val="nil"/>
            </w:tcBorders>
          </w:tcPr>
          <w:p>
            <w:pPr>
              <w:rPr>
                <w:rFonts w:ascii="Arial"/>
                <w:sz w:val="21"/>
              </w:rPr>
            </w:pPr>
            <w:r/>
          </w:p>
        </w:tc>
        <w:tc>
          <w:tcPr>
            <w:tcW w:w="948" w:type="dxa"/>
            <w:vAlign w:val="top"/>
          </w:tcPr>
          <w:p>
            <w:pPr>
              <w:pStyle w:val="TableText"/>
              <w:ind w:left="167"/>
              <w:spacing w:before="33" w:line="221" w:lineRule="auto"/>
              <w:rPr/>
            </w:pPr>
            <w:r>
              <w:rPr>
                <w:spacing w:val="-2"/>
              </w:rPr>
              <w:t>危险废</w:t>
            </w:r>
          </w:p>
          <w:p>
            <w:pPr>
              <w:pStyle w:val="TableText"/>
              <w:ind w:left="389" w:right="152" w:hanging="225"/>
              <w:spacing w:before="21" w:line="221" w:lineRule="auto"/>
              <w:rPr/>
            </w:pPr>
            <w:r>
              <w:rPr>
                <w:spacing w:val="-2"/>
              </w:rPr>
              <w:t>物暂存</w:t>
            </w:r>
            <w:r>
              <w:rPr/>
              <w:t>间</w:t>
            </w:r>
          </w:p>
        </w:tc>
        <w:tc>
          <w:tcPr>
            <w:tcW w:w="6275" w:type="dxa"/>
            <w:vAlign w:val="top"/>
          </w:tcPr>
          <w:p>
            <w:pPr>
              <w:pStyle w:val="TableText"/>
              <w:ind w:left="1742"/>
              <w:spacing w:before="290" w:line="283" w:lineRule="exact"/>
              <w:rPr>
                <w:rFonts w:ascii="Times New Roman" w:hAnsi="Times New Roman" w:eastAsia="Times New Roman" w:cs="Times New Roman"/>
                <w:sz w:val="13"/>
                <w:szCs w:val="13"/>
              </w:rPr>
            </w:pPr>
            <w:r>
              <w:rPr>
                <w:spacing w:val="-3"/>
                <w:position w:val="1"/>
              </w:rPr>
              <w:t>危险废物暂存，建筑面积</w:t>
            </w:r>
            <w:r>
              <w:rPr>
                <w:spacing w:val="-16"/>
                <w:position w:val="1"/>
              </w:rPr>
              <w:t xml:space="preserve"> </w:t>
            </w:r>
            <w:r>
              <w:rPr>
                <w:rFonts w:ascii="Times New Roman" w:hAnsi="Times New Roman" w:eastAsia="Times New Roman" w:cs="Times New Roman"/>
                <w:spacing w:val="-3"/>
                <w:position w:val="1"/>
              </w:rPr>
              <w:t>10m</w:t>
            </w:r>
            <w:r>
              <w:rPr>
                <w:rFonts w:ascii="Times New Roman" w:hAnsi="Times New Roman" w:eastAsia="Times New Roman" w:cs="Times New Roman"/>
                <w:sz w:val="13"/>
                <w:szCs w:val="13"/>
                <w:spacing w:val="-3"/>
                <w:position w:val="10"/>
              </w:rPr>
              <w:t>2</w:t>
            </w:r>
          </w:p>
        </w:tc>
        <w:tc>
          <w:tcPr>
            <w:tcW w:w="814" w:type="dxa"/>
            <w:vAlign w:val="top"/>
            <w:tcBorders>
              <w:right w:val="nil"/>
            </w:tcBorders>
          </w:tcPr>
          <w:p>
            <w:pPr>
              <w:pStyle w:val="TableText"/>
              <w:ind w:left="204"/>
              <w:spacing w:before="306" w:line="221" w:lineRule="auto"/>
              <w:rPr/>
            </w:pPr>
            <w:r>
              <w:rPr>
                <w:spacing w:val="-2"/>
              </w:rPr>
              <w:t>新建</w:t>
            </w:r>
          </w:p>
        </w:tc>
      </w:tr>
      <w:tr>
        <w:trPr>
          <w:trHeight w:val="547" w:hRule="atLeast"/>
        </w:trPr>
        <w:tc>
          <w:tcPr>
            <w:tcW w:w="681" w:type="dxa"/>
            <w:vAlign w:val="top"/>
            <w:vMerge w:val="continue"/>
            <w:tcBorders>
              <w:bottom w:val="nil"/>
              <w:top w:val="nil"/>
              <w:left w:val="nil"/>
            </w:tcBorders>
          </w:tcPr>
          <w:p>
            <w:pPr>
              <w:rPr>
                <w:rFonts w:ascii="Arial"/>
                <w:sz w:val="21"/>
              </w:rPr>
            </w:pPr>
            <w:r/>
          </w:p>
        </w:tc>
        <w:tc>
          <w:tcPr>
            <w:tcW w:w="948" w:type="dxa"/>
            <w:vAlign w:val="top"/>
          </w:tcPr>
          <w:p>
            <w:pPr>
              <w:pStyle w:val="TableText"/>
              <w:ind w:left="384" w:right="152" w:hanging="220"/>
              <w:spacing w:before="36" w:line="220" w:lineRule="auto"/>
              <w:rPr/>
            </w:pPr>
            <w:r>
              <w:rPr>
                <w:spacing w:val="-2"/>
              </w:rPr>
              <w:t>环境风</w:t>
            </w:r>
            <w:r>
              <w:rPr/>
              <w:t>险</w:t>
            </w:r>
          </w:p>
        </w:tc>
        <w:tc>
          <w:tcPr>
            <w:tcW w:w="6275" w:type="dxa"/>
            <w:vAlign w:val="top"/>
          </w:tcPr>
          <w:p>
            <w:pPr>
              <w:pStyle w:val="TableText"/>
              <w:ind w:left="834"/>
              <w:spacing w:before="171" w:line="221" w:lineRule="auto"/>
              <w:rPr/>
            </w:pPr>
            <w:r>
              <w:rPr>
                <w:spacing w:val="-1"/>
              </w:rPr>
              <w:t>分区防渗、防护网、警示标识、制定风险应急预案</w:t>
            </w:r>
          </w:p>
        </w:tc>
        <w:tc>
          <w:tcPr>
            <w:tcW w:w="814" w:type="dxa"/>
            <w:vAlign w:val="top"/>
            <w:tcBorders>
              <w:right w:val="nil"/>
            </w:tcBorders>
          </w:tcPr>
          <w:p>
            <w:pPr>
              <w:pStyle w:val="TableText"/>
              <w:ind w:left="204"/>
              <w:spacing w:before="171" w:line="221" w:lineRule="auto"/>
              <w:rPr/>
            </w:pPr>
            <w:r>
              <w:rPr>
                <w:spacing w:val="-2"/>
              </w:rPr>
              <w:t>新建</w:t>
            </w:r>
          </w:p>
        </w:tc>
      </w:tr>
      <w:tr>
        <w:trPr>
          <w:trHeight w:val="817" w:hRule="atLeast"/>
        </w:trPr>
        <w:tc>
          <w:tcPr>
            <w:tcW w:w="681" w:type="dxa"/>
            <w:vAlign w:val="top"/>
            <w:vMerge w:val="continue"/>
            <w:tcBorders>
              <w:bottom w:val="nil"/>
              <w:top w:val="nil"/>
              <w:left w:val="nil"/>
            </w:tcBorders>
          </w:tcPr>
          <w:p>
            <w:pPr>
              <w:rPr>
                <w:rFonts w:ascii="Arial"/>
                <w:sz w:val="21"/>
              </w:rPr>
            </w:pPr>
            <w:r/>
          </w:p>
        </w:tc>
        <w:tc>
          <w:tcPr>
            <w:tcW w:w="948" w:type="dxa"/>
            <w:vAlign w:val="top"/>
          </w:tcPr>
          <w:p>
            <w:pPr>
              <w:pStyle w:val="TableText"/>
              <w:ind w:left="270"/>
              <w:spacing w:before="39" w:line="222" w:lineRule="auto"/>
              <w:rPr/>
            </w:pPr>
            <w:r>
              <w:rPr>
                <w:spacing w:val="-2"/>
              </w:rPr>
              <w:t>地下</w:t>
            </w:r>
          </w:p>
          <w:p>
            <w:pPr>
              <w:pStyle w:val="TableText"/>
              <w:ind w:left="167"/>
              <w:spacing w:before="18" w:line="221" w:lineRule="auto"/>
              <w:rPr/>
            </w:pPr>
            <w:r>
              <w:rPr>
                <w:spacing w:val="-2"/>
              </w:rPr>
              <w:t>水、土</w:t>
            </w:r>
          </w:p>
          <w:p>
            <w:pPr>
              <w:pStyle w:val="TableText"/>
              <w:ind w:left="373"/>
              <w:spacing w:before="22" w:line="196" w:lineRule="auto"/>
              <w:rPr/>
            </w:pPr>
            <w:r>
              <w:rPr/>
              <w:t>壤</w:t>
            </w:r>
          </w:p>
        </w:tc>
        <w:tc>
          <w:tcPr>
            <w:tcW w:w="6275" w:type="dxa"/>
            <w:vAlign w:val="top"/>
          </w:tcPr>
          <w:p>
            <w:pPr>
              <w:spacing w:line="241" w:lineRule="auto"/>
              <w:rPr>
                <w:rFonts w:ascii="Arial"/>
                <w:sz w:val="21"/>
              </w:rPr>
            </w:pPr>
            <w:r/>
          </w:p>
          <w:p>
            <w:pPr>
              <w:pStyle w:val="TableText"/>
              <w:ind w:left="2726"/>
              <w:spacing w:before="68" w:line="221" w:lineRule="auto"/>
              <w:rPr/>
            </w:pPr>
            <w:r>
              <w:rPr>
                <w:spacing w:val="-2"/>
              </w:rPr>
              <w:t>分区防渗</w:t>
            </w:r>
          </w:p>
        </w:tc>
        <w:tc>
          <w:tcPr>
            <w:tcW w:w="814" w:type="dxa"/>
            <w:vAlign w:val="top"/>
            <w:tcBorders>
              <w:right w:val="nil"/>
            </w:tcBorders>
          </w:tcPr>
          <w:p>
            <w:pPr>
              <w:spacing w:line="241" w:lineRule="auto"/>
              <w:rPr>
                <w:rFonts w:ascii="Arial"/>
                <w:sz w:val="21"/>
              </w:rPr>
            </w:pPr>
            <w:r/>
          </w:p>
          <w:p>
            <w:pPr>
              <w:pStyle w:val="TableText"/>
              <w:ind w:left="204"/>
              <w:spacing w:before="68" w:line="221" w:lineRule="auto"/>
              <w:rPr/>
            </w:pPr>
            <w:r>
              <w:rPr>
                <w:spacing w:val="-2"/>
              </w:rPr>
              <w:t>新建</w:t>
            </w:r>
          </w:p>
        </w:tc>
      </w:tr>
      <w:tr>
        <w:trPr>
          <w:trHeight w:val="2744" w:hRule="atLeast"/>
        </w:trPr>
        <w:tc>
          <w:tcPr>
            <w:tcW w:w="681" w:type="dxa"/>
            <w:vAlign w:val="top"/>
            <w:vMerge w:val="continue"/>
            <w:tcBorders>
              <w:bottom w:val="single" w:color="000000" w:sz="10" w:space="0"/>
              <w:top w:val="nil"/>
              <w:left w:val="nil"/>
            </w:tcBorders>
          </w:tcPr>
          <w:p>
            <w:pPr>
              <w:rPr>
                <w:rFonts w:ascii="Arial"/>
                <w:sz w:val="21"/>
              </w:rPr>
            </w:pPr>
            <w:r/>
          </w:p>
        </w:tc>
        <w:tc>
          <w:tcPr>
            <w:tcW w:w="948" w:type="dxa"/>
            <w:vAlign w:val="top"/>
            <w:tcBorders>
              <w:bottom w:val="single" w:color="000000" w:sz="10" w:space="0"/>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373" w:right="152" w:hanging="201"/>
              <w:spacing w:before="68" w:line="244" w:lineRule="auto"/>
              <w:rPr/>
            </w:pPr>
            <w:r>
              <w:rPr>
                <w:spacing w:val="-5"/>
              </w:rPr>
              <w:t>雨污分</w:t>
            </w:r>
            <w:r>
              <w:rPr/>
              <w:t>流</w:t>
            </w:r>
          </w:p>
        </w:tc>
        <w:tc>
          <w:tcPr>
            <w:tcW w:w="6275" w:type="dxa"/>
            <w:vAlign w:val="top"/>
            <w:tcBorders>
              <w:bottom w:val="single" w:color="000000" w:sz="10" w:space="0"/>
            </w:tcBorders>
          </w:tcPr>
          <w:p>
            <w:pPr>
              <w:pStyle w:val="TableText"/>
              <w:ind w:left="150"/>
              <w:spacing w:before="42" w:line="220" w:lineRule="auto"/>
              <w:rPr/>
            </w:pPr>
            <w:r>
              <w:rPr/>
              <w:t>根据农业农村部办公厅 生态环境部办公厅关于印发《</w:t>
            </w:r>
            <w:r>
              <w:rPr>
                <w:spacing w:val="-1"/>
              </w:rPr>
              <w:t>畜禽养殖场</w:t>
            </w:r>
          </w:p>
          <w:p>
            <w:pPr>
              <w:pStyle w:val="TableText"/>
              <w:ind w:left="207"/>
              <w:spacing w:before="24" w:line="234" w:lineRule="auto"/>
              <w:rPr>
                <w:rFonts w:ascii="Times New Roman" w:hAnsi="Times New Roman" w:eastAsia="Times New Roman" w:cs="Times New Roman"/>
              </w:rPr>
            </w:pPr>
            <w:r>
              <w:rPr/>
              <w:t>（户）粪污处理设施建设技术指南》的通知（农办牧〔</w:t>
            </w:r>
            <w:r>
              <w:rPr>
                <w:rFonts w:ascii="Times New Roman" w:hAnsi="Times New Roman" w:eastAsia="Times New Roman" w:cs="Times New Roman"/>
              </w:rPr>
              <w:t>2022</w:t>
            </w:r>
            <w:r>
              <w:rPr/>
              <w:t>〕</w:t>
            </w:r>
            <w:r>
              <w:rPr>
                <w:rFonts w:ascii="Times New Roman" w:hAnsi="Times New Roman" w:eastAsia="Times New Roman" w:cs="Times New Roman"/>
              </w:rPr>
              <w:t>19</w:t>
            </w:r>
          </w:p>
          <w:p>
            <w:pPr>
              <w:pStyle w:val="TableText"/>
              <w:ind w:left="119"/>
              <w:spacing w:before="4" w:line="221" w:lineRule="auto"/>
              <w:rPr/>
            </w:pPr>
            <w:r>
              <w:rPr>
                <w:spacing w:val="-1"/>
              </w:rPr>
              <w:t>号</w:t>
            </w:r>
            <w:r>
              <w:rPr>
                <w:spacing w:val="9"/>
              </w:rPr>
              <w:t>），</w:t>
            </w:r>
            <w:r>
              <w:rPr>
                <w:spacing w:val="-1"/>
              </w:rPr>
              <w:t>雨污分流设施要求畜禽养殖场（户）应建设雨污分流设施，</w:t>
            </w:r>
          </w:p>
          <w:p>
            <w:pPr>
              <w:pStyle w:val="TableText"/>
              <w:ind w:left="116"/>
              <w:spacing w:before="22" w:line="220" w:lineRule="auto"/>
              <w:rPr/>
            </w:pPr>
            <w:r>
              <w:rPr/>
              <w:t>液体粪污应采用暗沟或管道输送，采取密闭措施，做</w:t>
            </w:r>
            <w:r>
              <w:rPr>
                <w:spacing w:val="-1"/>
              </w:rPr>
              <w:t>好安全防护，</w:t>
            </w:r>
          </w:p>
          <w:p>
            <w:pPr>
              <w:pStyle w:val="TableText"/>
              <w:ind w:left="114"/>
              <w:spacing w:before="21" w:line="234" w:lineRule="auto"/>
              <w:rPr/>
            </w:pPr>
            <w:r>
              <w:rPr>
                <w:spacing w:val="-2"/>
              </w:rPr>
              <w:t>输送管路要合理设置检查口，检查口应加盖且一般高于地面</w:t>
            </w:r>
            <w:r>
              <w:rPr>
                <w:spacing w:val="-24"/>
              </w:rPr>
              <w:t xml:space="preserve"> </w:t>
            </w:r>
            <w:r>
              <w:rPr>
                <w:rFonts w:ascii="Times New Roman" w:hAnsi="Times New Roman" w:eastAsia="Times New Roman" w:cs="Times New Roman"/>
                <w:spacing w:val="-2"/>
              </w:rPr>
              <w:t>5 </w:t>
            </w:r>
            <w:r>
              <w:rPr>
                <w:spacing w:val="-2"/>
              </w:rPr>
              <w:t>厘米</w:t>
            </w:r>
          </w:p>
          <w:p>
            <w:pPr>
              <w:pStyle w:val="TableText"/>
              <w:ind w:left="2116"/>
              <w:spacing w:before="7" w:line="221" w:lineRule="auto"/>
              <w:rPr/>
            </w:pPr>
            <w:r>
              <w:rPr>
                <w:spacing w:val="-3"/>
              </w:rPr>
              <w:t>以上，防止雨水倒灌。</w:t>
            </w:r>
          </w:p>
          <w:p>
            <w:pPr>
              <w:pStyle w:val="TableText"/>
              <w:ind w:left="115"/>
              <w:spacing w:before="20" w:line="220" w:lineRule="auto"/>
              <w:rPr/>
            </w:pPr>
            <w:r>
              <w:rPr>
                <w:spacing w:val="-1"/>
              </w:rPr>
              <w:t>本项目采用垫料工艺，牛尿全部进入垫料内发酵</w:t>
            </w:r>
            <w:r>
              <w:rPr>
                <w:spacing w:val="-2"/>
              </w:rPr>
              <w:t>，不设置尿液收集</w:t>
            </w:r>
          </w:p>
          <w:p>
            <w:pPr>
              <w:pStyle w:val="TableText"/>
              <w:ind w:left="114"/>
              <w:spacing w:before="23" w:line="221" w:lineRule="auto"/>
              <w:rPr/>
            </w:pPr>
            <w:r>
              <w:rPr/>
              <w:t>池，故牛舍内不建设污水收集管道，场区四周设置雨水收</w:t>
            </w:r>
            <w:r>
              <w:rPr>
                <w:spacing w:val="-1"/>
              </w:rPr>
              <w:t>集边沟，</w:t>
            </w:r>
          </w:p>
          <w:p>
            <w:pPr>
              <w:pStyle w:val="TableText"/>
              <w:ind w:left="126"/>
              <w:spacing w:before="21" w:line="234" w:lineRule="auto"/>
              <w:rPr/>
            </w:pPr>
            <w:r>
              <w:rPr>
                <w:spacing w:val="-1"/>
              </w:rPr>
              <w:t>边沟宽度一般在</w:t>
            </w:r>
            <w:r>
              <w:rPr>
                <w:spacing w:val="-25"/>
              </w:rPr>
              <w:t xml:space="preserve"> </w:t>
            </w:r>
            <w:r>
              <w:rPr>
                <w:rFonts w:ascii="Times New Roman" w:hAnsi="Times New Roman" w:eastAsia="Times New Roman" w:cs="Times New Roman"/>
                <w:spacing w:val="-1"/>
              </w:rPr>
              <w:t>10cm </w:t>
            </w:r>
            <w:r>
              <w:rPr>
                <w:spacing w:val="-1"/>
              </w:rPr>
              <w:t>左右，雨水经边沟收集后，通过自留排出场</w:t>
            </w:r>
          </w:p>
          <w:p>
            <w:pPr>
              <w:pStyle w:val="TableText"/>
              <w:ind w:left="2937"/>
              <w:spacing w:before="6" w:line="209" w:lineRule="auto"/>
              <w:rPr/>
            </w:pPr>
            <w:r>
              <w:rPr>
                <w:spacing w:val="-11"/>
              </w:rPr>
              <w:t>外。</w:t>
            </w:r>
          </w:p>
        </w:tc>
        <w:tc>
          <w:tcPr>
            <w:tcW w:w="814" w:type="dxa"/>
            <w:vAlign w:val="top"/>
            <w:tcBorders>
              <w:bottom w:val="single" w:color="000000" w:sz="10" w:space="0"/>
              <w:right w:val="nil"/>
            </w:tcBorders>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204"/>
              <w:spacing w:before="68" w:line="221" w:lineRule="auto"/>
              <w:rPr/>
            </w:pPr>
            <w:r>
              <w:rPr>
                <w:spacing w:val="-2"/>
              </w:rPr>
              <w:t>新建</w:t>
            </w:r>
          </w:p>
        </w:tc>
      </w:tr>
    </w:tbl>
    <w:p>
      <w:pPr>
        <w:ind w:left="126"/>
        <w:spacing w:before="294" w:line="233" w:lineRule="auto"/>
        <w:rPr>
          <w:rFonts w:ascii="SimSun" w:hAnsi="SimSun" w:eastAsia="SimSun" w:cs="SimSun"/>
          <w:sz w:val="24"/>
          <w:szCs w:val="24"/>
        </w:rPr>
      </w:pPr>
      <w:r>
        <w:rPr>
          <w:rFonts w:ascii="Times New Roman" w:hAnsi="Times New Roman" w:eastAsia="Times New Roman" w:cs="Times New Roman"/>
          <w:sz w:val="24"/>
          <w:szCs w:val="24"/>
          <w:b/>
          <w:bCs/>
          <w:spacing w:val="-5"/>
        </w:rPr>
        <w:t>3.1.4</w:t>
      </w:r>
      <w:r>
        <w:rPr>
          <w:rFonts w:ascii="Times New Roman" w:hAnsi="Times New Roman" w:eastAsia="Times New Roman" w:cs="Times New Roman"/>
          <w:sz w:val="24"/>
          <w:szCs w:val="24"/>
          <w:b/>
          <w:bCs/>
          <w:spacing w:val="51"/>
        </w:rPr>
        <w:t xml:space="preserve"> </w:t>
      </w:r>
      <w:r>
        <w:rPr>
          <w:rFonts w:ascii="SimSun" w:hAnsi="SimSun" w:eastAsia="SimSun" w:cs="SimSun"/>
          <w:sz w:val="24"/>
          <w:szCs w:val="24"/>
          <w:b/>
          <w:bCs/>
          <w:spacing w:val="-5"/>
        </w:rPr>
        <w:t>占地面积及平面布置</w:t>
      </w:r>
    </w:p>
    <w:p>
      <w:pPr>
        <w:pStyle w:val="BodyText"/>
        <w:spacing w:line="342" w:lineRule="auto"/>
        <w:rPr/>
      </w:pPr>
      <w:r/>
    </w:p>
    <w:p>
      <w:pPr>
        <w:ind w:left="618"/>
        <w:spacing w:before="78"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）占地面积</w:t>
      </w:r>
    </w:p>
    <w:p>
      <w:pPr>
        <w:ind w:left="130" w:right="41" w:firstLine="481"/>
        <w:spacing w:before="164" w:line="358" w:lineRule="auto"/>
        <w:rPr>
          <w:rFonts w:ascii="SimSun" w:hAnsi="SimSun" w:eastAsia="SimSun" w:cs="SimSun"/>
          <w:sz w:val="24"/>
          <w:szCs w:val="24"/>
        </w:rPr>
      </w:pPr>
      <w:r>
        <w:rPr>
          <w:rFonts w:ascii="SimSun" w:hAnsi="SimSun" w:eastAsia="SimSun" w:cs="SimSun"/>
          <w:sz w:val="24"/>
          <w:szCs w:val="24"/>
          <w:spacing w:val="3"/>
        </w:rPr>
        <w:t>本项目租用锡林浩特市额尔敦街道办事处新兴</w:t>
      </w:r>
      <w:r>
        <w:rPr>
          <w:rFonts w:ascii="SimSun" w:hAnsi="SimSun" w:eastAsia="SimSun" w:cs="SimSun"/>
          <w:sz w:val="24"/>
          <w:szCs w:val="24"/>
          <w:spacing w:val="2"/>
        </w:rPr>
        <w:t>社区沃源奶牛场部分厂址进行</w:t>
      </w:r>
      <w:r>
        <w:rPr>
          <w:rFonts w:ascii="SimSun" w:hAnsi="SimSun" w:eastAsia="SimSun" w:cs="SimSun"/>
          <w:sz w:val="24"/>
          <w:szCs w:val="24"/>
          <w:spacing w:val="-2"/>
        </w:rPr>
        <w:t>建设，沃源奶牛场土地使用证面积为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548511.45m</w:t>
      </w:r>
      <w:r>
        <w:rPr>
          <w:rFonts w:ascii="Times New Roman" w:hAnsi="Times New Roman" w:eastAsia="Times New Roman" w:cs="Times New Roman"/>
          <w:sz w:val="16"/>
          <w:szCs w:val="16"/>
          <w:spacing w:val="-2"/>
          <w:position w:val="10"/>
        </w:rPr>
        <w:t>2</w:t>
      </w:r>
      <w:r>
        <w:rPr>
          <w:rFonts w:ascii="SimSun" w:hAnsi="SimSun" w:eastAsia="SimSun" w:cs="SimSun"/>
          <w:sz w:val="24"/>
          <w:szCs w:val="24"/>
          <w:spacing w:val="-2"/>
        </w:rPr>
        <w:t>，本次仅租用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66300m</w:t>
      </w:r>
      <w:r>
        <w:rPr>
          <w:rFonts w:ascii="Times New Roman" w:hAnsi="Times New Roman" w:eastAsia="Times New Roman" w:cs="Times New Roman"/>
          <w:sz w:val="16"/>
          <w:szCs w:val="16"/>
          <w:spacing w:val="-2"/>
          <w:position w:val="10"/>
        </w:rPr>
        <w:t>2</w:t>
      </w:r>
      <w:r>
        <w:rPr>
          <w:rFonts w:ascii="Times New Roman" w:hAnsi="Times New Roman" w:eastAsia="Times New Roman" w:cs="Times New Roman"/>
          <w:sz w:val="16"/>
          <w:szCs w:val="16"/>
          <w:spacing w:val="12"/>
          <w:w w:val="101"/>
          <w:position w:val="10"/>
        </w:rPr>
        <w:t xml:space="preserve"> </w:t>
      </w:r>
      <w:r>
        <w:rPr>
          <w:rFonts w:ascii="SimSun" w:hAnsi="SimSun" w:eastAsia="SimSun" w:cs="SimSun"/>
          <w:sz w:val="24"/>
          <w:szCs w:val="24"/>
          <w:spacing w:val="-2"/>
        </w:rPr>
        <w:t>作为本项</w:t>
      </w:r>
      <w:r>
        <w:rPr>
          <w:rFonts w:ascii="SimSun" w:hAnsi="SimSun" w:eastAsia="SimSun" w:cs="SimSun"/>
          <w:sz w:val="24"/>
          <w:szCs w:val="24"/>
          <w:spacing w:val="-3"/>
        </w:rPr>
        <w:t>目使用范围，本项目占地面积为</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3"/>
        </w:rPr>
        <w:t>66300m</w:t>
      </w:r>
      <w:r>
        <w:rPr>
          <w:rFonts w:ascii="Times New Roman" w:hAnsi="Times New Roman" w:eastAsia="Times New Roman" w:cs="Times New Roman"/>
          <w:sz w:val="16"/>
          <w:szCs w:val="16"/>
          <w:spacing w:val="-3"/>
          <w:position w:val="10"/>
        </w:rPr>
        <w:t>2</w:t>
      </w:r>
      <w:r>
        <w:rPr>
          <w:rFonts w:ascii="SimSun" w:hAnsi="SimSun" w:eastAsia="SimSun" w:cs="SimSun"/>
          <w:sz w:val="24"/>
          <w:szCs w:val="24"/>
          <w:spacing w:val="-3"/>
        </w:rPr>
        <w:t>，总建筑面积为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15624m</w:t>
      </w:r>
      <w:r>
        <w:rPr>
          <w:rFonts w:ascii="Times New Roman" w:hAnsi="Times New Roman" w:eastAsia="Times New Roman" w:cs="Times New Roman"/>
          <w:sz w:val="16"/>
          <w:szCs w:val="16"/>
          <w:spacing w:val="-3"/>
          <w:position w:val="10"/>
        </w:rPr>
        <w:t>2</w:t>
      </w:r>
      <w:r>
        <w:rPr>
          <w:rFonts w:ascii="SimSun" w:hAnsi="SimSun" w:eastAsia="SimSun" w:cs="SimSun"/>
          <w:sz w:val="24"/>
          <w:szCs w:val="24"/>
          <w:spacing w:val="-3"/>
        </w:rPr>
        <w:t>。根据锡林浩特</w:t>
      </w:r>
      <w:r>
        <w:rPr>
          <w:rFonts w:ascii="SimSun" w:hAnsi="SimSun" w:eastAsia="SimSun" w:cs="SimSun"/>
          <w:sz w:val="24"/>
          <w:szCs w:val="24"/>
          <w:spacing w:val="2"/>
        </w:rPr>
        <w:t>市林业和草原局文件《锡林浩特市林业和草原局关于沃原奶牛场锡林郭勒盟广汇</w:t>
      </w:r>
      <w:r>
        <w:rPr>
          <w:rFonts w:ascii="SimSun" w:hAnsi="SimSun" w:eastAsia="SimSun" w:cs="SimSun"/>
          <w:sz w:val="24"/>
          <w:szCs w:val="24"/>
          <w:spacing w:val="2"/>
        </w:rPr>
        <w:t>德养殖有限责任公司、锡林郭勒盟牧林农机服务有限责任公司及马红、杨建军等</w:t>
      </w:r>
      <w:r>
        <w:rPr>
          <w:rFonts w:ascii="Times New Roman" w:hAnsi="Times New Roman" w:eastAsia="Times New Roman" w:cs="Times New Roman"/>
          <w:sz w:val="24"/>
          <w:szCs w:val="24"/>
          <w:spacing w:val="-1"/>
        </w:rPr>
        <w:t>13</w:t>
      </w:r>
      <w:r>
        <w:rPr>
          <w:rFonts w:ascii="Times New Roman" w:hAnsi="Times New Roman" w:eastAsia="Times New Roman" w:cs="Times New Roman"/>
          <w:sz w:val="24"/>
          <w:szCs w:val="24"/>
          <w:spacing w:val="69"/>
          <w:w w:val="101"/>
        </w:rPr>
        <w:t xml:space="preserve"> </w:t>
      </w:r>
      <w:r>
        <w:rPr>
          <w:rFonts w:ascii="SimSun" w:hAnsi="SimSun" w:eastAsia="SimSun" w:cs="SimSun"/>
          <w:sz w:val="24"/>
          <w:szCs w:val="24"/>
          <w:spacing w:val="-1"/>
        </w:rPr>
        <w:t>户居民在草原上修建直接为草原保护和畜牧业生产服务工程设施的批复》（锡</w:t>
      </w:r>
      <w:r>
        <w:rPr>
          <w:rFonts w:ascii="SimSun" w:hAnsi="SimSun" w:eastAsia="SimSun" w:cs="SimSun"/>
          <w:sz w:val="24"/>
          <w:szCs w:val="24"/>
          <w:spacing w:val="-1"/>
        </w:rPr>
        <w:t>市林草保畜占草字</w:t>
      </w:r>
      <w:r>
        <w:rPr>
          <w:rFonts w:ascii="Times New Roman" w:hAnsi="Times New Roman" w:eastAsia="Times New Roman" w:cs="Times New Roman"/>
          <w:sz w:val="24"/>
          <w:szCs w:val="24"/>
          <w:spacing w:val="-1"/>
        </w:rPr>
        <w:t>[2025]3</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1"/>
        </w:rPr>
        <w:t>号</w:t>
      </w:r>
      <w:r>
        <w:rPr>
          <w:rFonts w:ascii="SimSun" w:hAnsi="SimSun" w:eastAsia="SimSun" w:cs="SimSun"/>
          <w:sz w:val="24"/>
          <w:szCs w:val="24"/>
          <w:spacing w:val="6"/>
        </w:rPr>
        <w:t>），</w:t>
      </w:r>
      <w:r>
        <w:rPr>
          <w:rFonts w:ascii="SimSun" w:hAnsi="SimSun" w:eastAsia="SimSun" w:cs="SimSun"/>
          <w:sz w:val="24"/>
          <w:szCs w:val="24"/>
          <w:spacing w:val="-1"/>
        </w:rPr>
        <w:t>同意锡林郭勒盟牧林农机服务有限责任公司在草</w:t>
      </w:r>
      <w:r>
        <w:rPr>
          <w:rFonts w:ascii="SimSun" w:hAnsi="SimSun" w:eastAsia="SimSun" w:cs="SimSun"/>
          <w:sz w:val="24"/>
          <w:szCs w:val="24"/>
          <w:spacing w:val="2"/>
        </w:rPr>
        <w:t>原上修建直接为草原保护和畜牧业生产服务工程设施，项目位于锡林浩特市沃原</w:t>
      </w:r>
      <w:r>
        <w:rPr>
          <w:rFonts w:ascii="SimSun" w:hAnsi="SimSun" w:eastAsia="SimSun" w:cs="SimSun"/>
          <w:sz w:val="24"/>
          <w:szCs w:val="24"/>
          <w:spacing w:val="-6"/>
        </w:rPr>
        <w:t>奶牛场，属国有未承包到户草原，详见附件，本项目主要建（构）筑物详见表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3-3</w:t>
      </w:r>
      <w:r>
        <w:rPr>
          <w:rFonts w:ascii="SimSun" w:hAnsi="SimSun" w:eastAsia="SimSun" w:cs="SimSun"/>
          <w:sz w:val="24"/>
          <w:szCs w:val="24"/>
          <w:spacing w:val="-6"/>
        </w:rPr>
        <w:t>，</w:t>
      </w:r>
      <w:r>
        <w:rPr>
          <w:rFonts w:ascii="SimSun" w:hAnsi="SimSun" w:eastAsia="SimSun" w:cs="SimSun"/>
          <w:sz w:val="24"/>
          <w:szCs w:val="24"/>
          <w:spacing w:val="-2"/>
        </w:rPr>
        <w:t>平面布置详见附图</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3-2</w:t>
      </w:r>
      <w:r>
        <w:rPr>
          <w:rFonts w:ascii="SimSun" w:hAnsi="SimSun" w:eastAsia="SimSun" w:cs="SimSun"/>
          <w:sz w:val="24"/>
          <w:szCs w:val="24"/>
          <w:spacing w:val="-2"/>
        </w:rPr>
        <w:t>。</w:t>
      </w:r>
    </w:p>
    <w:p>
      <w:pPr>
        <w:ind w:left="2264"/>
        <w:spacing w:before="1" w:line="232" w:lineRule="auto"/>
        <w:rPr>
          <w:rFonts w:ascii="SimSun" w:hAnsi="SimSun" w:eastAsia="SimSun" w:cs="SimSun"/>
          <w:sz w:val="24"/>
          <w:szCs w:val="24"/>
        </w:rPr>
      </w:pPr>
      <w:r>
        <w:rPr>
          <w:rFonts w:ascii="SimSun" w:hAnsi="SimSun" w:eastAsia="SimSun" w:cs="SimSun"/>
          <w:sz w:val="24"/>
          <w:szCs w:val="24"/>
          <w:b/>
          <w:bCs/>
          <w:spacing w:val="-4"/>
        </w:rPr>
        <w:t>表</w:t>
      </w:r>
      <w:r>
        <w:rPr>
          <w:rFonts w:ascii="SimSun" w:hAnsi="SimSun" w:eastAsia="SimSun" w:cs="SimSun"/>
          <w:sz w:val="24"/>
          <w:szCs w:val="24"/>
          <w:spacing w:val="-53"/>
        </w:rPr>
        <w:t xml:space="preserve"> </w:t>
      </w:r>
      <w:r>
        <w:rPr>
          <w:rFonts w:ascii="Times New Roman" w:hAnsi="Times New Roman" w:eastAsia="Times New Roman" w:cs="Times New Roman"/>
          <w:sz w:val="24"/>
          <w:szCs w:val="24"/>
          <w:b/>
          <w:bCs/>
          <w:spacing w:val="-4"/>
        </w:rPr>
        <w:t>3-3    </w:t>
      </w:r>
      <w:r>
        <w:rPr>
          <w:rFonts w:ascii="SimSun" w:hAnsi="SimSun" w:eastAsia="SimSun" w:cs="SimSun"/>
          <w:sz w:val="24"/>
          <w:szCs w:val="24"/>
          <w:b/>
          <w:bCs/>
          <w:spacing w:val="-4"/>
        </w:rPr>
        <w:t>本项目主要建（构）</w:t>
      </w:r>
      <w:r>
        <w:rPr>
          <w:rFonts w:ascii="SimSun" w:hAnsi="SimSun" w:eastAsia="SimSun" w:cs="SimSun"/>
          <w:sz w:val="24"/>
          <w:szCs w:val="24"/>
          <w:spacing w:val="-70"/>
        </w:rPr>
        <w:t xml:space="preserve"> </w:t>
      </w:r>
      <w:r>
        <w:rPr>
          <w:rFonts w:ascii="SimSun" w:hAnsi="SimSun" w:eastAsia="SimSun" w:cs="SimSun"/>
          <w:sz w:val="24"/>
          <w:szCs w:val="24"/>
          <w:b/>
          <w:bCs/>
          <w:spacing w:val="-4"/>
        </w:rPr>
        <w:t>筑物一</w:t>
      </w:r>
      <w:r>
        <w:rPr>
          <w:rFonts w:ascii="SimSun" w:hAnsi="SimSun" w:eastAsia="SimSun" w:cs="SimSun"/>
          <w:sz w:val="24"/>
          <w:szCs w:val="24"/>
          <w:b/>
          <w:bCs/>
          <w:spacing w:val="-5"/>
        </w:rPr>
        <w:t>览表</w:t>
      </w:r>
    </w:p>
    <w:p>
      <w:pPr>
        <w:spacing w:line="12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0"/>
        <w:gridCol w:w="1460"/>
        <w:gridCol w:w="893"/>
        <w:gridCol w:w="1116"/>
        <w:gridCol w:w="1123"/>
        <w:gridCol w:w="3553"/>
      </w:tblGrid>
      <w:tr>
        <w:trPr>
          <w:trHeight w:val="545" w:hRule="atLeast"/>
        </w:trPr>
        <w:tc>
          <w:tcPr>
            <w:tcW w:w="590" w:type="dxa"/>
            <w:vAlign w:val="top"/>
            <w:textDirection w:val="tbRlV"/>
            <w:tcBorders>
              <w:top w:val="single" w:color="000000" w:sz="10" w:space="0"/>
              <w:left w:val="nil"/>
            </w:tcBorders>
          </w:tcPr>
          <w:p>
            <w:pPr>
              <w:pStyle w:val="TableText"/>
              <w:ind w:left="35"/>
              <w:spacing w:before="179" w:line="211" w:lineRule="auto"/>
              <w:rPr/>
            </w:pPr>
            <w:r>
              <w:rPr>
                <w:b/>
                <w:bCs/>
                <w:spacing w:val="28"/>
              </w:rPr>
              <w:t>序号</w:t>
            </w:r>
          </w:p>
        </w:tc>
        <w:tc>
          <w:tcPr>
            <w:tcW w:w="1460" w:type="dxa"/>
            <w:vAlign w:val="top"/>
            <w:tcBorders>
              <w:top w:val="single" w:color="000000" w:sz="10" w:space="0"/>
            </w:tcBorders>
          </w:tcPr>
          <w:p>
            <w:pPr>
              <w:pStyle w:val="TableText"/>
              <w:ind w:left="526" w:right="106" w:hanging="410"/>
              <w:spacing w:before="36" w:line="219" w:lineRule="auto"/>
              <w:rPr/>
            </w:pPr>
            <w:r>
              <w:rPr>
                <w:b/>
                <w:bCs/>
                <w:spacing w:val="-7"/>
              </w:rPr>
              <w:t>建筑（构）物</w:t>
            </w:r>
            <w:r>
              <w:rPr>
                <w:b/>
                <w:bCs/>
                <w:spacing w:val="-5"/>
              </w:rPr>
              <w:t>名称</w:t>
            </w:r>
          </w:p>
        </w:tc>
        <w:tc>
          <w:tcPr>
            <w:tcW w:w="893" w:type="dxa"/>
            <w:vAlign w:val="top"/>
            <w:tcBorders>
              <w:top w:val="single" w:color="000000" w:sz="10" w:space="0"/>
            </w:tcBorders>
          </w:tcPr>
          <w:p>
            <w:pPr>
              <w:pStyle w:val="TableText"/>
              <w:ind w:left="241"/>
              <w:spacing w:before="170" w:line="220" w:lineRule="auto"/>
              <w:rPr/>
            </w:pPr>
            <w:r>
              <w:rPr>
                <w:b/>
                <w:bCs/>
                <w:spacing w:val="-4"/>
              </w:rPr>
              <w:t>层数</w:t>
            </w:r>
          </w:p>
        </w:tc>
        <w:tc>
          <w:tcPr>
            <w:tcW w:w="1116" w:type="dxa"/>
            <w:vAlign w:val="top"/>
            <w:tcBorders>
              <w:top w:val="single" w:color="000000" w:sz="10" w:space="0"/>
            </w:tcBorders>
          </w:tcPr>
          <w:p>
            <w:pPr>
              <w:pStyle w:val="TableText"/>
              <w:ind w:left="144"/>
              <w:spacing w:before="36" w:line="221" w:lineRule="auto"/>
              <w:rPr/>
            </w:pPr>
            <w:r>
              <w:rPr>
                <w:b/>
                <w:bCs/>
                <w:spacing w:val="-4"/>
              </w:rPr>
              <w:t>建筑面积</w:t>
            </w:r>
          </w:p>
          <w:p>
            <w:pPr>
              <w:pStyle w:val="TableText"/>
              <w:ind w:left="235"/>
              <w:spacing w:before="6" w:line="212" w:lineRule="auto"/>
              <w:rPr/>
            </w:pPr>
            <w:r>
              <w:rPr>
                <w:b/>
                <w:bCs/>
                <w:spacing w:val="-4"/>
                <w:position w:val="-1"/>
              </w:rPr>
              <w:t>（</w:t>
            </w:r>
            <w:r>
              <w:rPr>
                <w:rFonts w:ascii="Times New Roman" w:hAnsi="Times New Roman" w:eastAsia="Times New Roman" w:cs="Times New Roman"/>
                <w:b/>
                <w:bCs/>
                <w:spacing w:val="-4"/>
                <w:position w:val="-1"/>
              </w:rPr>
              <w:t>m</w:t>
            </w:r>
            <w:r>
              <w:rPr>
                <w:rFonts w:ascii="Times New Roman" w:hAnsi="Times New Roman" w:eastAsia="Times New Roman" w:cs="Times New Roman"/>
                <w:sz w:val="13"/>
                <w:szCs w:val="13"/>
                <w:b/>
                <w:bCs/>
                <w:spacing w:val="-4"/>
                <w:position w:val="8"/>
              </w:rPr>
              <w:t>2</w:t>
            </w:r>
            <w:r>
              <w:rPr>
                <w:b/>
                <w:bCs/>
                <w:spacing w:val="-4"/>
                <w:position w:val="-1"/>
              </w:rPr>
              <w:t>）</w:t>
            </w:r>
          </w:p>
        </w:tc>
        <w:tc>
          <w:tcPr>
            <w:tcW w:w="1123" w:type="dxa"/>
            <w:vAlign w:val="top"/>
            <w:tcBorders>
              <w:top w:val="single" w:color="000000" w:sz="10" w:space="0"/>
            </w:tcBorders>
          </w:tcPr>
          <w:p>
            <w:pPr>
              <w:pStyle w:val="TableText"/>
              <w:ind w:left="179"/>
              <w:spacing w:before="36" w:line="221" w:lineRule="auto"/>
              <w:rPr/>
            </w:pPr>
            <w:r>
              <w:rPr>
                <w:b/>
                <w:bCs/>
                <w:spacing w:val="-10"/>
              </w:rPr>
              <w:t>占地面积</w:t>
            </w:r>
          </w:p>
          <w:p>
            <w:pPr>
              <w:pStyle w:val="TableText"/>
              <w:ind w:left="240"/>
              <w:spacing w:before="6" w:line="212" w:lineRule="auto"/>
              <w:rPr/>
            </w:pPr>
            <w:r>
              <w:rPr>
                <w:b/>
                <w:bCs/>
                <w:spacing w:val="-4"/>
                <w:position w:val="-1"/>
              </w:rPr>
              <w:t>（</w:t>
            </w:r>
            <w:r>
              <w:rPr>
                <w:rFonts w:ascii="Times New Roman" w:hAnsi="Times New Roman" w:eastAsia="Times New Roman" w:cs="Times New Roman"/>
                <w:b/>
                <w:bCs/>
                <w:spacing w:val="-4"/>
                <w:position w:val="-1"/>
              </w:rPr>
              <w:t>m</w:t>
            </w:r>
            <w:r>
              <w:rPr>
                <w:rFonts w:ascii="Times New Roman" w:hAnsi="Times New Roman" w:eastAsia="Times New Roman" w:cs="Times New Roman"/>
                <w:sz w:val="13"/>
                <w:szCs w:val="13"/>
                <w:b/>
                <w:bCs/>
                <w:spacing w:val="-4"/>
                <w:position w:val="8"/>
              </w:rPr>
              <w:t>2</w:t>
            </w:r>
            <w:r>
              <w:rPr>
                <w:b/>
                <w:bCs/>
                <w:spacing w:val="-4"/>
                <w:position w:val="-1"/>
              </w:rPr>
              <w:t>）</w:t>
            </w:r>
          </w:p>
        </w:tc>
        <w:tc>
          <w:tcPr>
            <w:tcW w:w="3553" w:type="dxa"/>
            <w:vAlign w:val="top"/>
            <w:tcBorders>
              <w:top w:val="single" w:color="000000" w:sz="10" w:space="0"/>
              <w:right w:val="nil"/>
            </w:tcBorders>
          </w:tcPr>
          <w:p>
            <w:pPr>
              <w:pStyle w:val="TableText"/>
              <w:ind w:left="1571"/>
              <w:spacing w:before="170" w:line="222" w:lineRule="auto"/>
              <w:rPr/>
            </w:pPr>
            <w:r>
              <w:rPr>
                <w:b/>
                <w:bCs/>
                <w:spacing w:val="-5"/>
              </w:rPr>
              <w:t>备注</w:t>
            </w:r>
          </w:p>
        </w:tc>
      </w:tr>
      <w:tr>
        <w:trPr>
          <w:trHeight w:val="271" w:hRule="atLeast"/>
        </w:trPr>
        <w:tc>
          <w:tcPr>
            <w:tcW w:w="590" w:type="dxa"/>
            <w:vAlign w:val="top"/>
            <w:tcBorders>
              <w:left w:val="nil"/>
            </w:tcBorders>
          </w:tcPr>
          <w:p>
            <w:pPr>
              <w:ind w:left="274"/>
              <w:spacing w:before="6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460" w:type="dxa"/>
            <w:vAlign w:val="top"/>
          </w:tcPr>
          <w:p>
            <w:pPr>
              <w:pStyle w:val="TableText"/>
              <w:ind w:left="435"/>
              <w:spacing w:before="40" w:line="194" w:lineRule="auto"/>
              <w:rPr/>
            </w:pPr>
            <w:r>
              <w:rPr>
                <w:rFonts w:ascii="Times New Roman" w:hAnsi="Times New Roman" w:eastAsia="Times New Roman" w:cs="Times New Roman"/>
                <w:spacing w:val="-6"/>
              </w:rPr>
              <w:t>1#</w:t>
            </w:r>
            <w:r>
              <w:rPr>
                <w:spacing w:val="-6"/>
              </w:rPr>
              <w:t>牛舍</w:t>
            </w:r>
          </w:p>
        </w:tc>
        <w:tc>
          <w:tcPr>
            <w:tcW w:w="893" w:type="dxa"/>
            <w:vAlign w:val="top"/>
          </w:tcPr>
          <w:p>
            <w:pPr>
              <w:ind w:left="415"/>
              <w:spacing w:before="6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6" w:type="dxa"/>
            <w:vAlign w:val="top"/>
          </w:tcPr>
          <w:p>
            <w:pPr>
              <w:ind w:left="349"/>
              <w:spacing w:before="6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23" w:type="dxa"/>
            <w:vAlign w:val="top"/>
          </w:tcPr>
          <w:p>
            <w:pPr>
              <w:ind w:left="352"/>
              <w:spacing w:before="6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3553" w:type="dxa"/>
            <w:vAlign w:val="top"/>
            <w:tcBorders>
              <w:right w:val="nil"/>
            </w:tcBorders>
          </w:tcPr>
          <w:p>
            <w:pPr>
              <w:pStyle w:val="TableText"/>
              <w:ind w:left="1572"/>
              <w:spacing w:before="40" w:line="194" w:lineRule="auto"/>
              <w:rPr/>
            </w:pPr>
            <w:r>
              <w:rPr>
                <w:spacing w:val="-2"/>
              </w:rPr>
              <w:t>新建</w:t>
            </w:r>
          </w:p>
        </w:tc>
      </w:tr>
      <w:tr>
        <w:trPr>
          <w:trHeight w:val="273" w:hRule="atLeast"/>
        </w:trPr>
        <w:tc>
          <w:tcPr>
            <w:tcW w:w="590" w:type="dxa"/>
            <w:vAlign w:val="top"/>
            <w:tcBorders>
              <w:left w:val="nil"/>
            </w:tcBorders>
          </w:tcPr>
          <w:p>
            <w:pPr>
              <w:ind w:left="254"/>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460" w:type="dxa"/>
            <w:vAlign w:val="top"/>
          </w:tcPr>
          <w:p>
            <w:pPr>
              <w:pStyle w:val="TableText"/>
              <w:ind w:left="415"/>
              <w:spacing w:before="48" w:line="189" w:lineRule="auto"/>
              <w:rPr/>
            </w:pPr>
            <w:r>
              <w:rPr>
                <w:rFonts w:ascii="Times New Roman" w:hAnsi="Times New Roman" w:eastAsia="Times New Roman" w:cs="Times New Roman"/>
                <w:spacing w:val="-1"/>
              </w:rPr>
              <w:t>2#</w:t>
            </w:r>
            <w:r>
              <w:rPr>
                <w:spacing w:val="-1"/>
              </w:rPr>
              <w:t>牛舍</w:t>
            </w:r>
          </w:p>
        </w:tc>
        <w:tc>
          <w:tcPr>
            <w:tcW w:w="893" w:type="dxa"/>
            <w:vAlign w:val="top"/>
          </w:tcPr>
          <w:p>
            <w:pPr>
              <w:ind w:left="415"/>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6" w:type="dxa"/>
            <w:vAlign w:val="top"/>
          </w:tcPr>
          <w:p>
            <w:pPr>
              <w:ind w:left="349"/>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23" w:type="dxa"/>
            <w:vAlign w:val="top"/>
          </w:tcPr>
          <w:p>
            <w:pPr>
              <w:ind w:left="352"/>
              <w:spacing w:before="7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3553" w:type="dxa"/>
            <w:vAlign w:val="top"/>
            <w:tcBorders>
              <w:right w:val="nil"/>
            </w:tcBorders>
          </w:tcPr>
          <w:p>
            <w:pPr>
              <w:pStyle w:val="TableText"/>
              <w:ind w:left="1572"/>
              <w:spacing w:before="48" w:line="189" w:lineRule="auto"/>
              <w:rPr/>
            </w:pPr>
            <w:r>
              <w:rPr>
                <w:spacing w:val="-2"/>
              </w:rPr>
              <w:t>新建</w:t>
            </w:r>
          </w:p>
        </w:tc>
      </w:tr>
      <w:tr>
        <w:trPr>
          <w:trHeight w:val="297" w:hRule="atLeast"/>
        </w:trPr>
        <w:tc>
          <w:tcPr>
            <w:tcW w:w="590" w:type="dxa"/>
            <w:vAlign w:val="top"/>
            <w:tcBorders>
              <w:bottom w:val="single" w:color="000000" w:sz="10" w:space="0"/>
              <w:left w:val="nil"/>
            </w:tcBorders>
          </w:tcPr>
          <w:p>
            <w:pPr>
              <w:ind w:left="258"/>
              <w:spacing w:before="80"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460" w:type="dxa"/>
            <w:vAlign w:val="top"/>
            <w:tcBorders>
              <w:bottom w:val="single" w:color="000000" w:sz="10" w:space="0"/>
            </w:tcBorders>
          </w:tcPr>
          <w:p>
            <w:pPr>
              <w:pStyle w:val="TableText"/>
              <w:ind w:left="419"/>
              <w:spacing w:before="50" w:line="208" w:lineRule="auto"/>
              <w:rPr/>
            </w:pPr>
            <w:r>
              <w:rPr>
                <w:rFonts w:ascii="Times New Roman" w:hAnsi="Times New Roman" w:eastAsia="Times New Roman" w:cs="Times New Roman"/>
                <w:spacing w:val="-2"/>
              </w:rPr>
              <w:t>3#</w:t>
            </w:r>
            <w:r>
              <w:rPr>
                <w:spacing w:val="-2"/>
              </w:rPr>
              <w:t>牛舍</w:t>
            </w:r>
          </w:p>
        </w:tc>
        <w:tc>
          <w:tcPr>
            <w:tcW w:w="893" w:type="dxa"/>
            <w:vAlign w:val="top"/>
            <w:tcBorders>
              <w:bottom w:val="single" w:color="000000" w:sz="10" w:space="0"/>
            </w:tcBorders>
          </w:tcPr>
          <w:p>
            <w:pPr>
              <w:ind w:left="415"/>
              <w:spacing w:before="80"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6" w:type="dxa"/>
            <w:vAlign w:val="top"/>
            <w:tcBorders>
              <w:bottom w:val="single" w:color="000000" w:sz="10" w:space="0"/>
            </w:tcBorders>
          </w:tcPr>
          <w:p>
            <w:pPr>
              <w:ind w:left="349"/>
              <w:spacing w:before="80"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23" w:type="dxa"/>
            <w:vAlign w:val="top"/>
            <w:tcBorders>
              <w:bottom w:val="single" w:color="000000" w:sz="10" w:space="0"/>
            </w:tcBorders>
          </w:tcPr>
          <w:p>
            <w:pPr>
              <w:ind w:left="352"/>
              <w:spacing w:before="80"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3553" w:type="dxa"/>
            <w:vAlign w:val="top"/>
            <w:tcBorders>
              <w:bottom w:val="single" w:color="000000" w:sz="10" w:space="0"/>
              <w:right w:val="nil"/>
            </w:tcBorders>
          </w:tcPr>
          <w:p>
            <w:pPr>
              <w:pStyle w:val="TableText"/>
              <w:ind w:left="1572"/>
              <w:spacing w:before="50" w:line="208" w:lineRule="auto"/>
              <w:rPr/>
            </w:pPr>
            <w:r>
              <w:rPr>
                <w:spacing w:val="-2"/>
              </w:rPr>
              <w:t>新建</w:t>
            </w:r>
          </w:p>
        </w:tc>
      </w:tr>
    </w:tbl>
    <w:p>
      <w:pPr>
        <w:pStyle w:val="BodyText"/>
        <w:rPr/>
      </w:pPr>
      <w:r/>
    </w:p>
    <w:p>
      <w:pPr>
        <w:sectPr>
          <w:headerReference w:type="default" r:id="rId70"/>
          <w:pgSz w:w="11907" w:h="16839"/>
          <w:pgMar w:top="1390" w:right="1591" w:bottom="400" w:left="1579" w:header="1054" w:footer="0" w:gutter="0"/>
        </w:sectPr>
        <w:rPr/>
      </w:pPr>
    </w:p>
    <w:p>
      <w:pPr>
        <w:spacing w:line="4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0"/>
        <w:gridCol w:w="1459"/>
        <w:gridCol w:w="893"/>
        <w:gridCol w:w="1117"/>
        <w:gridCol w:w="1123"/>
        <w:gridCol w:w="3553"/>
      </w:tblGrid>
      <w:tr>
        <w:trPr>
          <w:trHeight w:val="280" w:hRule="atLeast"/>
        </w:trPr>
        <w:tc>
          <w:tcPr>
            <w:tcW w:w="590" w:type="dxa"/>
            <w:vAlign w:val="top"/>
            <w:tcBorders>
              <w:left w:val="nil"/>
              <w:top w:val="single" w:color="000000" w:sz="10" w:space="0"/>
            </w:tcBorders>
          </w:tcPr>
          <w:p>
            <w:pPr>
              <w:ind w:left="252"/>
              <w:spacing w:before="63"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459" w:type="dxa"/>
            <w:vAlign w:val="top"/>
            <w:tcBorders>
              <w:top w:val="single" w:color="000000" w:sz="10" w:space="0"/>
            </w:tcBorders>
          </w:tcPr>
          <w:p>
            <w:pPr>
              <w:pStyle w:val="TableText"/>
              <w:ind w:left="235"/>
              <w:spacing w:before="35" w:line="206" w:lineRule="auto"/>
              <w:rPr>
                <w:rFonts w:ascii="Times New Roman" w:hAnsi="Times New Roman" w:eastAsia="Times New Roman" w:cs="Times New Roman"/>
              </w:rPr>
            </w:pPr>
            <w:r>
              <w:rPr>
                <w:spacing w:val="-1"/>
              </w:rPr>
              <w:t>饲草料库</w:t>
            </w:r>
            <w:r>
              <w:rPr>
                <w:spacing w:val="-27"/>
              </w:rPr>
              <w:t xml:space="preserve"> </w:t>
            </w:r>
            <w:r>
              <w:rPr>
                <w:rFonts w:ascii="Times New Roman" w:hAnsi="Times New Roman" w:eastAsia="Times New Roman" w:cs="Times New Roman"/>
                <w:spacing w:val="-1"/>
              </w:rPr>
              <w:t>1</w:t>
            </w:r>
          </w:p>
        </w:tc>
        <w:tc>
          <w:tcPr>
            <w:tcW w:w="893" w:type="dxa"/>
            <w:vAlign w:val="top"/>
            <w:tcBorders>
              <w:top w:val="single" w:color="000000" w:sz="10" w:space="0"/>
            </w:tcBorders>
          </w:tcPr>
          <w:p>
            <w:pPr>
              <w:ind w:left="416"/>
              <w:spacing w:before="63"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Borders>
              <w:top w:val="single" w:color="000000" w:sz="10" w:space="0"/>
            </w:tcBorders>
          </w:tcPr>
          <w:p>
            <w:pPr>
              <w:ind w:left="350"/>
              <w:spacing w:before="63"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23" w:type="dxa"/>
            <w:vAlign w:val="top"/>
            <w:tcBorders>
              <w:top w:val="single" w:color="000000" w:sz="10" w:space="0"/>
            </w:tcBorders>
          </w:tcPr>
          <w:p>
            <w:pPr>
              <w:ind w:left="352"/>
              <w:spacing w:before="63"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3553" w:type="dxa"/>
            <w:vAlign w:val="top"/>
            <w:tcBorders>
              <w:right w:val="nil"/>
              <w:top w:val="single" w:color="000000" w:sz="10" w:space="0"/>
            </w:tcBorders>
          </w:tcPr>
          <w:p>
            <w:pPr>
              <w:pStyle w:val="TableText"/>
              <w:ind w:left="1572"/>
              <w:spacing w:before="35" w:line="206" w:lineRule="auto"/>
              <w:rPr/>
            </w:pPr>
            <w:r>
              <w:rPr>
                <w:spacing w:val="-2"/>
              </w:rPr>
              <w:t>新建</w:t>
            </w:r>
          </w:p>
        </w:tc>
      </w:tr>
      <w:tr>
        <w:trPr>
          <w:trHeight w:val="276" w:hRule="atLeast"/>
        </w:trPr>
        <w:tc>
          <w:tcPr>
            <w:tcW w:w="590" w:type="dxa"/>
            <w:vAlign w:val="top"/>
            <w:tcBorders>
              <w:left w:val="nil"/>
            </w:tcBorders>
          </w:tcPr>
          <w:p>
            <w:pPr>
              <w:ind w:left="259"/>
              <w:spacing w:before="6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459" w:type="dxa"/>
            <w:vAlign w:val="top"/>
          </w:tcPr>
          <w:p>
            <w:pPr>
              <w:pStyle w:val="TableText"/>
              <w:ind w:left="235"/>
              <w:spacing w:before="31" w:line="206" w:lineRule="auto"/>
              <w:rPr>
                <w:rFonts w:ascii="Times New Roman" w:hAnsi="Times New Roman" w:eastAsia="Times New Roman" w:cs="Times New Roman"/>
              </w:rPr>
            </w:pPr>
            <w:r>
              <w:rPr>
                <w:spacing w:val="-1"/>
              </w:rPr>
              <w:t>饲草料库</w:t>
            </w:r>
            <w:r>
              <w:rPr>
                <w:spacing w:val="-48"/>
              </w:rPr>
              <w:t xml:space="preserve"> </w:t>
            </w:r>
            <w:r>
              <w:rPr>
                <w:rFonts w:ascii="Times New Roman" w:hAnsi="Times New Roman" w:eastAsia="Times New Roman" w:cs="Times New Roman"/>
                <w:spacing w:val="-1"/>
              </w:rPr>
              <w:t>2</w:t>
            </w:r>
          </w:p>
        </w:tc>
        <w:tc>
          <w:tcPr>
            <w:tcW w:w="893" w:type="dxa"/>
            <w:vAlign w:val="top"/>
          </w:tcPr>
          <w:p>
            <w:pPr>
              <w:ind w:left="416"/>
              <w:spacing w:before="6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ind w:left="350"/>
              <w:spacing w:before="6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1123" w:type="dxa"/>
            <w:vAlign w:val="top"/>
          </w:tcPr>
          <w:p>
            <w:pPr>
              <w:ind w:left="352"/>
              <w:spacing w:before="6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c>
          <w:tcPr>
            <w:tcW w:w="3553" w:type="dxa"/>
            <w:vAlign w:val="top"/>
            <w:tcBorders>
              <w:right w:val="nil"/>
            </w:tcBorders>
          </w:tcPr>
          <w:p>
            <w:pPr>
              <w:pStyle w:val="TableText"/>
              <w:ind w:left="1572"/>
              <w:spacing w:before="31" w:line="206" w:lineRule="auto"/>
              <w:rPr/>
            </w:pPr>
            <w:r>
              <w:rPr>
                <w:spacing w:val="-2"/>
              </w:rPr>
              <w:t>新建</w:t>
            </w:r>
          </w:p>
        </w:tc>
      </w:tr>
      <w:tr>
        <w:trPr>
          <w:trHeight w:val="273" w:hRule="atLeast"/>
        </w:trPr>
        <w:tc>
          <w:tcPr>
            <w:tcW w:w="590" w:type="dxa"/>
            <w:vAlign w:val="top"/>
            <w:tcBorders>
              <w:left w:val="nil"/>
            </w:tcBorders>
          </w:tcPr>
          <w:p>
            <w:pPr>
              <w:ind w:left="258"/>
              <w:spacing w:before="61"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459" w:type="dxa"/>
            <w:vAlign w:val="top"/>
          </w:tcPr>
          <w:p>
            <w:pPr>
              <w:pStyle w:val="TableText"/>
              <w:ind w:left="235"/>
              <w:spacing w:before="34" w:line="201" w:lineRule="auto"/>
              <w:rPr>
                <w:rFonts w:ascii="Times New Roman" w:hAnsi="Times New Roman" w:eastAsia="Times New Roman" w:cs="Times New Roman"/>
              </w:rPr>
            </w:pPr>
            <w:r>
              <w:rPr>
                <w:spacing w:val="-1"/>
              </w:rPr>
              <w:t>饲草料库</w:t>
            </w:r>
            <w:r>
              <w:rPr>
                <w:spacing w:val="-44"/>
              </w:rPr>
              <w:t xml:space="preserve"> </w:t>
            </w:r>
            <w:r>
              <w:rPr>
                <w:rFonts w:ascii="Times New Roman" w:hAnsi="Times New Roman" w:eastAsia="Times New Roman" w:cs="Times New Roman"/>
                <w:spacing w:val="-1"/>
              </w:rPr>
              <w:t>3</w:t>
            </w:r>
          </w:p>
        </w:tc>
        <w:tc>
          <w:tcPr>
            <w:tcW w:w="893" w:type="dxa"/>
            <w:vAlign w:val="top"/>
          </w:tcPr>
          <w:p>
            <w:pPr>
              <w:ind w:left="416"/>
              <w:spacing w:before="61"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ind w:left="355"/>
              <w:spacing w:before="61"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3000</w:t>
            </w:r>
          </w:p>
        </w:tc>
        <w:tc>
          <w:tcPr>
            <w:tcW w:w="1123" w:type="dxa"/>
            <w:vAlign w:val="top"/>
          </w:tcPr>
          <w:p>
            <w:pPr>
              <w:ind w:left="356"/>
              <w:spacing w:before="61"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3000</w:t>
            </w:r>
          </w:p>
        </w:tc>
        <w:tc>
          <w:tcPr>
            <w:tcW w:w="3553" w:type="dxa"/>
            <w:vAlign w:val="top"/>
            <w:tcBorders>
              <w:right w:val="nil"/>
            </w:tcBorders>
          </w:tcPr>
          <w:p>
            <w:pPr>
              <w:pStyle w:val="TableText"/>
              <w:ind w:left="1572"/>
              <w:spacing w:before="34" w:line="201" w:lineRule="auto"/>
              <w:rPr/>
            </w:pPr>
            <w:r>
              <w:rPr>
                <w:spacing w:val="-2"/>
              </w:rPr>
              <w:t>新建</w:t>
            </w:r>
          </w:p>
        </w:tc>
      </w:tr>
      <w:tr>
        <w:trPr>
          <w:trHeight w:val="276" w:hRule="atLeast"/>
        </w:trPr>
        <w:tc>
          <w:tcPr>
            <w:tcW w:w="590" w:type="dxa"/>
            <w:vAlign w:val="top"/>
            <w:tcBorders>
              <w:left w:val="nil"/>
            </w:tcBorders>
          </w:tcPr>
          <w:p>
            <w:pPr>
              <w:ind w:left="257"/>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459" w:type="dxa"/>
            <w:vAlign w:val="top"/>
          </w:tcPr>
          <w:p>
            <w:pPr>
              <w:pStyle w:val="TableText"/>
              <w:ind w:left="418"/>
              <w:spacing w:before="37" w:line="201" w:lineRule="auto"/>
              <w:rPr/>
            </w:pPr>
            <w:r>
              <w:rPr>
                <w:spacing w:val="-2"/>
              </w:rPr>
              <w:t>青储窖</w:t>
            </w:r>
          </w:p>
        </w:tc>
        <w:tc>
          <w:tcPr>
            <w:tcW w:w="893" w:type="dxa"/>
            <w:vAlign w:val="top"/>
          </w:tcPr>
          <w:p>
            <w:pPr>
              <w:ind w:left="416"/>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ind w:left="409"/>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1123" w:type="dxa"/>
            <w:vAlign w:val="top"/>
          </w:tcPr>
          <w:p>
            <w:pPr>
              <w:ind w:left="411"/>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w:t>
            </w:r>
          </w:p>
        </w:tc>
        <w:tc>
          <w:tcPr>
            <w:tcW w:w="3553" w:type="dxa"/>
            <w:vAlign w:val="top"/>
            <w:tcBorders>
              <w:right w:val="nil"/>
            </w:tcBorders>
          </w:tcPr>
          <w:p>
            <w:pPr>
              <w:pStyle w:val="TableText"/>
              <w:ind w:left="1572"/>
              <w:spacing w:before="37" w:line="201" w:lineRule="auto"/>
              <w:rPr/>
            </w:pPr>
            <w:r>
              <w:rPr>
                <w:spacing w:val="-2"/>
              </w:rPr>
              <w:t>新建</w:t>
            </w:r>
          </w:p>
        </w:tc>
      </w:tr>
      <w:tr>
        <w:trPr>
          <w:trHeight w:val="276" w:hRule="atLeast"/>
        </w:trPr>
        <w:tc>
          <w:tcPr>
            <w:tcW w:w="590" w:type="dxa"/>
            <w:vAlign w:val="top"/>
            <w:tcBorders>
              <w:left w:val="nil"/>
            </w:tcBorders>
          </w:tcPr>
          <w:p>
            <w:pPr>
              <w:ind w:left="262"/>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459" w:type="dxa"/>
            <w:vAlign w:val="top"/>
          </w:tcPr>
          <w:p>
            <w:pPr>
              <w:pStyle w:val="TableText"/>
              <w:ind w:left="418"/>
              <w:spacing w:before="39" w:line="199" w:lineRule="auto"/>
              <w:rPr/>
            </w:pPr>
            <w:r>
              <w:rPr>
                <w:spacing w:val="-1"/>
              </w:rPr>
              <w:t>机械库</w:t>
            </w:r>
          </w:p>
        </w:tc>
        <w:tc>
          <w:tcPr>
            <w:tcW w:w="893" w:type="dxa"/>
            <w:vAlign w:val="top"/>
          </w:tcPr>
          <w:p>
            <w:pPr>
              <w:ind w:left="416"/>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ind w:left="371"/>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1123" w:type="dxa"/>
            <w:vAlign w:val="top"/>
          </w:tcPr>
          <w:p>
            <w:pPr>
              <w:ind w:left="372"/>
              <w:spacing w:before="69"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1000</w:t>
            </w:r>
          </w:p>
        </w:tc>
        <w:tc>
          <w:tcPr>
            <w:tcW w:w="3553" w:type="dxa"/>
            <w:vAlign w:val="top"/>
            <w:tcBorders>
              <w:right w:val="nil"/>
            </w:tcBorders>
          </w:tcPr>
          <w:p>
            <w:pPr>
              <w:pStyle w:val="TableText"/>
              <w:ind w:left="1572"/>
              <w:spacing w:before="39" w:line="199" w:lineRule="auto"/>
              <w:rPr/>
            </w:pPr>
            <w:r>
              <w:rPr>
                <w:spacing w:val="-2"/>
              </w:rPr>
              <w:t>新建</w:t>
            </w:r>
          </w:p>
        </w:tc>
      </w:tr>
      <w:tr>
        <w:trPr>
          <w:trHeight w:val="274" w:hRule="atLeast"/>
        </w:trPr>
        <w:tc>
          <w:tcPr>
            <w:tcW w:w="590" w:type="dxa"/>
            <w:vAlign w:val="top"/>
            <w:tcBorders>
              <w:left w:val="nil"/>
            </w:tcBorders>
          </w:tcPr>
          <w:p>
            <w:pPr>
              <w:ind w:left="258"/>
              <w:spacing w:before="6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459" w:type="dxa"/>
            <w:vAlign w:val="top"/>
          </w:tcPr>
          <w:p>
            <w:pPr>
              <w:pStyle w:val="TableText"/>
              <w:ind w:left="418"/>
              <w:spacing w:before="41" w:line="196" w:lineRule="auto"/>
              <w:rPr/>
            </w:pPr>
            <w:r>
              <w:rPr>
                <w:spacing w:val="-1"/>
              </w:rPr>
              <w:t>储粪库</w:t>
            </w:r>
          </w:p>
        </w:tc>
        <w:tc>
          <w:tcPr>
            <w:tcW w:w="893" w:type="dxa"/>
            <w:vAlign w:val="top"/>
          </w:tcPr>
          <w:p>
            <w:pPr>
              <w:ind w:left="416"/>
              <w:spacing w:before="6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ind w:left="407"/>
              <w:spacing w:before="6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tc>
        <w:tc>
          <w:tcPr>
            <w:tcW w:w="1123" w:type="dxa"/>
            <w:vAlign w:val="top"/>
          </w:tcPr>
          <w:p>
            <w:pPr>
              <w:ind w:left="409"/>
              <w:spacing w:before="69"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tc>
        <w:tc>
          <w:tcPr>
            <w:tcW w:w="3553" w:type="dxa"/>
            <w:vAlign w:val="top"/>
            <w:tcBorders>
              <w:right w:val="nil"/>
            </w:tcBorders>
          </w:tcPr>
          <w:p>
            <w:pPr>
              <w:pStyle w:val="TableText"/>
              <w:ind w:left="1572"/>
              <w:spacing w:before="41" w:line="196" w:lineRule="auto"/>
              <w:rPr/>
            </w:pPr>
            <w:r>
              <w:rPr>
                <w:spacing w:val="-2"/>
              </w:rPr>
              <w:t>新建</w:t>
            </w:r>
          </w:p>
        </w:tc>
      </w:tr>
      <w:tr>
        <w:trPr>
          <w:trHeight w:val="816" w:hRule="atLeast"/>
        </w:trPr>
        <w:tc>
          <w:tcPr>
            <w:tcW w:w="590" w:type="dxa"/>
            <w:vAlign w:val="top"/>
            <w:tcBorders>
              <w:left w:val="nil"/>
            </w:tcBorders>
          </w:tcPr>
          <w:p>
            <w:pPr>
              <w:spacing w:line="282" w:lineRule="auto"/>
              <w:rPr>
                <w:rFonts w:ascii="Arial"/>
                <w:sz w:val="21"/>
              </w:rPr>
            </w:pPr>
            <w:r/>
          </w:p>
          <w:p>
            <w:pPr>
              <w:ind w:left="221"/>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59" w:type="dxa"/>
            <w:vAlign w:val="top"/>
          </w:tcPr>
          <w:p>
            <w:pPr>
              <w:pStyle w:val="TableText"/>
              <w:ind w:left="118"/>
              <w:spacing w:before="42" w:line="221" w:lineRule="auto"/>
              <w:rPr/>
            </w:pPr>
            <w:r>
              <w:rPr>
                <w:spacing w:val="-5"/>
              </w:rPr>
              <w:t>办公室（包含</w:t>
            </w:r>
          </w:p>
          <w:p>
            <w:pPr>
              <w:pStyle w:val="TableText"/>
              <w:ind w:left="212"/>
              <w:spacing w:before="23" w:line="221" w:lineRule="auto"/>
              <w:rPr/>
            </w:pPr>
            <w:r>
              <w:rPr>
                <w:spacing w:val="-2"/>
              </w:rPr>
              <w:t>危险废物暂</w:t>
            </w:r>
          </w:p>
          <w:p>
            <w:pPr>
              <w:pStyle w:val="TableText"/>
              <w:ind w:left="418"/>
              <w:spacing w:before="20" w:line="191" w:lineRule="auto"/>
              <w:rPr/>
            </w:pPr>
            <w:r>
              <w:rPr>
                <w:spacing w:val="-5"/>
              </w:rPr>
              <w:t>存间）</w:t>
            </w:r>
          </w:p>
        </w:tc>
        <w:tc>
          <w:tcPr>
            <w:tcW w:w="893" w:type="dxa"/>
            <w:vAlign w:val="top"/>
          </w:tcPr>
          <w:p>
            <w:pPr>
              <w:spacing w:line="282" w:lineRule="auto"/>
              <w:rPr>
                <w:rFonts w:ascii="Arial"/>
                <w:sz w:val="21"/>
              </w:rPr>
            </w:pPr>
            <w:r/>
          </w:p>
          <w:p>
            <w:pPr>
              <w:ind w:left="416"/>
              <w:spacing w:before="6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spacing w:line="282" w:lineRule="auto"/>
              <w:rPr>
                <w:rFonts w:ascii="Arial"/>
                <w:sz w:val="21"/>
              </w:rPr>
            </w:pPr>
            <w:r/>
          </w:p>
          <w:p>
            <w:pPr>
              <w:ind w:left="412"/>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800</w:t>
            </w:r>
          </w:p>
        </w:tc>
        <w:tc>
          <w:tcPr>
            <w:tcW w:w="1123" w:type="dxa"/>
            <w:vAlign w:val="top"/>
          </w:tcPr>
          <w:p>
            <w:pPr>
              <w:spacing w:line="282" w:lineRule="auto"/>
              <w:rPr>
                <w:rFonts w:ascii="Arial"/>
                <w:sz w:val="21"/>
              </w:rPr>
            </w:pPr>
            <w:r/>
          </w:p>
          <w:p>
            <w:pPr>
              <w:ind w:left="413"/>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800</w:t>
            </w:r>
          </w:p>
        </w:tc>
        <w:tc>
          <w:tcPr>
            <w:tcW w:w="3553" w:type="dxa"/>
            <w:vAlign w:val="top"/>
            <w:tcBorders>
              <w:right w:val="nil"/>
            </w:tcBorders>
          </w:tcPr>
          <w:p>
            <w:pPr>
              <w:spacing w:line="247" w:lineRule="auto"/>
              <w:rPr>
                <w:rFonts w:ascii="Arial"/>
                <w:sz w:val="21"/>
              </w:rPr>
            </w:pPr>
            <w:r/>
          </w:p>
          <w:p>
            <w:pPr>
              <w:pStyle w:val="TableText"/>
              <w:ind w:left="1572"/>
              <w:spacing w:before="68" w:line="221" w:lineRule="auto"/>
              <w:rPr/>
            </w:pPr>
            <w:r>
              <w:rPr>
                <w:spacing w:val="-2"/>
              </w:rPr>
              <w:t>新建</w:t>
            </w:r>
          </w:p>
        </w:tc>
      </w:tr>
      <w:tr>
        <w:trPr>
          <w:trHeight w:val="274" w:hRule="atLeast"/>
        </w:trPr>
        <w:tc>
          <w:tcPr>
            <w:tcW w:w="590" w:type="dxa"/>
            <w:vAlign w:val="top"/>
            <w:tcBorders>
              <w:left w:val="nil"/>
            </w:tcBorders>
          </w:tcPr>
          <w:p>
            <w:pPr>
              <w:ind w:left="226"/>
              <w:spacing w:before="77"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459" w:type="dxa"/>
            <w:vAlign w:val="top"/>
          </w:tcPr>
          <w:p>
            <w:pPr>
              <w:pStyle w:val="TableText"/>
              <w:ind w:left="442"/>
              <w:spacing w:before="50" w:line="188" w:lineRule="auto"/>
              <w:rPr/>
            </w:pPr>
            <w:r>
              <w:rPr>
                <w:spacing w:val="-7"/>
              </w:rPr>
              <w:t>门卫房</w:t>
            </w:r>
          </w:p>
        </w:tc>
        <w:tc>
          <w:tcPr>
            <w:tcW w:w="893" w:type="dxa"/>
            <w:vAlign w:val="top"/>
          </w:tcPr>
          <w:p>
            <w:pPr>
              <w:ind w:left="416"/>
              <w:spacing w:before="77"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17" w:type="dxa"/>
            <w:vAlign w:val="top"/>
          </w:tcPr>
          <w:p>
            <w:pPr>
              <w:ind w:left="454"/>
              <w:spacing w:before="77"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1123" w:type="dxa"/>
            <w:vAlign w:val="top"/>
          </w:tcPr>
          <w:p>
            <w:pPr>
              <w:ind w:left="458"/>
              <w:spacing w:before="77"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3553" w:type="dxa"/>
            <w:vAlign w:val="top"/>
            <w:tcBorders>
              <w:right w:val="nil"/>
            </w:tcBorders>
          </w:tcPr>
          <w:p>
            <w:pPr>
              <w:pStyle w:val="TableText"/>
              <w:ind w:left="1572"/>
              <w:spacing w:before="50" w:line="188" w:lineRule="auto"/>
              <w:rPr/>
            </w:pPr>
            <w:r>
              <w:rPr>
                <w:spacing w:val="-2"/>
              </w:rPr>
              <w:t>新建</w:t>
            </w:r>
          </w:p>
        </w:tc>
      </w:tr>
      <w:tr>
        <w:trPr>
          <w:trHeight w:val="302" w:hRule="atLeast"/>
        </w:trPr>
        <w:tc>
          <w:tcPr>
            <w:tcW w:w="2049" w:type="dxa"/>
            <w:vAlign w:val="top"/>
            <w:gridSpan w:val="2"/>
            <w:tcBorders>
              <w:left w:val="nil"/>
              <w:bottom w:val="single" w:color="000000" w:sz="10" w:space="0"/>
            </w:tcBorders>
          </w:tcPr>
          <w:p>
            <w:pPr>
              <w:pStyle w:val="TableText"/>
              <w:ind w:left="829"/>
              <w:spacing w:before="54" w:line="209" w:lineRule="auto"/>
              <w:rPr/>
            </w:pPr>
            <w:r>
              <w:rPr>
                <w:spacing w:val="-2"/>
              </w:rPr>
              <w:t>合计</w:t>
            </w:r>
          </w:p>
        </w:tc>
        <w:tc>
          <w:tcPr>
            <w:tcW w:w="893" w:type="dxa"/>
            <w:vAlign w:val="top"/>
            <w:tcBorders>
              <w:bottom w:val="single" w:color="000000" w:sz="10" w:space="0"/>
            </w:tcBorders>
          </w:tcPr>
          <w:p>
            <w:pPr>
              <w:rPr>
                <w:rFonts w:ascii="Arial"/>
                <w:sz w:val="21"/>
              </w:rPr>
            </w:pPr>
            <w:r/>
          </w:p>
        </w:tc>
        <w:tc>
          <w:tcPr>
            <w:tcW w:w="1117" w:type="dxa"/>
            <w:vAlign w:val="top"/>
            <w:tcBorders>
              <w:bottom w:val="single" w:color="000000" w:sz="10" w:space="0"/>
            </w:tcBorders>
          </w:tcPr>
          <w:p>
            <w:pPr>
              <w:ind w:left="318"/>
              <w:spacing w:before="82"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15624</w:t>
            </w:r>
          </w:p>
        </w:tc>
        <w:tc>
          <w:tcPr>
            <w:tcW w:w="1123" w:type="dxa"/>
            <w:vAlign w:val="top"/>
            <w:tcBorders>
              <w:bottom w:val="single" w:color="000000" w:sz="10" w:space="0"/>
            </w:tcBorders>
          </w:tcPr>
          <w:p>
            <w:pPr>
              <w:ind w:left="320"/>
              <w:spacing w:before="82"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15624</w:t>
            </w:r>
          </w:p>
        </w:tc>
        <w:tc>
          <w:tcPr>
            <w:tcW w:w="3553" w:type="dxa"/>
            <w:vAlign w:val="top"/>
            <w:tcBorders>
              <w:right w:val="nil"/>
              <w:bottom w:val="single" w:color="000000" w:sz="10" w:space="0"/>
            </w:tcBorders>
          </w:tcPr>
          <w:p>
            <w:pPr>
              <w:rPr>
                <w:rFonts w:ascii="Arial"/>
                <w:sz w:val="21"/>
              </w:rPr>
            </w:pPr>
            <w:r/>
          </w:p>
        </w:tc>
      </w:tr>
    </w:tbl>
    <w:p>
      <w:pPr>
        <w:ind w:left="618"/>
        <w:spacing w:before="33"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）平面布置</w:t>
      </w:r>
    </w:p>
    <w:p>
      <w:pPr>
        <w:ind w:left="131" w:right="108" w:firstLine="480"/>
        <w:spacing w:before="164" w:line="359" w:lineRule="auto"/>
        <w:rPr>
          <w:rFonts w:ascii="SimSun" w:hAnsi="SimSun" w:eastAsia="SimSun" w:cs="SimSun"/>
          <w:sz w:val="24"/>
          <w:szCs w:val="24"/>
        </w:rPr>
      </w:pPr>
      <w:r>
        <w:rPr>
          <w:rFonts w:ascii="SimSun" w:hAnsi="SimSun" w:eastAsia="SimSun" w:cs="SimSun"/>
          <w:sz w:val="24"/>
          <w:szCs w:val="24"/>
          <w:spacing w:val="2"/>
        </w:rPr>
        <w:t>本期工程主要建设内容包括牛舍、办公室、饲料库、储粪库等。根据本项目</w:t>
      </w:r>
      <w:r>
        <w:rPr>
          <w:rFonts w:ascii="SimSun" w:hAnsi="SimSun" w:eastAsia="SimSun" w:cs="SimSun"/>
          <w:sz w:val="24"/>
          <w:szCs w:val="24"/>
          <w:spacing w:val="2"/>
        </w:rPr>
        <w:t>行业特点和厂区各建筑物的功能要求，结合场区地形、气象条件等综合因素，因</w:t>
      </w:r>
      <w:r>
        <w:rPr>
          <w:rFonts w:ascii="SimSun" w:hAnsi="SimSun" w:eastAsia="SimSun" w:cs="SimSun"/>
          <w:sz w:val="24"/>
          <w:szCs w:val="24"/>
          <w:spacing w:val="3"/>
        </w:rPr>
        <w:t>地制宜布置本项目建筑物。项目办公区与牛舍分离，办</w:t>
      </w:r>
      <w:r>
        <w:rPr>
          <w:rFonts w:ascii="SimSun" w:hAnsi="SimSun" w:eastAsia="SimSun" w:cs="SimSun"/>
          <w:sz w:val="24"/>
          <w:szCs w:val="24"/>
          <w:spacing w:val="2"/>
        </w:rPr>
        <w:t>公区位于厂区西南侧，牛</w:t>
      </w:r>
      <w:r>
        <w:rPr>
          <w:rFonts w:ascii="SimSun" w:hAnsi="SimSun" w:eastAsia="SimSun" w:cs="SimSun"/>
          <w:sz w:val="24"/>
          <w:szCs w:val="24"/>
          <w:spacing w:val="-1"/>
        </w:rPr>
        <w:t>舍位于场区西侧，饲料库位于场区东侧；储粪库位于场区的东南侧。</w:t>
      </w:r>
    </w:p>
    <w:p>
      <w:pPr>
        <w:ind w:left="132" w:right="129" w:firstLine="478"/>
        <w:spacing w:line="359" w:lineRule="auto"/>
        <w:rPr>
          <w:rFonts w:ascii="SimSun" w:hAnsi="SimSun" w:eastAsia="SimSun" w:cs="SimSun"/>
          <w:sz w:val="24"/>
          <w:szCs w:val="24"/>
        </w:rPr>
      </w:pPr>
      <w:r>
        <w:rPr>
          <w:rFonts w:ascii="SimSun" w:hAnsi="SimSun" w:eastAsia="SimSun" w:cs="SimSun"/>
          <w:sz w:val="24"/>
          <w:szCs w:val="24"/>
          <w:spacing w:val="2"/>
        </w:rPr>
        <w:t>场区总平面布置中，力求功能分区合理，动力负荷集中，入场分流畅通，环</w:t>
      </w:r>
      <w:r>
        <w:rPr>
          <w:rFonts w:ascii="SimSun" w:hAnsi="SimSun" w:eastAsia="SimSun" w:cs="SimSun"/>
          <w:sz w:val="24"/>
          <w:szCs w:val="24"/>
          <w:spacing w:val="2"/>
        </w:rPr>
        <w:t>境卫生，生产安全，生产管理方便等原则进</w:t>
      </w:r>
      <w:r>
        <w:rPr>
          <w:rFonts w:ascii="SimSun" w:hAnsi="SimSun" w:eastAsia="SimSun" w:cs="SimSun"/>
          <w:sz w:val="24"/>
          <w:szCs w:val="24"/>
          <w:spacing w:val="1"/>
        </w:rPr>
        <w:t>行。平面布置详见附图</w:t>
      </w:r>
      <w:r>
        <w:rPr>
          <w:rFonts w:ascii="Times New Roman" w:hAnsi="Times New Roman" w:eastAsia="Times New Roman" w:cs="Times New Roman"/>
          <w:sz w:val="24"/>
          <w:szCs w:val="24"/>
          <w:spacing w:val="1"/>
        </w:rPr>
        <w:t>2</w:t>
      </w:r>
      <w:r>
        <w:rPr>
          <w:rFonts w:ascii="SimSun" w:hAnsi="SimSun" w:eastAsia="SimSun" w:cs="SimSun"/>
          <w:sz w:val="24"/>
          <w:szCs w:val="24"/>
          <w:spacing w:val="1"/>
        </w:rPr>
        <w:t>。</w:t>
      </w:r>
    </w:p>
    <w:p>
      <w:pPr>
        <w:ind w:left="618"/>
        <w:spacing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）平面布置合理性分析</w:t>
      </w:r>
    </w:p>
    <w:p>
      <w:pPr>
        <w:ind w:left="136" w:right="117" w:firstLine="475"/>
        <w:spacing w:before="166" w:line="359" w:lineRule="auto"/>
        <w:rPr>
          <w:rFonts w:ascii="SimSun" w:hAnsi="SimSun" w:eastAsia="SimSun" w:cs="SimSun"/>
          <w:sz w:val="24"/>
          <w:szCs w:val="24"/>
        </w:rPr>
      </w:pPr>
      <w:r>
        <w:rPr>
          <w:rFonts w:ascii="SimSun" w:hAnsi="SimSun" w:eastAsia="SimSun" w:cs="SimSun"/>
          <w:sz w:val="24"/>
          <w:szCs w:val="24"/>
          <w:spacing w:val="3"/>
        </w:rPr>
        <w:t>根据项目总平面布置，项目场区按生产工艺</w:t>
      </w:r>
      <w:r>
        <w:rPr>
          <w:rFonts w:ascii="SimSun" w:hAnsi="SimSun" w:eastAsia="SimSun" w:cs="SimSun"/>
          <w:sz w:val="24"/>
          <w:szCs w:val="24"/>
          <w:spacing w:val="2"/>
        </w:rPr>
        <w:t>分区布置，总体上做到了生产与</w:t>
      </w:r>
      <w:r>
        <w:rPr>
          <w:rFonts w:ascii="SimSun" w:hAnsi="SimSun" w:eastAsia="SimSun" w:cs="SimSun"/>
          <w:sz w:val="24"/>
          <w:szCs w:val="24"/>
          <w:spacing w:val="-1"/>
        </w:rPr>
        <w:t>办公生活分开、清洁区与污物区分开、粪污</w:t>
      </w:r>
      <w:r>
        <w:rPr>
          <w:rFonts w:ascii="SimSun" w:hAnsi="SimSun" w:eastAsia="SimSun" w:cs="SimSun"/>
          <w:sz w:val="24"/>
          <w:szCs w:val="24"/>
          <w:spacing w:val="-2"/>
        </w:rPr>
        <w:t>处理区与养殖、办公生活区分开。</w:t>
      </w:r>
    </w:p>
    <w:p>
      <w:pPr>
        <w:ind w:left="132" w:right="22" w:firstLine="483"/>
        <w:spacing w:before="9" w:line="358" w:lineRule="auto"/>
        <w:rPr>
          <w:rFonts w:ascii="SimSun" w:hAnsi="SimSun" w:eastAsia="SimSun" w:cs="SimSun"/>
          <w:sz w:val="24"/>
          <w:szCs w:val="24"/>
        </w:rPr>
      </w:pPr>
      <w:r>
        <w:rPr>
          <w:rFonts w:ascii="SimSun" w:hAnsi="SimSun" w:eastAsia="SimSun" w:cs="SimSun"/>
          <w:sz w:val="24"/>
          <w:szCs w:val="24"/>
          <w:spacing w:val="2"/>
        </w:rPr>
        <w:t>办公室位于牛舍西南侧，隔一定距离，即方便管理牛舍，同时与牛舍隔离分</w:t>
      </w:r>
      <w:r>
        <w:rPr>
          <w:rFonts w:ascii="SimSun" w:hAnsi="SimSun" w:eastAsia="SimSun" w:cs="SimSun"/>
          <w:sz w:val="24"/>
          <w:szCs w:val="24"/>
          <w:spacing w:val="3"/>
        </w:rPr>
        <w:t>区；储粪库位于场区的东南侧，与牛舍区单独隔离开</w:t>
      </w:r>
      <w:r>
        <w:rPr>
          <w:rFonts w:ascii="SimSun" w:hAnsi="SimSun" w:eastAsia="SimSun" w:cs="SimSun"/>
          <w:sz w:val="24"/>
          <w:szCs w:val="24"/>
          <w:spacing w:val="2"/>
        </w:rPr>
        <w:t>；饲料库位于牛舍东侧，方</w:t>
      </w:r>
      <w:r>
        <w:rPr>
          <w:rFonts w:ascii="SimSun" w:hAnsi="SimSun" w:eastAsia="SimSun" w:cs="SimSun"/>
          <w:sz w:val="24"/>
          <w:szCs w:val="24"/>
        </w:rPr>
        <w:t>便喂养；本项目平面布置满足《畜禽养殖业污染防治技术规范》（</w:t>
      </w:r>
      <w:r>
        <w:rPr>
          <w:rFonts w:ascii="Times New Roman" w:hAnsi="Times New Roman" w:eastAsia="Times New Roman" w:cs="Times New Roman"/>
          <w:sz w:val="24"/>
          <w:szCs w:val="24"/>
        </w:rPr>
        <w:t>HJ/T81-2001</w:t>
      </w:r>
      <w:r>
        <w:rPr>
          <w:rFonts w:ascii="SimSun" w:hAnsi="SimSun" w:eastAsia="SimSun" w:cs="SimSun"/>
          <w:sz w:val="24"/>
          <w:szCs w:val="24"/>
        </w:rPr>
        <w:t>）</w:t>
      </w:r>
      <w:r>
        <w:rPr>
          <w:rFonts w:ascii="SimSun" w:hAnsi="SimSun" w:eastAsia="SimSun" w:cs="SimSun"/>
          <w:sz w:val="24"/>
          <w:szCs w:val="24"/>
          <w:spacing w:val="-1"/>
        </w:rPr>
        <w:t>的规定，畜禽养殖场场区布局应</w:t>
      </w:r>
      <w:r>
        <w:rPr>
          <w:rFonts w:ascii="Times New Roman" w:hAnsi="Times New Roman" w:eastAsia="Times New Roman" w:cs="Times New Roman"/>
          <w:sz w:val="24"/>
          <w:szCs w:val="24"/>
          <w:spacing w:val="-1"/>
        </w:rPr>
        <w:t>“</w:t>
      </w:r>
      <w:r>
        <w:rPr>
          <w:rFonts w:ascii="SimSun" w:hAnsi="SimSun" w:eastAsia="SimSun" w:cs="SimSun"/>
          <w:sz w:val="24"/>
          <w:szCs w:val="24"/>
          <w:spacing w:val="-1"/>
        </w:rPr>
        <w:t>新建、改建、扩建的畜</w:t>
      </w:r>
      <w:r>
        <w:rPr>
          <w:rFonts w:ascii="SimSun" w:hAnsi="SimSun" w:eastAsia="SimSun" w:cs="SimSun"/>
          <w:sz w:val="24"/>
          <w:szCs w:val="24"/>
          <w:spacing w:val="-2"/>
        </w:rPr>
        <w:t>禽养殖场应实现生产区、</w:t>
      </w:r>
      <w:r>
        <w:rPr>
          <w:rFonts w:ascii="SimSun" w:hAnsi="SimSun" w:eastAsia="SimSun" w:cs="SimSun"/>
          <w:sz w:val="24"/>
          <w:szCs w:val="24"/>
          <w:spacing w:val="-2"/>
        </w:rPr>
        <w:t>生活管理区的隔离；粪便污水处理设施和畜禽尸体填埋，应设在养殖场的生产区、</w:t>
      </w:r>
      <w:r>
        <w:rPr>
          <w:rFonts w:ascii="SimSun" w:hAnsi="SimSun" w:eastAsia="SimSun" w:cs="SimSun"/>
          <w:sz w:val="24"/>
          <w:szCs w:val="24"/>
          <w:spacing w:val="2"/>
        </w:rPr>
        <w:t>生活管理区的常年主导风向的下风向或侧风向处。本项目储粪库位于办公区常年</w:t>
      </w:r>
      <w:r>
        <w:rPr>
          <w:rFonts w:ascii="SimSun" w:hAnsi="SimSun" w:eastAsia="SimSun" w:cs="SimSun"/>
          <w:sz w:val="24"/>
          <w:szCs w:val="24"/>
        </w:rPr>
        <w:t>主导风向的下风向，符合《畜禽养殖业污染防治技术规范》（</w:t>
      </w:r>
      <w:r>
        <w:rPr>
          <w:rFonts w:ascii="Times New Roman" w:hAnsi="Times New Roman" w:eastAsia="Times New Roman" w:cs="Times New Roman"/>
          <w:sz w:val="24"/>
          <w:szCs w:val="24"/>
        </w:rPr>
        <w:t>HJ/T81-2001</w:t>
      </w:r>
      <w:r>
        <w:rPr>
          <w:rFonts w:ascii="SimSun" w:hAnsi="SimSun" w:eastAsia="SimSun" w:cs="SimSun"/>
          <w:sz w:val="24"/>
          <w:szCs w:val="24"/>
        </w:rPr>
        <w:t>）</w:t>
      </w:r>
      <w:r>
        <w:rPr>
          <w:rFonts w:ascii="SimSun" w:hAnsi="SimSun" w:eastAsia="SimSun" w:cs="SimSun"/>
          <w:sz w:val="24"/>
          <w:szCs w:val="24"/>
          <w:spacing w:val="-1"/>
        </w:rPr>
        <w:t>的规</w:t>
      </w:r>
      <w:r>
        <w:rPr>
          <w:rFonts w:ascii="SimSun" w:hAnsi="SimSun" w:eastAsia="SimSun" w:cs="SimSun"/>
          <w:sz w:val="24"/>
          <w:szCs w:val="24"/>
          <w:spacing w:val="-1"/>
        </w:rPr>
        <w:t>定。因此，从环境保护角度来看，项目总平</w:t>
      </w:r>
      <w:r>
        <w:rPr>
          <w:rFonts w:ascii="SimSun" w:hAnsi="SimSun" w:eastAsia="SimSun" w:cs="SimSun"/>
          <w:sz w:val="24"/>
          <w:szCs w:val="24"/>
          <w:spacing w:val="-2"/>
        </w:rPr>
        <w:t>面图布置方案基本合理可行。</w:t>
      </w:r>
    </w:p>
    <w:p>
      <w:pPr>
        <w:ind w:left="126"/>
        <w:spacing w:before="265" w:line="234" w:lineRule="auto"/>
        <w:rPr>
          <w:rFonts w:ascii="SimSun" w:hAnsi="SimSun" w:eastAsia="SimSun" w:cs="SimSun"/>
          <w:sz w:val="24"/>
          <w:szCs w:val="24"/>
        </w:rPr>
      </w:pPr>
      <w:r>
        <w:rPr>
          <w:rFonts w:ascii="Times New Roman" w:hAnsi="Times New Roman" w:eastAsia="Times New Roman" w:cs="Times New Roman"/>
          <w:sz w:val="24"/>
          <w:szCs w:val="24"/>
          <w:b/>
          <w:bCs/>
          <w:spacing w:val="-3"/>
        </w:rPr>
        <w:t>3.1.5</w:t>
      </w:r>
      <w:r>
        <w:rPr>
          <w:rFonts w:ascii="Times New Roman" w:hAnsi="Times New Roman" w:eastAsia="Times New Roman" w:cs="Times New Roman"/>
          <w:sz w:val="24"/>
          <w:szCs w:val="24"/>
          <w:b/>
          <w:bCs/>
          <w:spacing w:val="16"/>
          <w:w w:val="101"/>
        </w:rPr>
        <w:t xml:space="preserve"> </w:t>
      </w:r>
      <w:r>
        <w:rPr>
          <w:rFonts w:ascii="SimSun" w:hAnsi="SimSun" w:eastAsia="SimSun" w:cs="SimSun"/>
          <w:sz w:val="24"/>
          <w:szCs w:val="24"/>
          <w:b/>
          <w:bCs/>
          <w:spacing w:val="-3"/>
        </w:rPr>
        <w:t>公用工程</w:t>
      </w:r>
    </w:p>
    <w:p>
      <w:pPr>
        <w:pStyle w:val="BodyText"/>
        <w:spacing w:line="340" w:lineRule="auto"/>
        <w:rPr/>
      </w:pPr>
      <w:r/>
    </w:p>
    <w:p>
      <w:pPr>
        <w:ind w:left="618"/>
        <w:spacing w:before="79"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）给水</w:t>
      </w:r>
    </w:p>
    <w:p>
      <w:pPr>
        <w:ind w:left="133" w:right="20" w:firstLine="478"/>
        <w:spacing w:before="164" w:line="363" w:lineRule="auto"/>
        <w:rPr>
          <w:rFonts w:ascii="SimSun" w:hAnsi="SimSun" w:eastAsia="SimSun" w:cs="SimSun"/>
          <w:sz w:val="24"/>
          <w:szCs w:val="24"/>
        </w:rPr>
      </w:pPr>
      <w:r>
        <w:rPr>
          <w:rFonts w:ascii="SimSun" w:hAnsi="SimSun" w:eastAsia="SimSun" w:cs="SimSun"/>
          <w:sz w:val="24"/>
          <w:szCs w:val="24"/>
          <w:spacing w:val="3"/>
        </w:rPr>
        <w:t>本项目采用干清粪工艺，牛棚只定期进行消</w:t>
      </w:r>
      <w:r>
        <w:rPr>
          <w:rFonts w:ascii="SimSun" w:hAnsi="SimSun" w:eastAsia="SimSun" w:cs="SimSun"/>
          <w:sz w:val="24"/>
          <w:szCs w:val="24"/>
          <w:spacing w:val="2"/>
        </w:rPr>
        <w:t>毒处理，无冲洗用水，故本项目</w:t>
      </w:r>
      <w:r>
        <w:rPr>
          <w:rFonts w:ascii="SimSun" w:hAnsi="SimSun" w:eastAsia="SimSun" w:cs="SimSun"/>
          <w:sz w:val="24"/>
          <w:szCs w:val="24"/>
          <w:spacing w:val="-6"/>
        </w:rPr>
        <w:t>用水主要为职工生活用水、消毒用水和牛饮用水，全年新鲜水总用量为</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6"/>
        </w:rPr>
        <w:t>13724m</w:t>
      </w:r>
      <w:r>
        <w:rPr>
          <w:rFonts w:ascii="Times New Roman" w:hAnsi="Times New Roman" w:eastAsia="Times New Roman" w:cs="Times New Roman"/>
          <w:sz w:val="16"/>
          <w:szCs w:val="16"/>
          <w:spacing w:val="-6"/>
          <w:position w:val="10"/>
        </w:rPr>
        <w:t>3</w:t>
      </w:r>
      <w:r>
        <w:rPr>
          <w:rFonts w:ascii="Times New Roman" w:hAnsi="Times New Roman" w:eastAsia="Times New Roman" w:cs="Times New Roman"/>
          <w:sz w:val="24"/>
          <w:szCs w:val="24"/>
          <w:spacing w:val="-6"/>
        </w:rPr>
        <w:t>/a</w:t>
      </w:r>
      <w:r>
        <w:rPr>
          <w:rFonts w:ascii="SimSun" w:hAnsi="SimSun" w:eastAsia="SimSun" w:cs="SimSun"/>
          <w:sz w:val="24"/>
          <w:szCs w:val="24"/>
          <w:spacing w:val="-6"/>
        </w:rPr>
        <w:t>。</w:t>
      </w:r>
    </w:p>
    <w:p>
      <w:pPr>
        <w:spacing w:line="363" w:lineRule="auto"/>
        <w:sectPr>
          <w:headerReference w:type="default" r:id="rId68"/>
          <w:pgSz w:w="11907" w:h="16839"/>
          <w:pgMar w:top="1390" w:right="1591" w:bottom="400" w:left="1579" w:header="1054" w:footer="0" w:gutter="0"/>
        </w:sectPr>
        <w:rPr>
          <w:rFonts w:ascii="SimSun" w:hAnsi="SimSun" w:eastAsia="SimSun" w:cs="SimSun"/>
          <w:sz w:val="24"/>
          <w:szCs w:val="24"/>
        </w:rPr>
      </w:pPr>
    </w:p>
    <w:p>
      <w:pPr>
        <w:ind w:left="610"/>
        <w:spacing w:before="84" w:line="217" w:lineRule="auto"/>
        <w:rPr>
          <w:rFonts w:ascii="SimSun" w:hAnsi="SimSun" w:eastAsia="SimSun" w:cs="SimSun"/>
          <w:sz w:val="24"/>
          <w:szCs w:val="24"/>
        </w:rPr>
      </w:pPr>
      <w:r>
        <w:rPr>
          <w:rFonts w:ascii="SimSun" w:hAnsi="SimSun" w:eastAsia="SimSun" w:cs="SimSun"/>
          <w:sz w:val="24"/>
          <w:szCs w:val="24"/>
          <w:spacing w:val="-2"/>
        </w:rPr>
        <w:t>①生活用水</w:t>
      </w:r>
    </w:p>
    <w:p>
      <w:pPr>
        <w:spacing w:before="170" w:line="239" w:lineRule="auto"/>
        <w:jc w:val="right"/>
        <w:rPr>
          <w:rFonts w:ascii="SimSun" w:hAnsi="SimSun" w:eastAsia="SimSun" w:cs="SimSun"/>
          <w:sz w:val="24"/>
          <w:szCs w:val="24"/>
        </w:rPr>
      </w:pPr>
      <w:r>
        <w:rPr>
          <w:rFonts w:ascii="SimSun" w:hAnsi="SimSun" w:eastAsia="SimSun" w:cs="SimSun"/>
          <w:sz w:val="24"/>
          <w:szCs w:val="24"/>
          <w:spacing w:val="-9"/>
        </w:rPr>
        <w:t>本项目劳动定员</w:t>
      </w:r>
      <w:r>
        <w:rPr>
          <w:rFonts w:ascii="Times New Roman" w:hAnsi="Times New Roman" w:eastAsia="Times New Roman" w:cs="Times New Roman"/>
          <w:sz w:val="24"/>
          <w:szCs w:val="24"/>
          <w:spacing w:val="-9"/>
        </w:rPr>
        <w:t>10</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9"/>
        </w:rPr>
        <w:t>人，用水量按</w:t>
      </w:r>
      <w:r>
        <w:rPr>
          <w:rFonts w:ascii="Times New Roman" w:hAnsi="Times New Roman" w:eastAsia="Times New Roman" w:cs="Times New Roman"/>
          <w:sz w:val="24"/>
          <w:szCs w:val="24"/>
          <w:spacing w:val="-9"/>
        </w:rPr>
        <w:t>60L/</w:t>
      </w:r>
      <w:r>
        <w:rPr>
          <w:rFonts w:ascii="SimSun" w:hAnsi="SimSun" w:eastAsia="SimSun" w:cs="SimSun"/>
          <w:sz w:val="24"/>
          <w:szCs w:val="24"/>
          <w:spacing w:val="-9"/>
        </w:rPr>
        <w:t>人</w:t>
      </w:r>
      <w:r>
        <w:rPr>
          <w:rFonts w:ascii="Times New Roman" w:hAnsi="Times New Roman" w:eastAsia="Times New Roman" w:cs="Times New Roman"/>
          <w:sz w:val="24"/>
          <w:szCs w:val="24"/>
          <w:spacing w:val="-9"/>
        </w:rPr>
        <w:t>·d</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9"/>
        </w:rPr>
        <w:t>计，生活用水量为</w:t>
      </w:r>
      <w:r>
        <w:rPr>
          <w:rFonts w:ascii="Times New Roman" w:hAnsi="Times New Roman" w:eastAsia="Times New Roman" w:cs="Times New Roman"/>
          <w:sz w:val="24"/>
          <w:szCs w:val="24"/>
          <w:spacing w:val="-9"/>
        </w:rPr>
        <w:t>0.</w:t>
      </w:r>
      <w:r>
        <w:rPr>
          <w:rFonts w:ascii="Times New Roman" w:hAnsi="Times New Roman" w:eastAsia="Times New Roman" w:cs="Times New Roman"/>
          <w:sz w:val="24"/>
          <w:szCs w:val="24"/>
          <w:spacing w:val="-10"/>
        </w:rPr>
        <w:t>6m</w:t>
      </w:r>
      <w:r>
        <w:rPr>
          <w:rFonts w:ascii="Times New Roman" w:hAnsi="Times New Roman" w:eastAsia="Times New Roman" w:cs="Times New Roman"/>
          <w:sz w:val="16"/>
          <w:szCs w:val="16"/>
          <w:spacing w:val="-10"/>
          <w:position w:val="10"/>
        </w:rPr>
        <w:t>3</w:t>
      </w:r>
      <w:r>
        <w:rPr>
          <w:rFonts w:ascii="Times New Roman" w:hAnsi="Times New Roman" w:eastAsia="Times New Roman" w:cs="Times New Roman"/>
          <w:sz w:val="24"/>
          <w:szCs w:val="24"/>
          <w:spacing w:val="-10"/>
        </w:rPr>
        <w:t>/d</w:t>
      </w:r>
      <w:r>
        <w:rPr>
          <w:rFonts w:ascii="SimSun" w:hAnsi="SimSun" w:eastAsia="SimSun" w:cs="SimSun"/>
          <w:sz w:val="24"/>
          <w:szCs w:val="24"/>
          <w:spacing w:val="-10"/>
        </w:rPr>
        <w:t>（</w:t>
      </w:r>
      <w:r>
        <w:rPr>
          <w:rFonts w:ascii="Times New Roman" w:hAnsi="Times New Roman" w:eastAsia="Times New Roman" w:cs="Times New Roman"/>
          <w:sz w:val="24"/>
          <w:szCs w:val="24"/>
          <w:spacing w:val="-10"/>
        </w:rPr>
        <w:t>219m</w:t>
      </w:r>
      <w:r>
        <w:rPr>
          <w:rFonts w:ascii="Times New Roman" w:hAnsi="Times New Roman" w:eastAsia="Times New Roman" w:cs="Times New Roman"/>
          <w:sz w:val="16"/>
          <w:szCs w:val="16"/>
          <w:spacing w:val="-10"/>
          <w:position w:val="10"/>
        </w:rPr>
        <w:t>3</w:t>
      </w:r>
      <w:r>
        <w:rPr>
          <w:rFonts w:ascii="Times New Roman" w:hAnsi="Times New Roman" w:eastAsia="Times New Roman" w:cs="Times New Roman"/>
          <w:sz w:val="24"/>
          <w:szCs w:val="24"/>
          <w:spacing w:val="-10"/>
        </w:rPr>
        <w:t>/a</w:t>
      </w:r>
      <w:r>
        <w:rPr>
          <w:rFonts w:ascii="SimSun" w:hAnsi="SimSun" w:eastAsia="SimSun" w:cs="SimSun"/>
          <w:sz w:val="24"/>
          <w:szCs w:val="24"/>
          <w:spacing w:val="-10"/>
        </w:rPr>
        <w:t>）。</w:t>
      </w:r>
    </w:p>
    <w:p>
      <w:pPr>
        <w:ind w:left="609"/>
        <w:spacing w:before="163" w:line="217" w:lineRule="auto"/>
        <w:rPr>
          <w:rFonts w:ascii="SimSun" w:hAnsi="SimSun" w:eastAsia="SimSun" w:cs="SimSun"/>
          <w:sz w:val="24"/>
          <w:szCs w:val="24"/>
        </w:rPr>
      </w:pPr>
      <w:r>
        <w:rPr>
          <w:rFonts w:ascii="SimSun" w:hAnsi="SimSun" w:eastAsia="SimSun" w:cs="SimSun"/>
          <w:sz w:val="24"/>
          <w:szCs w:val="24"/>
          <w:spacing w:val="-2"/>
        </w:rPr>
        <w:t>②牛饮用水</w:t>
      </w:r>
    </w:p>
    <w:p>
      <w:pPr>
        <w:ind w:left="134" w:right="109" w:firstLine="477"/>
        <w:spacing w:before="186" w:line="351" w:lineRule="auto"/>
        <w:rPr>
          <w:rFonts w:ascii="SimSun" w:hAnsi="SimSun" w:eastAsia="SimSun" w:cs="SimSun"/>
          <w:sz w:val="24"/>
          <w:szCs w:val="24"/>
        </w:rPr>
      </w:pPr>
      <w:r>
        <w:rPr>
          <w:rFonts w:ascii="SimSun" w:hAnsi="SimSun" w:eastAsia="SimSun" w:cs="SimSun"/>
          <w:sz w:val="24"/>
          <w:szCs w:val="24"/>
          <w:spacing w:val="-1"/>
        </w:rPr>
        <w:t>根据《内蒙古自治区行业用水定额（</w:t>
      </w:r>
      <w:r>
        <w:rPr>
          <w:rFonts w:ascii="Times New Roman" w:hAnsi="Times New Roman" w:eastAsia="Times New Roman" w:cs="Times New Roman"/>
          <w:sz w:val="24"/>
          <w:szCs w:val="24"/>
          <w:spacing w:val="-1"/>
        </w:rPr>
        <w:t>2022</w:t>
      </w:r>
      <w:r>
        <w:rPr>
          <w:rFonts w:ascii="Times New Roman" w:hAnsi="Times New Roman" w:eastAsia="Times New Roman" w:cs="Times New Roman"/>
          <w:sz w:val="24"/>
          <w:szCs w:val="24"/>
          <w:spacing w:val="68"/>
          <w:w w:val="101"/>
        </w:rPr>
        <w:t xml:space="preserve"> </w:t>
      </w:r>
      <w:r>
        <w:rPr>
          <w:rFonts w:ascii="SimSun" w:hAnsi="SimSun" w:eastAsia="SimSun" w:cs="SimSun"/>
          <w:sz w:val="24"/>
          <w:szCs w:val="24"/>
          <w:spacing w:val="-1"/>
        </w:rPr>
        <w:t>年版）》，工厂集约化养殖牛饮用</w:t>
      </w:r>
      <w:r>
        <w:rPr>
          <w:rFonts w:ascii="SimSun" w:hAnsi="SimSun" w:eastAsia="SimSun" w:cs="SimSun"/>
          <w:sz w:val="24"/>
          <w:szCs w:val="24"/>
          <w:spacing w:val="-1"/>
        </w:rPr>
        <w:t>水定额为</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60L/</w:t>
      </w:r>
      <w:r>
        <w:rPr>
          <w:rFonts w:ascii="SimSun" w:hAnsi="SimSun" w:eastAsia="SimSun" w:cs="SimSun"/>
          <w:sz w:val="24"/>
          <w:szCs w:val="24"/>
          <w:spacing w:val="-1"/>
        </w:rPr>
        <w:t>头</w:t>
      </w:r>
      <w:r>
        <w:rPr>
          <w:rFonts w:ascii="Times New Roman" w:hAnsi="Times New Roman" w:eastAsia="Times New Roman" w:cs="Times New Roman"/>
          <w:sz w:val="24"/>
          <w:szCs w:val="24"/>
          <w:spacing w:val="-1"/>
        </w:rPr>
        <w:t>·d</w:t>
      </w:r>
      <w:r>
        <w:rPr>
          <w:rFonts w:ascii="SimSun" w:hAnsi="SimSun" w:eastAsia="SimSun" w:cs="SimSun"/>
          <w:sz w:val="24"/>
          <w:szCs w:val="24"/>
          <w:spacing w:val="-1"/>
        </w:rPr>
        <w:t>，本项目年存栏量</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600 </w:t>
      </w:r>
      <w:r>
        <w:rPr>
          <w:rFonts w:ascii="SimSun" w:hAnsi="SimSun" w:eastAsia="SimSun" w:cs="SimSun"/>
          <w:sz w:val="24"/>
          <w:szCs w:val="24"/>
          <w:spacing w:val="-1"/>
        </w:rPr>
        <w:t>头，用水量为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36m</w:t>
      </w:r>
      <w:r>
        <w:rPr>
          <w:rFonts w:ascii="Times New Roman" w:hAnsi="Times New Roman" w:eastAsia="Times New Roman" w:cs="Times New Roman"/>
          <w:sz w:val="16"/>
          <w:szCs w:val="16"/>
          <w:spacing w:val="-1"/>
          <w:position w:val="10"/>
        </w:rPr>
        <w:t>3</w:t>
      </w:r>
      <w:r>
        <w:rPr>
          <w:rFonts w:ascii="Times New Roman" w:hAnsi="Times New Roman" w:eastAsia="Times New Roman" w:cs="Times New Roman"/>
          <w:sz w:val="24"/>
          <w:szCs w:val="24"/>
          <w:spacing w:val="-1"/>
        </w:rPr>
        <w:t>/d</w:t>
      </w:r>
      <w:r>
        <w:rPr>
          <w:rFonts w:ascii="SimSun" w:hAnsi="SimSun" w:eastAsia="SimSun" w:cs="SimSun"/>
          <w:sz w:val="24"/>
          <w:szCs w:val="24"/>
          <w:spacing w:val="-1"/>
        </w:rPr>
        <w:t>（</w:t>
      </w:r>
      <w:r>
        <w:rPr>
          <w:rFonts w:ascii="Times New Roman" w:hAnsi="Times New Roman" w:eastAsia="Times New Roman" w:cs="Times New Roman"/>
          <w:sz w:val="24"/>
          <w:szCs w:val="24"/>
          <w:spacing w:val="-1"/>
        </w:rPr>
        <w:t>13140m</w:t>
      </w:r>
      <w:r>
        <w:rPr>
          <w:rFonts w:ascii="Times New Roman" w:hAnsi="Times New Roman" w:eastAsia="Times New Roman" w:cs="Times New Roman"/>
          <w:sz w:val="16"/>
          <w:szCs w:val="16"/>
          <w:spacing w:val="-1"/>
          <w:position w:val="10"/>
        </w:rPr>
        <w:t>3</w:t>
      </w:r>
      <w:r>
        <w:rPr>
          <w:rFonts w:ascii="Times New Roman" w:hAnsi="Times New Roman" w:eastAsia="Times New Roman" w:cs="Times New Roman"/>
          <w:sz w:val="24"/>
          <w:szCs w:val="24"/>
          <w:spacing w:val="-1"/>
        </w:rPr>
        <w:t>/a</w:t>
      </w:r>
      <w:r>
        <w:rPr>
          <w:rFonts w:ascii="SimSun" w:hAnsi="SimSun" w:eastAsia="SimSun" w:cs="SimSun"/>
          <w:sz w:val="24"/>
          <w:szCs w:val="24"/>
          <w:spacing w:val="-1"/>
        </w:rPr>
        <w:t>）</w:t>
      </w:r>
    </w:p>
    <w:p>
      <w:pPr>
        <w:ind w:left="609"/>
        <w:spacing w:before="13" w:line="217" w:lineRule="auto"/>
        <w:rPr>
          <w:rFonts w:ascii="SimSun" w:hAnsi="SimSun" w:eastAsia="SimSun" w:cs="SimSun"/>
          <w:sz w:val="24"/>
          <w:szCs w:val="24"/>
        </w:rPr>
      </w:pPr>
      <w:r>
        <w:rPr>
          <w:rFonts w:ascii="SimSun" w:hAnsi="SimSun" w:eastAsia="SimSun" w:cs="SimSun"/>
          <w:sz w:val="24"/>
          <w:szCs w:val="24"/>
          <w:spacing w:val="-2"/>
        </w:rPr>
        <w:t>③消毒用水</w:t>
      </w:r>
    </w:p>
    <w:p>
      <w:pPr>
        <w:ind w:left="132" w:right="105" w:firstLine="481"/>
        <w:spacing w:before="182" w:line="352" w:lineRule="auto"/>
        <w:rPr>
          <w:rFonts w:ascii="SimSun" w:hAnsi="SimSun" w:eastAsia="SimSun" w:cs="SimSun"/>
          <w:sz w:val="24"/>
          <w:szCs w:val="24"/>
        </w:rPr>
      </w:pPr>
      <w:r>
        <w:rPr>
          <w:rFonts w:ascii="SimSun" w:hAnsi="SimSun" w:eastAsia="SimSun" w:cs="SimSun"/>
          <w:sz w:val="24"/>
          <w:szCs w:val="24"/>
          <w:spacing w:val="2"/>
        </w:rPr>
        <w:t>为满足防疫及卫生要求，需定期对项目场区内进行消毒，为减少恶臭气体对</w:t>
      </w:r>
      <w:r>
        <w:rPr>
          <w:rFonts w:ascii="SimSun" w:hAnsi="SimSun" w:eastAsia="SimSun" w:cs="SimSun"/>
          <w:sz w:val="24"/>
          <w:szCs w:val="24"/>
          <w:spacing w:val="-1"/>
        </w:rPr>
        <w:t>周围环境的影响，需定期喷洒除臭剂，药水需用清水稀释配比，用水量为</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1"/>
        </w:rPr>
        <w:t>1.0m</w:t>
      </w:r>
      <w:r>
        <w:rPr>
          <w:rFonts w:ascii="Times New Roman" w:hAnsi="Times New Roman" w:eastAsia="Times New Roman" w:cs="Times New Roman"/>
          <w:sz w:val="16"/>
          <w:szCs w:val="16"/>
          <w:spacing w:val="-1"/>
          <w:position w:val="10"/>
        </w:rPr>
        <w:t>3</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365m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24"/>
          <w:szCs w:val="24"/>
          <w:spacing w:val="-3"/>
        </w:rPr>
        <w:t>/a</w:t>
      </w:r>
      <w:r>
        <w:rPr>
          <w:rFonts w:ascii="SimSun" w:hAnsi="SimSun" w:eastAsia="SimSun" w:cs="SimSun"/>
          <w:sz w:val="24"/>
          <w:szCs w:val="24"/>
          <w:spacing w:val="-3"/>
        </w:rPr>
        <w:t>）。</w:t>
      </w:r>
    </w:p>
    <w:p>
      <w:pPr>
        <w:ind w:left="130" w:right="103" w:firstLine="481"/>
        <w:spacing w:before="4" w:line="360" w:lineRule="auto"/>
        <w:jc w:val="both"/>
        <w:rPr>
          <w:rFonts w:ascii="SimSun" w:hAnsi="SimSun" w:eastAsia="SimSun" w:cs="SimSun"/>
          <w:sz w:val="24"/>
          <w:szCs w:val="24"/>
        </w:rPr>
      </w:pPr>
      <w:r>
        <w:rPr>
          <w:rFonts w:ascii="SimSun" w:hAnsi="SimSun" w:eastAsia="SimSun" w:cs="SimSun"/>
          <w:sz w:val="24"/>
          <w:szCs w:val="24"/>
          <w:spacing w:val="-5"/>
        </w:rPr>
        <w:t>本项目养殖用水由场区内</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5"/>
        </w:rPr>
        <w:t>眼</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150m </w:t>
      </w:r>
      <w:r>
        <w:rPr>
          <w:rFonts w:ascii="SimSun" w:hAnsi="SimSun" w:eastAsia="SimSun" w:cs="SimSun"/>
          <w:sz w:val="24"/>
          <w:szCs w:val="24"/>
          <w:spacing w:val="-5"/>
        </w:rPr>
        <w:t>深</w:t>
      </w:r>
      <w:r>
        <w:rPr>
          <w:rFonts w:ascii="SimSun" w:hAnsi="SimSun" w:eastAsia="SimSun" w:cs="SimSun"/>
          <w:sz w:val="24"/>
          <w:szCs w:val="24"/>
          <w:spacing w:val="-6"/>
        </w:rPr>
        <w:t>水井统一供给，出水量均为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6"/>
        </w:rPr>
        <w:t>50m</w:t>
      </w:r>
      <w:r>
        <w:rPr>
          <w:rFonts w:ascii="Times New Roman" w:hAnsi="Times New Roman" w:eastAsia="Times New Roman" w:cs="Times New Roman"/>
          <w:sz w:val="16"/>
          <w:szCs w:val="16"/>
          <w:spacing w:val="-6"/>
          <w:position w:val="10"/>
        </w:rPr>
        <w:t>3</w:t>
      </w:r>
      <w:r>
        <w:rPr>
          <w:rFonts w:ascii="Times New Roman" w:hAnsi="Times New Roman" w:eastAsia="Times New Roman" w:cs="Times New Roman"/>
          <w:sz w:val="24"/>
          <w:szCs w:val="24"/>
          <w:spacing w:val="-6"/>
        </w:rPr>
        <w:t>/h</w:t>
      </w:r>
      <w:r>
        <w:rPr>
          <w:rFonts w:ascii="SimSun" w:hAnsi="SimSun" w:eastAsia="SimSun" w:cs="SimSun"/>
          <w:sz w:val="24"/>
          <w:szCs w:val="24"/>
          <w:spacing w:val="-6"/>
        </w:rPr>
        <w:t>，能</w:t>
      </w:r>
      <w:r>
        <w:rPr>
          <w:rFonts w:ascii="SimSun" w:hAnsi="SimSun" w:eastAsia="SimSun" w:cs="SimSun"/>
          <w:sz w:val="24"/>
          <w:szCs w:val="24"/>
          <w:spacing w:val="3"/>
        </w:rPr>
        <w:t>够满足项目用水需要，生活用水外购桶装水，能够满足项</w:t>
      </w:r>
      <w:r>
        <w:rPr>
          <w:rFonts w:ascii="SimSun" w:hAnsi="SimSun" w:eastAsia="SimSun" w:cs="SimSun"/>
          <w:sz w:val="24"/>
          <w:szCs w:val="24"/>
          <w:spacing w:val="2"/>
        </w:rPr>
        <w:t>目用水需求。本项目用</w:t>
      </w:r>
      <w:r>
        <w:rPr>
          <w:rFonts w:ascii="SimSun" w:hAnsi="SimSun" w:eastAsia="SimSun" w:cs="SimSun"/>
          <w:sz w:val="24"/>
          <w:szCs w:val="24"/>
          <w:spacing w:val="-2"/>
        </w:rPr>
        <w:t>水情况详见表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3-4</w:t>
      </w:r>
      <w:r>
        <w:rPr>
          <w:rFonts w:ascii="SimSun" w:hAnsi="SimSun" w:eastAsia="SimSun" w:cs="SimSun"/>
          <w:sz w:val="24"/>
          <w:szCs w:val="24"/>
          <w:spacing w:val="-2"/>
        </w:rPr>
        <w:t>。</w:t>
      </w:r>
    </w:p>
    <w:p>
      <w:pPr>
        <w:ind w:left="2684"/>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3-4      </w:t>
      </w:r>
      <w:r>
        <w:rPr>
          <w:rFonts w:ascii="SimSun" w:hAnsi="SimSun" w:eastAsia="SimSun" w:cs="SimSun"/>
          <w:sz w:val="24"/>
          <w:szCs w:val="24"/>
          <w:b/>
          <w:bCs/>
          <w:spacing w:val="-2"/>
        </w:rPr>
        <w:t>本项目用水情况一览表</w:t>
      </w:r>
    </w:p>
    <w:p>
      <w:pPr>
        <w:spacing w:line="13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4"/>
        <w:gridCol w:w="1025"/>
        <w:gridCol w:w="1222"/>
        <w:gridCol w:w="1692"/>
        <w:gridCol w:w="1649"/>
        <w:gridCol w:w="903"/>
      </w:tblGrid>
      <w:tr>
        <w:trPr>
          <w:trHeight w:val="546" w:hRule="atLeast"/>
        </w:trPr>
        <w:tc>
          <w:tcPr>
            <w:tcW w:w="2244" w:type="dxa"/>
            <w:vAlign w:val="top"/>
            <w:tcBorders>
              <w:left w:val="nil"/>
              <w:top w:val="single" w:color="000000" w:sz="10" w:space="0"/>
            </w:tcBorders>
          </w:tcPr>
          <w:p>
            <w:pPr>
              <w:pStyle w:val="TableText"/>
              <w:ind w:left="927"/>
              <w:spacing w:before="170" w:line="223" w:lineRule="auto"/>
              <w:rPr/>
            </w:pPr>
            <w:r>
              <w:rPr>
                <w:b/>
                <w:bCs/>
                <w:spacing w:val="-5"/>
              </w:rPr>
              <w:t>名称</w:t>
            </w:r>
          </w:p>
        </w:tc>
        <w:tc>
          <w:tcPr>
            <w:tcW w:w="1025" w:type="dxa"/>
            <w:vAlign w:val="top"/>
            <w:tcBorders>
              <w:top w:val="single" w:color="000000" w:sz="10" w:space="0"/>
            </w:tcBorders>
          </w:tcPr>
          <w:p>
            <w:pPr>
              <w:pStyle w:val="TableText"/>
              <w:ind w:left="307"/>
              <w:spacing w:before="169" w:line="221" w:lineRule="auto"/>
              <w:rPr/>
            </w:pPr>
            <w:r>
              <w:rPr>
                <w:b/>
                <w:bCs/>
                <w:spacing w:val="-5"/>
              </w:rPr>
              <w:t>数量</w:t>
            </w:r>
          </w:p>
        </w:tc>
        <w:tc>
          <w:tcPr>
            <w:tcW w:w="1222" w:type="dxa"/>
            <w:vAlign w:val="top"/>
            <w:tcBorders>
              <w:top w:val="single" w:color="000000" w:sz="10" w:space="0"/>
            </w:tcBorders>
          </w:tcPr>
          <w:p>
            <w:pPr>
              <w:pStyle w:val="TableText"/>
              <w:ind w:left="406"/>
              <w:spacing w:before="33" w:line="221" w:lineRule="auto"/>
              <w:rPr/>
            </w:pPr>
            <w:r>
              <w:rPr>
                <w:b/>
                <w:bCs/>
                <w:spacing w:val="-5"/>
              </w:rPr>
              <w:t>用水</w:t>
            </w:r>
          </w:p>
          <w:p>
            <w:pPr>
              <w:pStyle w:val="TableText"/>
              <w:ind w:left="409"/>
              <w:spacing w:before="22" w:line="201" w:lineRule="auto"/>
              <w:rPr/>
            </w:pPr>
            <w:r>
              <w:rPr>
                <w:b/>
                <w:bCs/>
                <w:spacing w:val="-5"/>
              </w:rPr>
              <w:t>定额</w:t>
            </w:r>
          </w:p>
        </w:tc>
        <w:tc>
          <w:tcPr>
            <w:tcW w:w="1692" w:type="dxa"/>
            <w:vAlign w:val="top"/>
            <w:tcBorders>
              <w:top w:val="single" w:color="000000" w:sz="10" w:space="0"/>
            </w:tcBorders>
          </w:tcPr>
          <w:p>
            <w:pPr>
              <w:pStyle w:val="TableText"/>
              <w:ind w:left="433" w:right="210" w:hanging="214"/>
              <w:spacing w:before="33" w:line="221" w:lineRule="auto"/>
              <w:rPr/>
            </w:pPr>
            <w:r>
              <w:rPr>
                <w:b/>
                <w:bCs/>
                <w:spacing w:val="-3"/>
              </w:rPr>
              <w:t>最大日用水量</w:t>
            </w:r>
            <w:r>
              <w:rPr>
                <w:b/>
                <w:bCs/>
                <w:spacing w:val="-3"/>
              </w:rPr>
              <w:t>（</w:t>
            </w:r>
            <w:r>
              <w:rPr>
                <w:rFonts w:ascii="Times New Roman" w:hAnsi="Times New Roman" w:eastAsia="Times New Roman" w:cs="Times New Roman"/>
                <w:b/>
                <w:bCs/>
                <w:spacing w:val="-3"/>
              </w:rPr>
              <w:t>m</w:t>
            </w:r>
            <w:r>
              <w:rPr>
                <w:rFonts w:ascii="Times New Roman" w:hAnsi="Times New Roman" w:eastAsia="Times New Roman" w:cs="Times New Roman"/>
                <w:sz w:val="13"/>
                <w:szCs w:val="13"/>
                <w:b/>
                <w:bCs/>
                <w:spacing w:val="-3"/>
                <w:position w:val="9"/>
              </w:rPr>
              <w:t>3</w:t>
            </w:r>
            <w:r>
              <w:rPr>
                <w:rFonts w:ascii="Times New Roman" w:hAnsi="Times New Roman" w:eastAsia="Times New Roman" w:cs="Times New Roman"/>
                <w:b/>
                <w:bCs/>
                <w:spacing w:val="-3"/>
              </w:rPr>
              <w:t>/d</w:t>
            </w:r>
            <w:r>
              <w:rPr>
                <w:b/>
                <w:bCs/>
                <w:spacing w:val="-3"/>
              </w:rPr>
              <w:t>）</w:t>
            </w:r>
          </w:p>
        </w:tc>
        <w:tc>
          <w:tcPr>
            <w:tcW w:w="1649" w:type="dxa"/>
            <w:vAlign w:val="top"/>
            <w:tcBorders>
              <w:top w:val="single" w:color="000000" w:sz="10" w:space="0"/>
            </w:tcBorders>
          </w:tcPr>
          <w:p>
            <w:pPr>
              <w:pStyle w:val="TableText"/>
              <w:ind w:left="418" w:right="399" w:hanging="10"/>
              <w:spacing w:before="33" w:line="221" w:lineRule="auto"/>
              <w:rPr/>
            </w:pPr>
            <w:r>
              <w:rPr>
                <w:b/>
                <w:bCs/>
                <w:spacing w:val="-4"/>
              </w:rPr>
              <w:t>年用水量</w:t>
            </w:r>
            <w:r>
              <w:rPr>
                <w:b/>
                <w:bCs/>
                <w:spacing w:val="-3"/>
              </w:rPr>
              <w:t>（</w:t>
            </w:r>
            <w:r>
              <w:rPr>
                <w:rFonts w:ascii="Times New Roman" w:hAnsi="Times New Roman" w:eastAsia="Times New Roman" w:cs="Times New Roman"/>
                <w:b/>
                <w:bCs/>
                <w:spacing w:val="-3"/>
              </w:rPr>
              <w:t>m</w:t>
            </w:r>
            <w:r>
              <w:rPr>
                <w:rFonts w:ascii="Times New Roman" w:hAnsi="Times New Roman" w:eastAsia="Times New Roman" w:cs="Times New Roman"/>
                <w:sz w:val="13"/>
                <w:szCs w:val="13"/>
                <w:b/>
                <w:bCs/>
                <w:spacing w:val="-3"/>
                <w:position w:val="9"/>
              </w:rPr>
              <w:t>3</w:t>
            </w:r>
            <w:r>
              <w:rPr>
                <w:rFonts w:ascii="Times New Roman" w:hAnsi="Times New Roman" w:eastAsia="Times New Roman" w:cs="Times New Roman"/>
                <w:b/>
                <w:bCs/>
                <w:spacing w:val="-3"/>
              </w:rPr>
              <w:t>/a</w:t>
            </w:r>
            <w:r>
              <w:rPr>
                <w:b/>
                <w:bCs/>
                <w:spacing w:val="-3"/>
              </w:rPr>
              <w:t>）</w:t>
            </w:r>
          </w:p>
        </w:tc>
        <w:tc>
          <w:tcPr>
            <w:tcW w:w="903" w:type="dxa"/>
            <w:vAlign w:val="top"/>
            <w:tcBorders>
              <w:right w:val="nil"/>
              <w:top w:val="single" w:color="000000" w:sz="10" w:space="0"/>
            </w:tcBorders>
          </w:tcPr>
          <w:p>
            <w:pPr>
              <w:pStyle w:val="TableText"/>
              <w:ind w:left="248"/>
              <w:spacing w:before="170" w:line="222" w:lineRule="auto"/>
              <w:rPr/>
            </w:pPr>
            <w:r>
              <w:rPr>
                <w:b/>
                <w:bCs/>
                <w:spacing w:val="-5"/>
              </w:rPr>
              <w:t>备注</w:t>
            </w:r>
          </w:p>
        </w:tc>
      </w:tr>
      <w:tr>
        <w:trPr>
          <w:trHeight w:val="390" w:hRule="atLeast"/>
        </w:trPr>
        <w:tc>
          <w:tcPr>
            <w:tcW w:w="2244" w:type="dxa"/>
            <w:vAlign w:val="top"/>
            <w:tcBorders>
              <w:left w:val="nil"/>
            </w:tcBorders>
          </w:tcPr>
          <w:p>
            <w:pPr>
              <w:pStyle w:val="TableText"/>
              <w:ind w:left="721"/>
              <w:spacing w:before="96" w:line="221" w:lineRule="auto"/>
              <w:rPr/>
            </w:pPr>
            <w:r>
              <w:rPr>
                <w:spacing w:val="-3"/>
              </w:rPr>
              <w:t>牛饮用水</w:t>
            </w:r>
          </w:p>
        </w:tc>
        <w:tc>
          <w:tcPr>
            <w:tcW w:w="1025" w:type="dxa"/>
            <w:vAlign w:val="top"/>
          </w:tcPr>
          <w:p>
            <w:pPr>
              <w:pStyle w:val="TableText"/>
              <w:ind w:left="230"/>
              <w:spacing w:before="97" w:line="234" w:lineRule="auto"/>
              <w:rPr/>
            </w:pPr>
            <w:r>
              <w:rPr>
                <w:rFonts w:ascii="Times New Roman" w:hAnsi="Times New Roman" w:eastAsia="Times New Roman" w:cs="Times New Roman"/>
                <w:spacing w:val="-2"/>
              </w:rPr>
              <w:t>600</w:t>
            </w:r>
            <w:r>
              <w:rPr>
                <w:rFonts w:ascii="Times New Roman" w:hAnsi="Times New Roman" w:eastAsia="Times New Roman" w:cs="Times New Roman"/>
                <w:spacing w:val="11"/>
              </w:rPr>
              <w:t xml:space="preserve"> </w:t>
            </w:r>
            <w:r>
              <w:rPr>
                <w:spacing w:val="-2"/>
              </w:rPr>
              <w:t>头</w:t>
            </w:r>
          </w:p>
        </w:tc>
        <w:tc>
          <w:tcPr>
            <w:tcW w:w="1222" w:type="dxa"/>
            <w:vAlign w:val="top"/>
          </w:tcPr>
          <w:p>
            <w:pPr>
              <w:pStyle w:val="TableText"/>
              <w:ind w:left="225"/>
              <w:spacing w:before="97" w:line="234" w:lineRule="auto"/>
              <w:rPr>
                <w:rFonts w:ascii="Times New Roman" w:hAnsi="Times New Roman" w:eastAsia="Times New Roman" w:cs="Times New Roman"/>
              </w:rPr>
            </w:pPr>
            <w:r>
              <w:rPr>
                <w:rFonts w:ascii="Times New Roman" w:hAnsi="Times New Roman" w:eastAsia="Times New Roman" w:cs="Times New Roman"/>
                <w:spacing w:val="11"/>
              </w:rPr>
              <w:t>60L/</w:t>
            </w:r>
            <w:r>
              <w:rPr>
                <w:spacing w:val="11"/>
              </w:rPr>
              <w:t>头</w:t>
            </w:r>
            <w:r>
              <w:rPr>
                <w:rFonts w:ascii="Times New Roman" w:hAnsi="Times New Roman" w:eastAsia="Times New Roman" w:cs="Times New Roman"/>
                <w:spacing w:val="11"/>
              </w:rPr>
              <w:t>·d</w:t>
            </w:r>
          </w:p>
        </w:tc>
        <w:tc>
          <w:tcPr>
            <w:tcW w:w="1692" w:type="dxa"/>
            <w:vAlign w:val="top"/>
          </w:tcPr>
          <w:p>
            <w:pPr>
              <w:ind w:left="743"/>
              <w:spacing w:before="12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tc>
        <w:tc>
          <w:tcPr>
            <w:tcW w:w="1649" w:type="dxa"/>
            <w:vAlign w:val="top"/>
          </w:tcPr>
          <w:p>
            <w:pPr>
              <w:ind w:left="582"/>
              <w:spacing w:before="12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13140</w:t>
            </w:r>
          </w:p>
        </w:tc>
        <w:tc>
          <w:tcPr>
            <w:tcW w:w="903" w:type="dxa"/>
            <w:vAlign w:val="top"/>
            <w:tcBorders>
              <w:right w:val="nil"/>
            </w:tcBorders>
          </w:tcPr>
          <w:p>
            <w:pPr>
              <w:ind w:left="246"/>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365d</w:t>
            </w:r>
          </w:p>
        </w:tc>
      </w:tr>
      <w:tr>
        <w:trPr>
          <w:trHeight w:val="272" w:hRule="atLeast"/>
        </w:trPr>
        <w:tc>
          <w:tcPr>
            <w:tcW w:w="2244" w:type="dxa"/>
            <w:vAlign w:val="top"/>
            <w:tcBorders>
              <w:left w:val="nil"/>
            </w:tcBorders>
          </w:tcPr>
          <w:p>
            <w:pPr>
              <w:pStyle w:val="TableText"/>
              <w:ind w:left="508"/>
              <w:spacing w:before="43" w:line="192" w:lineRule="auto"/>
              <w:rPr/>
            </w:pPr>
            <w:r>
              <w:rPr>
                <w:spacing w:val="-1"/>
              </w:rPr>
              <w:t>职工生活用水</w:t>
            </w:r>
          </w:p>
        </w:tc>
        <w:tc>
          <w:tcPr>
            <w:tcW w:w="1025" w:type="dxa"/>
            <w:vAlign w:val="top"/>
          </w:tcPr>
          <w:p>
            <w:pPr>
              <w:pStyle w:val="TableText"/>
              <w:ind w:left="298"/>
              <w:spacing w:before="43" w:line="192" w:lineRule="auto"/>
              <w:rPr/>
            </w:pPr>
            <w:r>
              <w:rPr>
                <w:rFonts w:ascii="Times New Roman" w:hAnsi="Times New Roman" w:eastAsia="Times New Roman" w:cs="Times New Roman"/>
                <w:spacing w:val="-8"/>
              </w:rPr>
              <w:t>10</w:t>
            </w:r>
            <w:r>
              <w:rPr>
                <w:rFonts w:ascii="Times New Roman" w:hAnsi="Times New Roman" w:eastAsia="Times New Roman" w:cs="Times New Roman"/>
                <w:spacing w:val="10"/>
              </w:rPr>
              <w:t xml:space="preserve"> </w:t>
            </w:r>
            <w:r>
              <w:rPr>
                <w:spacing w:val="-8"/>
              </w:rPr>
              <w:t>人</w:t>
            </w:r>
          </w:p>
        </w:tc>
        <w:tc>
          <w:tcPr>
            <w:tcW w:w="1222" w:type="dxa"/>
            <w:vAlign w:val="top"/>
          </w:tcPr>
          <w:p>
            <w:pPr>
              <w:pStyle w:val="TableText"/>
              <w:ind w:left="225"/>
              <w:spacing w:before="43" w:line="192" w:lineRule="auto"/>
              <w:rPr>
                <w:rFonts w:ascii="Times New Roman" w:hAnsi="Times New Roman" w:eastAsia="Times New Roman" w:cs="Times New Roman"/>
              </w:rPr>
            </w:pPr>
            <w:r>
              <w:rPr>
                <w:rFonts w:ascii="Times New Roman" w:hAnsi="Times New Roman" w:eastAsia="Times New Roman" w:cs="Times New Roman"/>
                <w:spacing w:val="11"/>
              </w:rPr>
              <w:t>60L/</w:t>
            </w:r>
            <w:r>
              <w:rPr>
                <w:spacing w:val="11"/>
              </w:rPr>
              <w:t>人</w:t>
            </w:r>
            <w:r>
              <w:rPr>
                <w:rFonts w:ascii="Times New Roman" w:hAnsi="Times New Roman" w:eastAsia="Times New Roman" w:cs="Times New Roman"/>
                <w:spacing w:val="11"/>
              </w:rPr>
              <w:t>·d</w:t>
            </w:r>
          </w:p>
        </w:tc>
        <w:tc>
          <w:tcPr>
            <w:tcW w:w="1692" w:type="dxa"/>
            <w:vAlign w:val="top"/>
          </w:tcPr>
          <w:p>
            <w:pPr>
              <w:ind w:left="718"/>
              <w:spacing w:before="70"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649" w:type="dxa"/>
            <w:vAlign w:val="top"/>
          </w:tcPr>
          <w:p>
            <w:pPr>
              <w:ind w:left="667"/>
              <w:spacing w:before="70"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219</w:t>
            </w:r>
          </w:p>
        </w:tc>
        <w:tc>
          <w:tcPr>
            <w:tcW w:w="903" w:type="dxa"/>
            <w:vAlign w:val="top"/>
            <w:tcBorders>
              <w:right w:val="nil"/>
            </w:tcBorders>
          </w:tcPr>
          <w:p>
            <w:pPr>
              <w:ind w:left="246"/>
              <w:spacing w:before="70"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365d</w:t>
            </w:r>
          </w:p>
        </w:tc>
      </w:tr>
      <w:tr>
        <w:trPr>
          <w:trHeight w:val="274" w:hRule="atLeast"/>
        </w:trPr>
        <w:tc>
          <w:tcPr>
            <w:tcW w:w="2244" w:type="dxa"/>
            <w:vAlign w:val="top"/>
            <w:tcBorders>
              <w:left w:val="nil"/>
            </w:tcBorders>
          </w:tcPr>
          <w:p>
            <w:pPr>
              <w:pStyle w:val="TableText"/>
              <w:ind w:left="720"/>
              <w:spacing w:before="46" w:line="191" w:lineRule="auto"/>
              <w:rPr/>
            </w:pPr>
            <w:r>
              <w:rPr>
                <w:spacing w:val="-3"/>
              </w:rPr>
              <w:t>消毒用水</w:t>
            </w:r>
          </w:p>
        </w:tc>
        <w:tc>
          <w:tcPr>
            <w:tcW w:w="1025" w:type="dxa"/>
            <w:vAlign w:val="top"/>
          </w:tcPr>
          <w:p>
            <w:pPr>
              <w:ind w:left="480"/>
              <w:spacing w:before="7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22" w:type="dxa"/>
            <w:vAlign w:val="top"/>
          </w:tcPr>
          <w:p>
            <w:pPr>
              <w:ind w:left="382"/>
              <w:spacing w:before="26"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2"/>
              </w:rPr>
              <w:t>1m</w:t>
            </w:r>
            <w:r>
              <w:rPr>
                <w:rFonts w:ascii="Times New Roman" w:hAnsi="Times New Roman" w:eastAsia="Times New Roman" w:cs="Times New Roman"/>
                <w:sz w:val="13"/>
                <w:szCs w:val="13"/>
                <w:position w:val="9"/>
              </w:rPr>
              <w:t>3</w:t>
            </w:r>
            <w:r>
              <w:rPr>
                <w:rFonts w:ascii="Times New Roman" w:hAnsi="Times New Roman" w:eastAsia="Times New Roman" w:cs="Times New Roman"/>
                <w:sz w:val="21"/>
                <w:szCs w:val="21"/>
              </w:rPr>
              <w:t>/d</w:t>
            </w:r>
          </w:p>
        </w:tc>
        <w:tc>
          <w:tcPr>
            <w:tcW w:w="1692" w:type="dxa"/>
            <w:vAlign w:val="top"/>
          </w:tcPr>
          <w:p>
            <w:pPr>
              <w:ind w:left="735"/>
              <w:spacing w:before="7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649" w:type="dxa"/>
            <w:vAlign w:val="top"/>
          </w:tcPr>
          <w:p>
            <w:pPr>
              <w:ind w:left="671"/>
              <w:spacing w:before="7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w:t>
            </w:r>
          </w:p>
        </w:tc>
        <w:tc>
          <w:tcPr>
            <w:tcW w:w="903" w:type="dxa"/>
            <w:vAlign w:val="top"/>
            <w:tcBorders>
              <w:right w:val="nil"/>
            </w:tcBorders>
          </w:tcPr>
          <w:p>
            <w:pPr>
              <w:ind w:left="246"/>
              <w:spacing w:before="7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365d</w:t>
            </w:r>
          </w:p>
        </w:tc>
      </w:tr>
      <w:tr>
        <w:trPr>
          <w:trHeight w:val="298" w:hRule="atLeast"/>
        </w:trPr>
        <w:tc>
          <w:tcPr>
            <w:tcW w:w="4491" w:type="dxa"/>
            <w:vAlign w:val="top"/>
            <w:gridSpan w:val="3"/>
            <w:tcBorders>
              <w:left w:val="nil"/>
              <w:bottom w:val="single" w:color="000000" w:sz="10" w:space="0"/>
            </w:tcBorders>
          </w:tcPr>
          <w:p>
            <w:pPr>
              <w:pStyle w:val="TableText"/>
              <w:ind w:left="2052"/>
              <w:spacing w:before="51" w:line="208" w:lineRule="auto"/>
              <w:rPr/>
            </w:pPr>
            <w:r>
              <w:rPr>
                <w:spacing w:val="-2"/>
              </w:rPr>
              <w:t>合计</w:t>
            </w:r>
          </w:p>
        </w:tc>
        <w:tc>
          <w:tcPr>
            <w:tcW w:w="1692" w:type="dxa"/>
            <w:vAlign w:val="top"/>
            <w:tcBorders>
              <w:bottom w:val="single" w:color="000000" w:sz="10" w:space="0"/>
            </w:tcBorders>
          </w:tcPr>
          <w:p>
            <w:pPr>
              <w:ind w:left="666"/>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37.6</w:t>
            </w:r>
          </w:p>
        </w:tc>
        <w:tc>
          <w:tcPr>
            <w:tcW w:w="1649" w:type="dxa"/>
            <w:vAlign w:val="top"/>
            <w:tcBorders>
              <w:bottom w:val="single" w:color="000000" w:sz="10" w:space="0"/>
            </w:tcBorders>
          </w:tcPr>
          <w:p>
            <w:pPr>
              <w:ind w:left="582"/>
              <w:spacing w:before="7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13724</w:t>
            </w:r>
          </w:p>
        </w:tc>
        <w:tc>
          <w:tcPr>
            <w:tcW w:w="903" w:type="dxa"/>
            <w:vAlign w:val="top"/>
            <w:tcBorders>
              <w:right w:val="nil"/>
              <w:bottom w:val="single" w:color="000000" w:sz="10" w:space="0"/>
            </w:tcBorders>
          </w:tcPr>
          <w:p>
            <w:pPr>
              <w:rPr>
                <w:rFonts w:ascii="Arial"/>
                <w:sz w:val="21"/>
              </w:rPr>
            </w:pPr>
            <w:r/>
          </w:p>
        </w:tc>
      </w:tr>
    </w:tbl>
    <w:p>
      <w:pPr>
        <w:ind w:left="618"/>
        <w:spacing w:before="35"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）排水</w:t>
      </w:r>
    </w:p>
    <w:p>
      <w:pPr>
        <w:ind w:left="130" w:right="103" w:firstLine="481"/>
        <w:spacing w:before="163" w:line="359" w:lineRule="auto"/>
        <w:rPr>
          <w:rFonts w:ascii="SimSun" w:hAnsi="SimSun" w:eastAsia="SimSun" w:cs="SimSun"/>
          <w:sz w:val="24"/>
          <w:szCs w:val="24"/>
        </w:rPr>
      </w:pPr>
      <w:r>
        <w:rPr>
          <w:rFonts w:ascii="SimSun" w:hAnsi="SimSun" w:eastAsia="SimSun" w:cs="SimSun"/>
          <w:sz w:val="24"/>
          <w:szCs w:val="24"/>
          <w:spacing w:val="2"/>
        </w:rPr>
        <w:t>本项目消毒用水全部蒸发损耗，本项目采用微生物原位发酵床技术，牛尿进</w:t>
      </w:r>
      <w:r>
        <w:rPr>
          <w:rFonts w:ascii="SimSun" w:hAnsi="SimSun" w:eastAsia="SimSun" w:cs="SimSun"/>
          <w:sz w:val="24"/>
          <w:szCs w:val="24"/>
          <w:spacing w:val="13"/>
        </w:rPr>
        <w:t>入垫料内，</w:t>
      </w:r>
      <w:r>
        <w:rPr>
          <w:rFonts w:ascii="SimSun" w:hAnsi="SimSun" w:eastAsia="SimSun" w:cs="SimSun"/>
          <w:sz w:val="24"/>
          <w:szCs w:val="24"/>
          <w:spacing w:val="-69"/>
        </w:rPr>
        <w:t xml:space="preserve"> </w:t>
      </w:r>
      <w:r>
        <w:rPr>
          <w:rFonts w:ascii="SimSun" w:hAnsi="SimSun" w:eastAsia="SimSun" w:cs="SimSun"/>
          <w:sz w:val="24"/>
          <w:szCs w:val="24"/>
          <w:spacing w:val="13"/>
        </w:rPr>
        <w:t>不外排，</w:t>
      </w:r>
      <w:r>
        <w:rPr>
          <w:rFonts w:ascii="SimSun" w:hAnsi="SimSun" w:eastAsia="SimSun" w:cs="SimSun"/>
          <w:sz w:val="24"/>
          <w:szCs w:val="24"/>
          <w:spacing w:val="-69"/>
        </w:rPr>
        <w:t xml:space="preserve"> </w:t>
      </w:r>
      <w:r>
        <w:rPr>
          <w:rFonts w:ascii="SimSun" w:hAnsi="SimSun" w:eastAsia="SimSun" w:cs="SimSun"/>
          <w:sz w:val="24"/>
          <w:szCs w:val="24"/>
          <w:spacing w:val="13"/>
        </w:rPr>
        <w:t>牛舍定期进行消毒处理，</w:t>
      </w:r>
      <w:r>
        <w:rPr>
          <w:rFonts w:ascii="SimSun" w:hAnsi="SimSun" w:eastAsia="SimSun" w:cs="SimSun"/>
          <w:sz w:val="24"/>
          <w:szCs w:val="24"/>
          <w:spacing w:val="-69"/>
        </w:rPr>
        <w:t xml:space="preserve"> </w:t>
      </w:r>
      <w:r>
        <w:rPr>
          <w:rFonts w:ascii="SimSun" w:hAnsi="SimSun" w:eastAsia="SimSun" w:cs="SimSun"/>
          <w:sz w:val="24"/>
          <w:szCs w:val="24"/>
          <w:spacing w:val="13"/>
        </w:rPr>
        <w:t>不冲洗，本项目废水产生</w:t>
      </w:r>
      <w:r>
        <w:rPr>
          <w:rFonts w:ascii="SimSun" w:hAnsi="SimSun" w:eastAsia="SimSun" w:cs="SimSun"/>
          <w:sz w:val="24"/>
          <w:szCs w:val="24"/>
          <w:spacing w:val="12"/>
        </w:rPr>
        <w:t>量为</w:t>
      </w:r>
      <w:r>
        <w:rPr>
          <w:rFonts w:ascii="Times New Roman" w:hAnsi="Times New Roman" w:eastAsia="Times New Roman" w:cs="Times New Roman"/>
          <w:sz w:val="24"/>
          <w:szCs w:val="24"/>
          <w:spacing w:val="-1"/>
        </w:rPr>
        <w:t>6005.345t/a</w:t>
      </w:r>
      <w:r>
        <w:rPr>
          <w:rFonts w:ascii="SimSun" w:hAnsi="SimSun" w:eastAsia="SimSun" w:cs="SimSun"/>
          <w:sz w:val="24"/>
          <w:szCs w:val="24"/>
          <w:spacing w:val="-1"/>
        </w:rPr>
        <w:t>。</w:t>
      </w:r>
    </w:p>
    <w:p>
      <w:pPr>
        <w:ind w:left="610"/>
        <w:spacing w:before="1" w:line="217" w:lineRule="auto"/>
        <w:rPr>
          <w:rFonts w:ascii="SimSun" w:hAnsi="SimSun" w:eastAsia="SimSun" w:cs="SimSun"/>
          <w:sz w:val="24"/>
          <w:szCs w:val="24"/>
        </w:rPr>
      </w:pPr>
      <w:r>
        <w:rPr>
          <w:rFonts w:ascii="SimSun" w:hAnsi="SimSun" w:eastAsia="SimSun" w:cs="SimSun"/>
          <w:sz w:val="24"/>
          <w:szCs w:val="24"/>
          <w:spacing w:val="-2"/>
        </w:rPr>
        <w:t>①生活污水</w:t>
      </w:r>
    </w:p>
    <w:p>
      <w:pPr>
        <w:ind w:left="138" w:right="105" w:firstLine="474"/>
        <w:spacing w:before="186" w:line="359" w:lineRule="auto"/>
        <w:rPr>
          <w:rFonts w:ascii="SimSun" w:hAnsi="SimSun" w:eastAsia="SimSun" w:cs="SimSun"/>
          <w:sz w:val="24"/>
          <w:szCs w:val="24"/>
        </w:rPr>
      </w:pPr>
      <w:r>
        <w:rPr>
          <w:rFonts w:ascii="SimSun" w:hAnsi="SimSun" w:eastAsia="SimSun" w:cs="SimSun"/>
          <w:sz w:val="24"/>
          <w:szCs w:val="24"/>
          <w:spacing w:val="-1"/>
        </w:rPr>
        <w:t>本项目职工生活污水产生量按用水量的 </w:t>
      </w:r>
      <w:r>
        <w:rPr>
          <w:rFonts w:ascii="Times New Roman" w:hAnsi="Times New Roman" w:eastAsia="Times New Roman" w:cs="Times New Roman"/>
          <w:sz w:val="24"/>
          <w:szCs w:val="24"/>
          <w:spacing w:val="-1"/>
        </w:rPr>
        <w:t>80%</w:t>
      </w:r>
      <w:r>
        <w:rPr>
          <w:rFonts w:ascii="SimSun" w:hAnsi="SimSun" w:eastAsia="SimSun" w:cs="SimSun"/>
          <w:sz w:val="24"/>
          <w:szCs w:val="24"/>
          <w:spacing w:val="-1"/>
        </w:rPr>
        <w:t>计，</w:t>
      </w:r>
      <w:r>
        <w:rPr>
          <w:rFonts w:ascii="SimSun" w:hAnsi="SimSun" w:eastAsia="SimSun" w:cs="SimSun"/>
          <w:sz w:val="24"/>
          <w:szCs w:val="24"/>
          <w:spacing w:val="-2"/>
        </w:rPr>
        <w:t>故生活污水产生量为 </w:t>
      </w:r>
      <w:r>
        <w:rPr>
          <w:rFonts w:ascii="Times New Roman" w:hAnsi="Times New Roman" w:eastAsia="Times New Roman" w:cs="Times New Roman"/>
          <w:sz w:val="24"/>
          <w:szCs w:val="24"/>
          <w:spacing w:val="-2"/>
        </w:rPr>
        <w:t>0.48t/d</w:t>
      </w:r>
      <w:r>
        <w:rPr>
          <w:rFonts w:ascii="Times New Roman" w:hAnsi="Times New Roman" w:eastAsia="Times New Roman" w:cs="Times New Roman"/>
          <w:sz w:val="24"/>
          <w:szCs w:val="24"/>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175.2t/a</w:t>
      </w:r>
      <w:r>
        <w:rPr>
          <w:rFonts w:ascii="SimSun" w:hAnsi="SimSun" w:eastAsia="SimSun" w:cs="SimSun"/>
          <w:sz w:val="24"/>
          <w:szCs w:val="24"/>
          <w:spacing w:val="5"/>
        </w:rPr>
        <w:t>），</w:t>
      </w:r>
      <w:r>
        <w:rPr>
          <w:rFonts w:ascii="SimSun" w:hAnsi="SimSun" w:eastAsia="SimSun" w:cs="SimSun"/>
          <w:sz w:val="24"/>
          <w:szCs w:val="24"/>
          <w:spacing w:val="-2"/>
        </w:rPr>
        <w:t>生活污水排防渗池，定期由环卫部门清抽处理。</w:t>
      </w:r>
    </w:p>
    <w:p>
      <w:pPr>
        <w:ind w:left="609"/>
        <w:spacing w:before="1" w:line="217" w:lineRule="auto"/>
        <w:rPr>
          <w:rFonts w:ascii="SimSun" w:hAnsi="SimSun" w:eastAsia="SimSun" w:cs="SimSun"/>
          <w:sz w:val="24"/>
          <w:szCs w:val="24"/>
        </w:rPr>
      </w:pPr>
      <w:r>
        <w:rPr>
          <w:rFonts w:ascii="SimSun" w:hAnsi="SimSun" w:eastAsia="SimSun" w:cs="SimSun"/>
          <w:sz w:val="24"/>
          <w:szCs w:val="24"/>
          <w:spacing w:val="-2"/>
        </w:rPr>
        <w:t>②牛尿</w:t>
      </w:r>
    </w:p>
    <w:p>
      <w:pPr>
        <w:ind w:left="124" w:right="107" w:firstLine="487"/>
        <w:spacing w:before="185" w:line="355" w:lineRule="auto"/>
        <w:rPr>
          <w:rFonts w:ascii="SimSun" w:hAnsi="SimSun" w:eastAsia="SimSun" w:cs="SimSun"/>
          <w:sz w:val="24"/>
          <w:szCs w:val="24"/>
        </w:rPr>
      </w:pPr>
      <w:r>
        <w:rPr>
          <w:rFonts w:ascii="SimSun" w:hAnsi="SimSun" w:eastAsia="SimSun" w:cs="SimSun"/>
          <w:sz w:val="24"/>
          <w:szCs w:val="24"/>
        </w:rPr>
        <w:t>根据《畜禽养殖污染防治最佳可行技术指南》</w:t>
      </w:r>
      <w:r>
        <w:rPr>
          <w:rFonts w:ascii="SimSun" w:hAnsi="SimSun" w:eastAsia="SimSun" w:cs="SimSun"/>
          <w:sz w:val="24"/>
          <w:szCs w:val="24"/>
          <w:spacing w:val="-1"/>
        </w:rPr>
        <w:t>中</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Yu=0.205+0.438W</w:t>
      </w:r>
      <w:r>
        <w:rPr>
          <w:rFonts w:ascii="SimSun" w:hAnsi="SimSun" w:eastAsia="SimSun" w:cs="SimSun"/>
          <w:sz w:val="24"/>
          <w:szCs w:val="24"/>
          <w:spacing w:val="-1"/>
        </w:rPr>
        <w:t>，式中：</w:t>
      </w:r>
      <w:r>
        <w:rPr>
          <w:rFonts w:ascii="SimSun" w:hAnsi="SimSun" w:eastAsia="SimSun" w:cs="SimSun"/>
          <w:sz w:val="24"/>
          <w:szCs w:val="24"/>
        </w:rPr>
        <w:t xml:space="preserve"> </w:t>
      </w:r>
      <w:r>
        <w:rPr>
          <w:rFonts w:ascii="Times New Roman" w:hAnsi="Times New Roman" w:eastAsia="Times New Roman" w:cs="Times New Roman"/>
          <w:sz w:val="24"/>
          <w:szCs w:val="24"/>
          <w:spacing w:val="-2"/>
        </w:rPr>
        <w:t>Yu-</w:t>
      </w:r>
      <w:r>
        <w:rPr>
          <w:rFonts w:ascii="SimSun" w:hAnsi="SimSun" w:eastAsia="SimSun" w:cs="SimSun"/>
          <w:sz w:val="24"/>
          <w:szCs w:val="24"/>
          <w:spacing w:val="-2"/>
        </w:rPr>
        <w:t>尿排泄量（</w:t>
      </w:r>
      <w:r>
        <w:rPr>
          <w:rFonts w:ascii="Times New Roman" w:hAnsi="Times New Roman" w:eastAsia="Times New Roman" w:cs="Times New Roman"/>
          <w:sz w:val="24"/>
          <w:szCs w:val="24"/>
          <w:spacing w:val="-2"/>
        </w:rPr>
        <w:t>kg</w:t>
      </w:r>
      <w:r>
        <w:rPr>
          <w:rFonts w:ascii="SimSun" w:hAnsi="SimSun" w:eastAsia="SimSun" w:cs="SimSun"/>
          <w:sz w:val="24"/>
          <w:szCs w:val="24"/>
          <w:spacing w:val="-2"/>
        </w:rPr>
        <w:t>）、</w:t>
      </w:r>
      <w:r>
        <w:rPr>
          <w:rFonts w:ascii="Times New Roman" w:hAnsi="Times New Roman" w:eastAsia="Times New Roman" w:cs="Times New Roman"/>
          <w:sz w:val="24"/>
          <w:szCs w:val="24"/>
          <w:spacing w:val="-2"/>
        </w:rPr>
        <w:t>W-</w:t>
      </w:r>
      <w:r>
        <w:rPr>
          <w:rFonts w:ascii="SimSun" w:hAnsi="SimSun" w:eastAsia="SimSun" w:cs="SimSun"/>
          <w:sz w:val="24"/>
          <w:szCs w:val="24"/>
          <w:spacing w:val="-2"/>
        </w:rPr>
        <w:t>饮水量（</w:t>
      </w:r>
      <w:r>
        <w:rPr>
          <w:rFonts w:ascii="Times New Roman" w:hAnsi="Times New Roman" w:eastAsia="Times New Roman" w:cs="Times New Roman"/>
          <w:sz w:val="24"/>
          <w:szCs w:val="24"/>
          <w:spacing w:val="-2"/>
        </w:rPr>
        <w:t>kg</w:t>
      </w:r>
      <w:r>
        <w:rPr>
          <w:rFonts w:ascii="SimSun" w:hAnsi="SimSun" w:eastAsia="SimSun" w:cs="SimSun"/>
          <w:sz w:val="24"/>
          <w:szCs w:val="24"/>
          <w:spacing w:val="3"/>
        </w:rPr>
        <w:t>），</w:t>
      </w:r>
      <w:r>
        <w:rPr>
          <w:rFonts w:ascii="SimSun" w:hAnsi="SimSun" w:eastAsia="SimSun" w:cs="SimSun"/>
          <w:sz w:val="24"/>
          <w:szCs w:val="24"/>
          <w:spacing w:val="-2"/>
        </w:rPr>
        <w:t>牛尿产生量为</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15.973t/d</w:t>
      </w:r>
      <w:r>
        <w:rPr>
          <w:rFonts w:ascii="SimSun" w:hAnsi="SimSun" w:eastAsia="SimSun" w:cs="SimSun"/>
          <w:sz w:val="24"/>
          <w:szCs w:val="24"/>
          <w:spacing w:val="-2"/>
        </w:rPr>
        <w:t>（</w:t>
      </w:r>
      <w:r>
        <w:rPr>
          <w:rFonts w:ascii="Times New Roman" w:hAnsi="Times New Roman" w:eastAsia="Times New Roman" w:cs="Times New Roman"/>
          <w:sz w:val="24"/>
          <w:szCs w:val="24"/>
          <w:spacing w:val="-2"/>
        </w:rPr>
        <w:t>5830.145t/a</w:t>
      </w:r>
      <w:r>
        <w:rPr>
          <w:rFonts w:ascii="SimSun" w:hAnsi="SimSun" w:eastAsia="SimSun" w:cs="SimSun"/>
          <w:sz w:val="24"/>
          <w:szCs w:val="24"/>
          <w:spacing w:val="3"/>
        </w:rPr>
        <w:t>）；</w:t>
      </w:r>
      <w:r>
        <w:rPr>
          <w:rFonts w:ascii="SimSun" w:hAnsi="SimSun" w:eastAsia="SimSun" w:cs="SimSun"/>
          <w:sz w:val="24"/>
          <w:szCs w:val="24"/>
          <w:spacing w:val="-3"/>
        </w:rPr>
        <w:t>由于当地气候干燥，</w:t>
      </w:r>
      <w:r>
        <w:rPr>
          <w:rFonts w:ascii="Times New Roman" w:hAnsi="Times New Roman" w:eastAsia="Times New Roman" w:cs="Times New Roman"/>
          <w:sz w:val="24"/>
          <w:szCs w:val="24"/>
          <w:spacing w:val="-3"/>
        </w:rPr>
        <w:t>50%</w:t>
      </w:r>
      <w:r>
        <w:rPr>
          <w:rFonts w:ascii="SimSun" w:hAnsi="SimSun" w:eastAsia="SimSun" w:cs="SimSun"/>
          <w:sz w:val="24"/>
          <w:szCs w:val="24"/>
          <w:spacing w:val="-3"/>
        </w:rPr>
        <w:t>的牛尿蒸发，剩余牛尿采用垫料的方式吸收，进入垫层的</w:t>
      </w:r>
      <w:r>
        <w:rPr>
          <w:rFonts w:ascii="SimSun" w:hAnsi="SimSun" w:eastAsia="SimSun" w:cs="SimSun"/>
          <w:sz w:val="24"/>
          <w:szCs w:val="24"/>
          <w:spacing w:val="-1"/>
        </w:rPr>
        <w:t>牛尿量约 </w:t>
      </w:r>
      <w:r>
        <w:rPr>
          <w:rFonts w:ascii="Times New Roman" w:hAnsi="Times New Roman" w:eastAsia="Times New Roman" w:cs="Times New Roman"/>
          <w:sz w:val="24"/>
          <w:szCs w:val="24"/>
          <w:spacing w:val="-1"/>
        </w:rPr>
        <w:t>7.987t/d</w:t>
      </w:r>
      <w:r>
        <w:rPr>
          <w:rFonts w:ascii="SimSun" w:hAnsi="SimSun" w:eastAsia="SimSun" w:cs="SimSun"/>
          <w:sz w:val="24"/>
          <w:szCs w:val="24"/>
          <w:spacing w:val="-1"/>
        </w:rPr>
        <w:t>（</w:t>
      </w:r>
      <w:r>
        <w:rPr>
          <w:rFonts w:ascii="Times New Roman" w:hAnsi="Times New Roman" w:eastAsia="Times New Roman" w:cs="Times New Roman"/>
          <w:sz w:val="24"/>
          <w:szCs w:val="24"/>
          <w:spacing w:val="-1"/>
        </w:rPr>
        <w:t>2915.255t/a</w:t>
      </w:r>
      <w:r>
        <w:rPr>
          <w:rFonts w:ascii="SimSun" w:hAnsi="SimSun" w:eastAsia="SimSun" w:cs="SimSun"/>
          <w:sz w:val="24"/>
          <w:szCs w:val="24"/>
          <w:spacing w:val="6"/>
        </w:rPr>
        <w:t>），</w:t>
      </w:r>
      <w:r>
        <w:rPr>
          <w:rFonts w:ascii="SimSun" w:hAnsi="SimSun" w:eastAsia="SimSun" w:cs="SimSun"/>
          <w:sz w:val="24"/>
          <w:szCs w:val="24"/>
          <w:spacing w:val="-1"/>
        </w:rPr>
        <w:t>随牛舍下垫料一同清运至储粪库，定期外卖有</w:t>
      </w:r>
      <w:r>
        <w:rPr>
          <w:rFonts w:ascii="SimSun" w:hAnsi="SimSun" w:eastAsia="SimSun" w:cs="SimSun"/>
          <w:sz w:val="24"/>
          <w:szCs w:val="24"/>
          <w:spacing w:val="-5"/>
        </w:rPr>
        <w:t>机肥厂家处理。</w:t>
      </w:r>
    </w:p>
    <w:p>
      <w:pPr>
        <w:spacing w:line="355" w:lineRule="auto"/>
        <w:sectPr>
          <w:headerReference w:type="default" r:id="rId71"/>
          <w:pgSz w:w="11907" w:h="16839"/>
          <w:pgMar w:top="1390" w:right="1591" w:bottom="400" w:left="1579" w:header="1054" w:footer="0" w:gutter="0"/>
        </w:sectPr>
        <w:rPr>
          <w:rFonts w:ascii="SimSun" w:hAnsi="SimSun" w:eastAsia="SimSun" w:cs="SimSun"/>
          <w:sz w:val="24"/>
          <w:szCs w:val="24"/>
        </w:rPr>
      </w:pPr>
    </w:p>
    <w:p>
      <w:pPr>
        <w:ind w:left="647"/>
        <w:spacing w:before="83" w:line="233" w:lineRule="auto"/>
        <w:rPr>
          <w:rFonts w:ascii="SimSun" w:hAnsi="SimSun" w:eastAsia="SimSun" w:cs="SimSun"/>
          <w:sz w:val="24"/>
          <w:szCs w:val="24"/>
        </w:rPr>
      </w:pPr>
      <w:r>
        <w:rPr>
          <w:rFonts w:ascii="SimSun" w:hAnsi="SimSun" w:eastAsia="SimSun" w:cs="SimSun"/>
          <w:sz w:val="24"/>
          <w:szCs w:val="24"/>
          <w:spacing w:val="-2"/>
        </w:rPr>
        <w:t>本项目废水产生情况详见表</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3-5</w:t>
      </w:r>
      <w:r>
        <w:rPr>
          <w:rFonts w:ascii="SimSun" w:hAnsi="SimSun" w:eastAsia="SimSun" w:cs="SimSun"/>
          <w:sz w:val="24"/>
          <w:szCs w:val="24"/>
          <w:spacing w:val="-2"/>
        </w:rPr>
        <w:t>。</w:t>
      </w:r>
    </w:p>
    <w:p>
      <w:pPr>
        <w:ind w:left="2479"/>
        <w:spacing w:before="165"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3-5      </w:t>
      </w:r>
      <w:r>
        <w:rPr>
          <w:rFonts w:ascii="SimSun" w:hAnsi="SimSun" w:eastAsia="SimSun" w:cs="SimSun"/>
          <w:sz w:val="24"/>
          <w:szCs w:val="24"/>
          <w:b/>
          <w:bCs/>
          <w:spacing w:val="-2"/>
        </w:rPr>
        <w:t>本项目废水产生情况一览表</w:t>
      </w:r>
    </w:p>
    <w:p>
      <w:pPr>
        <w:spacing w:line="93" w:lineRule="exact"/>
        <w:rPr/>
      </w:pPr>
      <w:r/>
    </w:p>
    <w:tbl>
      <w:tblPr>
        <w:tblStyle w:val="TableNormal"/>
        <w:tblW w:w="8733" w:type="dxa"/>
        <w:tblInd w:w="3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015"/>
        <w:gridCol w:w="2280"/>
        <w:gridCol w:w="2222"/>
        <w:gridCol w:w="1216"/>
      </w:tblGrid>
      <w:tr>
        <w:trPr>
          <w:trHeight w:val="276" w:hRule="atLeast"/>
        </w:trPr>
        <w:tc>
          <w:tcPr>
            <w:tcW w:w="3015" w:type="dxa"/>
            <w:vAlign w:val="top"/>
            <w:tcBorders>
              <w:left w:val="nil"/>
              <w:top w:val="single" w:color="000000" w:sz="10" w:space="0"/>
            </w:tcBorders>
          </w:tcPr>
          <w:p>
            <w:pPr>
              <w:pStyle w:val="TableText"/>
              <w:ind w:left="1311"/>
              <w:spacing w:before="36" w:line="202" w:lineRule="auto"/>
              <w:rPr/>
            </w:pPr>
            <w:r>
              <w:rPr>
                <w:b/>
                <w:bCs/>
                <w:spacing w:val="-5"/>
              </w:rPr>
              <w:t>名称</w:t>
            </w:r>
          </w:p>
        </w:tc>
        <w:tc>
          <w:tcPr>
            <w:tcW w:w="2280" w:type="dxa"/>
            <w:vAlign w:val="top"/>
            <w:tcBorders>
              <w:top w:val="single" w:color="000000" w:sz="10" w:space="0"/>
            </w:tcBorders>
          </w:tcPr>
          <w:p>
            <w:pPr>
              <w:pStyle w:val="TableText"/>
              <w:ind w:left="178"/>
              <w:spacing w:before="36" w:line="202" w:lineRule="auto"/>
              <w:rPr/>
            </w:pPr>
            <w:r>
              <w:rPr>
                <w:b/>
                <w:bCs/>
                <w:spacing w:val="-2"/>
              </w:rPr>
              <w:t>最大日产生量（</w:t>
            </w:r>
            <w:r>
              <w:rPr>
                <w:rFonts w:ascii="Times New Roman" w:hAnsi="Times New Roman" w:eastAsia="Times New Roman" w:cs="Times New Roman"/>
                <w:b/>
                <w:bCs/>
                <w:spacing w:val="-2"/>
              </w:rPr>
              <w:t>t/d</w:t>
            </w:r>
            <w:r>
              <w:rPr>
                <w:b/>
                <w:bCs/>
                <w:spacing w:val="-2"/>
              </w:rPr>
              <w:t>）</w:t>
            </w:r>
          </w:p>
        </w:tc>
        <w:tc>
          <w:tcPr>
            <w:tcW w:w="2222" w:type="dxa"/>
            <w:vAlign w:val="top"/>
            <w:tcBorders>
              <w:top w:val="single" w:color="000000" w:sz="10" w:space="0"/>
            </w:tcBorders>
          </w:tcPr>
          <w:p>
            <w:pPr>
              <w:pStyle w:val="TableText"/>
              <w:ind w:left="364"/>
              <w:spacing w:before="36" w:line="202" w:lineRule="auto"/>
              <w:rPr/>
            </w:pPr>
            <w:r>
              <w:rPr>
                <w:b/>
                <w:bCs/>
                <w:spacing w:val="-2"/>
              </w:rPr>
              <w:t>年产生量（</w:t>
            </w:r>
            <w:r>
              <w:rPr>
                <w:rFonts w:ascii="Times New Roman" w:hAnsi="Times New Roman" w:eastAsia="Times New Roman" w:cs="Times New Roman"/>
                <w:b/>
                <w:bCs/>
                <w:spacing w:val="-2"/>
              </w:rPr>
              <w:t>t/a</w:t>
            </w:r>
            <w:r>
              <w:rPr>
                <w:b/>
                <w:bCs/>
                <w:spacing w:val="-2"/>
              </w:rPr>
              <w:t>）</w:t>
            </w:r>
          </w:p>
        </w:tc>
        <w:tc>
          <w:tcPr>
            <w:tcW w:w="1216" w:type="dxa"/>
            <w:vAlign w:val="top"/>
            <w:tcBorders>
              <w:right w:val="nil"/>
              <w:top w:val="single" w:color="000000" w:sz="10" w:space="0"/>
            </w:tcBorders>
          </w:tcPr>
          <w:p>
            <w:pPr>
              <w:pStyle w:val="TableText"/>
              <w:ind w:left="403"/>
              <w:spacing w:before="36" w:line="202" w:lineRule="auto"/>
              <w:rPr/>
            </w:pPr>
            <w:r>
              <w:rPr>
                <w:b/>
                <w:bCs/>
                <w:spacing w:val="-5"/>
              </w:rPr>
              <w:t>备注</w:t>
            </w:r>
          </w:p>
        </w:tc>
      </w:tr>
      <w:tr>
        <w:trPr>
          <w:trHeight w:val="272" w:hRule="atLeast"/>
        </w:trPr>
        <w:tc>
          <w:tcPr>
            <w:tcW w:w="3015" w:type="dxa"/>
            <w:vAlign w:val="top"/>
            <w:tcBorders>
              <w:left w:val="nil"/>
            </w:tcBorders>
          </w:tcPr>
          <w:p>
            <w:pPr>
              <w:pStyle w:val="TableText"/>
              <w:ind w:left="1316"/>
              <w:spacing w:before="35" w:line="199" w:lineRule="auto"/>
              <w:rPr/>
            </w:pPr>
            <w:r>
              <w:rPr>
                <w:spacing w:val="-3"/>
              </w:rPr>
              <w:t>牛尿</w:t>
            </w:r>
          </w:p>
        </w:tc>
        <w:tc>
          <w:tcPr>
            <w:tcW w:w="2280" w:type="dxa"/>
            <w:vAlign w:val="top"/>
          </w:tcPr>
          <w:p>
            <w:pPr>
              <w:ind w:left="869"/>
              <w:spacing w:before="6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15.973</w:t>
            </w:r>
          </w:p>
        </w:tc>
        <w:tc>
          <w:tcPr>
            <w:tcW w:w="2222" w:type="dxa"/>
            <w:vAlign w:val="top"/>
          </w:tcPr>
          <w:p>
            <w:pPr>
              <w:ind w:left="721"/>
              <w:spacing w:before="6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5830.145</w:t>
            </w:r>
          </w:p>
        </w:tc>
        <w:tc>
          <w:tcPr>
            <w:tcW w:w="1216" w:type="dxa"/>
            <w:vAlign w:val="top"/>
            <w:tcBorders>
              <w:right w:val="nil"/>
            </w:tcBorders>
          </w:tcPr>
          <w:p>
            <w:pPr>
              <w:ind w:left="403"/>
              <w:spacing w:before="6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365d</w:t>
            </w:r>
          </w:p>
        </w:tc>
      </w:tr>
      <w:tr>
        <w:trPr>
          <w:trHeight w:val="305" w:hRule="atLeast"/>
        </w:trPr>
        <w:tc>
          <w:tcPr>
            <w:tcW w:w="3015" w:type="dxa"/>
            <w:vAlign w:val="top"/>
            <w:tcBorders>
              <w:left w:val="nil"/>
            </w:tcBorders>
          </w:tcPr>
          <w:p>
            <w:pPr>
              <w:pStyle w:val="TableText"/>
              <w:ind w:left="892"/>
              <w:spacing w:before="58" w:line="208" w:lineRule="auto"/>
              <w:rPr/>
            </w:pPr>
            <w:r>
              <w:rPr>
                <w:spacing w:val="-1"/>
              </w:rPr>
              <w:t>职工生活用水</w:t>
            </w:r>
          </w:p>
        </w:tc>
        <w:tc>
          <w:tcPr>
            <w:tcW w:w="2280" w:type="dxa"/>
            <w:vAlign w:val="top"/>
          </w:tcPr>
          <w:p>
            <w:pPr>
              <w:ind w:left="958"/>
              <w:spacing w:before="8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2222" w:type="dxa"/>
            <w:vAlign w:val="top"/>
          </w:tcPr>
          <w:p>
            <w:pPr>
              <w:ind w:left="891"/>
              <w:spacing w:before="8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175.2</w:t>
            </w:r>
          </w:p>
        </w:tc>
        <w:tc>
          <w:tcPr>
            <w:tcW w:w="1216" w:type="dxa"/>
            <w:vAlign w:val="top"/>
            <w:tcBorders>
              <w:right w:val="nil"/>
            </w:tcBorders>
          </w:tcPr>
          <w:p>
            <w:pPr>
              <w:ind w:left="403"/>
              <w:spacing w:before="8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365d</w:t>
            </w:r>
          </w:p>
        </w:tc>
      </w:tr>
      <w:tr>
        <w:trPr>
          <w:trHeight w:val="296" w:hRule="atLeast"/>
        </w:trPr>
        <w:tc>
          <w:tcPr>
            <w:tcW w:w="3015" w:type="dxa"/>
            <w:vAlign w:val="top"/>
            <w:tcBorders>
              <w:left w:val="nil"/>
              <w:bottom w:val="single" w:color="000000" w:sz="10" w:space="0"/>
            </w:tcBorders>
          </w:tcPr>
          <w:p>
            <w:pPr>
              <w:pStyle w:val="TableText"/>
              <w:ind w:left="1312"/>
              <w:spacing w:before="48" w:line="209" w:lineRule="auto"/>
              <w:rPr/>
            </w:pPr>
            <w:r>
              <w:rPr>
                <w:spacing w:val="-2"/>
              </w:rPr>
              <w:t>合计</w:t>
            </w:r>
          </w:p>
        </w:tc>
        <w:tc>
          <w:tcPr>
            <w:tcW w:w="2280" w:type="dxa"/>
            <w:vAlign w:val="top"/>
            <w:tcBorders>
              <w:bottom w:val="single" w:color="000000" w:sz="10" w:space="0"/>
            </w:tcBorders>
          </w:tcPr>
          <w:p>
            <w:pPr>
              <w:ind w:left="869"/>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16.453</w:t>
            </w:r>
          </w:p>
        </w:tc>
        <w:tc>
          <w:tcPr>
            <w:tcW w:w="2222" w:type="dxa"/>
            <w:vAlign w:val="top"/>
            <w:tcBorders>
              <w:bottom w:val="single" w:color="000000" w:sz="10" w:space="0"/>
            </w:tcBorders>
          </w:tcPr>
          <w:p>
            <w:pPr>
              <w:ind w:left="720"/>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6005.345</w:t>
            </w:r>
          </w:p>
        </w:tc>
        <w:tc>
          <w:tcPr>
            <w:tcW w:w="1216" w:type="dxa"/>
            <w:vAlign w:val="top"/>
            <w:tcBorders>
              <w:right w:val="nil"/>
              <w:bottom w:val="single" w:color="000000" w:sz="10" w:space="0"/>
            </w:tcBorders>
          </w:tcPr>
          <w:p>
            <w:pPr>
              <w:rPr>
                <w:rFonts w:ascii="Arial"/>
                <w:sz w:val="21"/>
              </w:rPr>
            </w:pPr>
            <w:r/>
          </w:p>
        </w:tc>
      </w:tr>
    </w:tbl>
    <w:p>
      <w:pPr>
        <w:ind w:left="647"/>
        <w:spacing w:before="273" w:line="233" w:lineRule="auto"/>
        <w:rPr>
          <w:rFonts w:ascii="SimSun" w:hAnsi="SimSun" w:eastAsia="SimSun" w:cs="SimSun"/>
          <w:sz w:val="24"/>
          <w:szCs w:val="24"/>
        </w:rPr>
      </w:pPr>
      <w:r>
        <w:rPr>
          <w:rFonts w:ascii="SimSun" w:hAnsi="SimSun" w:eastAsia="SimSun" w:cs="SimSun"/>
          <w:sz w:val="24"/>
          <w:szCs w:val="24"/>
          <w:spacing w:val="-2"/>
        </w:rPr>
        <w:t>本项目给排水平衡详见图</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3-3</w:t>
      </w:r>
      <w:r>
        <w:rPr>
          <w:rFonts w:ascii="SimSun" w:hAnsi="SimSun" w:eastAsia="SimSun" w:cs="SimSun"/>
          <w:sz w:val="24"/>
          <w:szCs w:val="24"/>
          <w:spacing w:val="-2"/>
        </w:rPr>
        <w:t>。</w:t>
      </w:r>
    </w:p>
    <w:p>
      <w:pPr>
        <w:pStyle w:val="BodyText"/>
        <w:spacing w:line="249" w:lineRule="auto"/>
        <w:rPr/>
      </w:pPr>
      <w:r/>
    </w:p>
    <w:p>
      <w:pPr>
        <w:pStyle w:val="BodyText"/>
        <w:spacing w:line="249" w:lineRule="auto"/>
        <w:rPr/>
      </w:pPr>
      <w:r>
        <w:pict>
          <v:shape id="_x0000_s148" style="position:absolute;margin-left:226.602pt;margin-top:8.59326pt;mso-position-vertical-relative:text;mso-position-horizontal-relative:text;width:30.85pt;height:43.7pt;z-index:251709440;" filled="false" stroked="false" type="#_x0000_t202">
            <v:fill on="false"/>
            <v:stroke on="false"/>
            <v:path/>
            <v:imagedata o:title=""/>
            <o:lock v:ext="edit" aspectratio="false"/>
            <v:textbox inset="0mm,0mm,0mm,0mm">
              <w:txbxContent>
                <w:p>
                  <w:pPr>
                    <w:ind w:left="23"/>
                    <w:spacing w:before="19" w:line="221" w:lineRule="auto"/>
                    <w:rPr>
                      <w:rFonts w:ascii="SimSun" w:hAnsi="SimSun" w:eastAsia="SimSun" w:cs="SimSun"/>
                      <w:sz w:val="21"/>
                      <w:szCs w:val="21"/>
                    </w:rPr>
                  </w:pPr>
                  <w:r>
                    <w:rPr>
                      <w:rFonts w:ascii="SimSun" w:hAnsi="SimSun" w:eastAsia="SimSun" w:cs="SimSun"/>
                      <w:sz w:val="21"/>
                      <w:szCs w:val="21"/>
                      <w:spacing w:val="-2"/>
                    </w:rPr>
                    <w:t>损耗</w:t>
                  </w:r>
                </w:p>
                <w:p>
                  <w:pPr>
                    <w:ind w:left="20"/>
                    <w:spacing w:before="5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28.013</w:t>
                  </w:r>
                </w:p>
                <w:p>
                  <w:pPr>
                    <w:ind w:left="139"/>
                    <w:spacing w:before="40" w:line="222" w:lineRule="auto"/>
                    <w:rPr>
                      <w:rFonts w:ascii="SimSun" w:hAnsi="SimSun" w:eastAsia="SimSun" w:cs="SimSun"/>
                      <w:sz w:val="21"/>
                      <w:szCs w:val="21"/>
                    </w:rPr>
                  </w:pPr>
                  <w:r>
                    <w:rPr>
                      <w:rFonts w:ascii="SimSun" w:hAnsi="SimSun" w:eastAsia="SimSun" w:cs="SimSun"/>
                      <w:sz w:val="21"/>
                      <w:szCs w:val="21"/>
                      <w:spacing w:val="-2"/>
                    </w:rPr>
                    <w:t>排放</w:t>
                  </w:r>
                </w:p>
              </w:txbxContent>
            </v:textbox>
          </v:shape>
        </w:pict>
      </w:r>
      <w:r/>
    </w:p>
    <w:p>
      <w:pPr>
        <w:pStyle w:val="BodyText"/>
        <w:spacing w:line="249" w:lineRule="auto"/>
        <w:rPr/>
      </w:pPr>
      <w:r>
        <w:pict>
          <v:shape id="_x0000_s150" style="position:absolute;margin-left:103.545pt;margin-top:7.82654pt;mso-position-vertical-relative:text;mso-position-horizontal-relative:text;width:43.5pt;height:30.45pt;z-index:251710464;" filled="false" stroked="false" type="#_x0000_t202">
            <v:fill on="false"/>
            <v:stroke on="false"/>
            <v:path/>
            <v:imagedata o:title=""/>
            <o:lock v:ext="edit" aspectratio="false"/>
            <v:textbox inset="0mm,0mm,0mm,0mm">
              <w:txbxContent>
                <w:p>
                  <w:pPr>
                    <w:ind w:left="320" w:right="20" w:hanging="300"/>
                    <w:spacing w:before="20" w:line="274" w:lineRule="auto"/>
                    <w:rPr>
                      <w:rFonts w:ascii="Times New Roman" w:hAnsi="Times New Roman" w:eastAsia="Times New Roman" w:cs="Times New Roman"/>
                      <w:sz w:val="21"/>
                      <w:szCs w:val="21"/>
                    </w:rPr>
                  </w:pPr>
                  <w:r>
                    <w:rPr>
                      <w:rFonts w:ascii="SimSun" w:hAnsi="SimSun" w:eastAsia="SimSun" w:cs="SimSun"/>
                      <w:sz w:val="21"/>
                      <w:szCs w:val="21"/>
                      <w:spacing w:val="-3"/>
                    </w:rPr>
                    <w:t>牛饮用水</w:t>
                  </w:r>
                  <w:r>
                    <w:rPr>
                      <w:rFonts w:ascii="Times New Roman" w:hAnsi="Times New Roman" w:eastAsia="Times New Roman" w:cs="Times New Roman"/>
                      <w:sz w:val="21"/>
                      <w:szCs w:val="21"/>
                      <w:spacing w:val="-2"/>
                    </w:rPr>
                    <w:t>36</w:t>
                  </w:r>
                </w:p>
              </w:txbxContent>
            </v:textbox>
          </v:shape>
        </w:pict>
      </w:r>
      <w:r/>
    </w:p>
    <w:p>
      <w:pPr>
        <w:pStyle w:val="BodyText"/>
        <w:spacing w:line="250" w:lineRule="auto"/>
        <w:rPr/>
      </w:pPr>
      <w:r/>
    </w:p>
    <w:p>
      <w:pPr>
        <w:pStyle w:val="BodyText"/>
        <w:spacing w:line="250" w:lineRule="auto"/>
        <w:rPr/>
      </w:pPr>
      <w:r>
        <w:pict>
          <v:shape id="_x0000_s152" style="position:absolute;margin-left:343.017pt;margin-top:5.91278pt;mso-position-vertical-relative:text;mso-position-horizontal-relative:text;width:109.15pt;height:28.2pt;z-index:251704320;" filled="false" stroked="false" type="#_x0000_t202">
            <v:fill on="false"/>
            <v:stroke on="false"/>
            <v:path/>
            <v:imagedata o:title=""/>
            <o:lock v:ext="edit" aspectratio="false"/>
            <v:textbox inset="0mm,0mm,0mm,0mm">
              <w:txbxContent>
                <w:p>
                  <w:pPr>
                    <w:ind w:left="20" w:right="20"/>
                    <w:spacing w:before="19" w:line="239" w:lineRule="auto"/>
                    <w:rPr>
                      <w:rFonts w:ascii="SimSun" w:hAnsi="SimSun" w:eastAsia="SimSun" w:cs="SimSun"/>
                      <w:sz w:val="21"/>
                      <w:szCs w:val="21"/>
                    </w:rPr>
                  </w:pPr>
                  <w:r>
                    <w:rPr>
                      <w:rFonts w:ascii="SimSun" w:hAnsi="SimSun" w:eastAsia="SimSun" w:cs="SimSun"/>
                      <w:sz w:val="21"/>
                      <w:szCs w:val="21"/>
                      <w:spacing w:val="4"/>
                    </w:rPr>
                    <w:t>进入垫料，定期外卖有</w:t>
                  </w:r>
                  <w:r>
                    <w:rPr>
                      <w:rFonts w:ascii="SimSun" w:hAnsi="SimSun" w:eastAsia="SimSun" w:cs="SimSun"/>
                      <w:sz w:val="21"/>
                      <w:szCs w:val="21"/>
                      <w:spacing w:val="-1"/>
                    </w:rPr>
                    <w:t>机肥厂家生产有机肥</w:t>
                  </w:r>
                </w:p>
              </w:txbxContent>
            </v:textbox>
          </v:shape>
        </w:pict>
      </w:r>
      <w:r/>
    </w:p>
    <w:p>
      <w:pPr>
        <w:ind w:left="4639"/>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7.987</w:t>
      </w:r>
    </w:p>
    <w:p>
      <w:pPr>
        <w:pStyle w:val="BodyText"/>
        <w:spacing w:line="376" w:lineRule="auto"/>
        <w:rPr/>
      </w:pPr>
      <w:r/>
    </w:p>
    <w:p>
      <w:pPr>
        <w:ind w:left="6969"/>
        <w:spacing w:before="69" w:line="221" w:lineRule="auto"/>
        <w:rPr>
          <w:rFonts w:ascii="SimSun" w:hAnsi="SimSun" w:eastAsia="SimSun" w:cs="SimSun"/>
          <w:sz w:val="21"/>
          <w:szCs w:val="21"/>
        </w:rPr>
      </w:pPr>
      <w:r>
        <w:drawing>
          <wp:anchor distT="0" distB="0" distL="0" distR="0" simplePos="0" relativeHeight="251706368" behindDoc="0" locked="0" layoutInCell="1" allowOverlap="1">
            <wp:simplePos x="0" y="0"/>
            <wp:positionH relativeFrom="column">
              <wp:posOffset>0</wp:posOffset>
            </wp:positionH>
            <wp:positionV relativeFrom="paragraph">
              <wp:posOffset>-847709</wp:posOffset>
            </wp:positionV>
            <wp:extent cx="5118734" cy="1911858"/>
            <wp:effectExtent l="0" t="0" r="0" b="0"/>
            <wp:wrapNone/>
            <wp:docPr id="6" name="IM 6"/>
            <wp:cNvGraphicFramePr/>
            <a:graphic>
              <a:graphicData uri="http://schemas.openxmlformats.org/drawingml/2006/picture">
                <pic:pic>
                  <pic:nvPicPr>
                    <pic:cNvPr id="6" name="IM 6"/>
                    <pic:cNvPicPr/>
                  </pic:nvPicPr>
                  <pic:blipFill>
                    <a:blip r:embed="rId73"/>
                    <a:stretch>
                      <a:fillRect/>
                    </a:stretch>
                  </pic:blipFill>
                  <pic:spPr>
                    <a:xfrm rot="0">
                      <a:off x="0" y="0"/>
                      <a:ext cx="5118734" cy="1911858"/>
                    </a:xfrm>
                    <a:prstGeom prst="rect">
                      <a:avLst/>
                    </a:prstGeom>
                  </pic:spPr>
                </pic:pic>
              </a:graphicData>
            </a:graphic>
          </wp:anchor>
        </w:drawing>
      </w:r>
      <w:r>
        <w:pict>
          <v:shape id="_x0000_s154" style="position:absolute;margin-left:235.912pt;margin-top:-4.37975pt;mso-position-vertical-relative:text;mso-position-horizontal-relative:text;width:22.75pt;height:29.2pt;z-index:251707392;"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1"/>
                      <w:szCs w:val="21"/>
                    </w:rPr>
                  </w:pPr>
                  <w:r>
                    <w:rPr>
                      <w:rFonts w:ascii="SimSun" w:hAnsi="SimSun" w:eastAsia="SimSun" w:cs="SimSun"/>
                      <w:sz w:val="21"/>
                      <w:szCs w:val="21"/>
                      <w:spacing w:val="-2"/>
                    </w:rPr>
                    <w:t>损耗</w:t>
                  </w:r>
                </w:p>
                <w:p>
                  <w:pPr>
                    <w:ind w:left="115"/>
                    <w:spacing w:before="5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xbxContent>
            </v:textbox>
          </v:shape>
        </w:pict>
      </w:r>
      <w:r>
        <w:pict>
          <v:shape id="_x0000_s156" style="position:absolute;margin-left:2.26807pt;margin-top:-2.33977pt;mso-position-vertical-relative:text;mso-position-horizontal-relative:text;width:33.25pt;height:34.6pt;z-index:251711488;"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21"/>
                      <w:szCs w:val="21"/>
                    </w:rPr>
                  </w:pPr>
                  <w:r>
                    <w:rPr>
                      <w:rFonts w:ascii="SimSun" w:hAnsi="SimSun" w:eastAsia="SimSun" w:cs="SimSun"/>
                      <w:sz w:val="21"/>
                      <w:szCs w:val="21"/>
                      <w:spacing w:val="-2"/>
                    </w:rPr>
                    <w:t>新鲜水</w:t>
                  </w:r>
                </w:p>
                <w:p>
                  <w:pPr>
                    <w:ind w:left="55"/>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37.6</w:t>
                  </w:r>
                </w:p>
              </w:txbxContent>
            </v:textbox>
          </v:shape>
        </w:pict>
      </w:r>
      <w:r>
        <w:pict>
          <v:shape id="_x0000_s158" style="position:absolute;margin-left:96.6141pt;margin-top:-5.57976pt;mso-position-vertical-relative:text;mso-position-horizontal-relative:text;width:64.7pt;height:89.3pt;z-index:251703296;" filled="false" stroked="false" type="#_x0000_t202">
            <v:fill on="false"/>
            <v:stroke on="false"/>
            <v:path/>
            <v:imagedata o:title=""/>
            <o:lock v:ext="edit" aspectratio="false"/>
            <v:textbox inset="0mm,0mm,0mm,0mm">
              <w:txbxContent>
                <w:p>
                  <w:pPr>
                    <w:ind w:left="584" w:right="108" w:hanging="230"/>
                    <w:spacing w:before="20" w:line="325" w:lineRule="auto"/>
                    <w:rPr>
                      <w:rFonts w:ascii="Times New Roman" w:hAnsi="Times New Roman" w:eastAsia="Times New Roman" w:cs="Times New Roman"/>
                      <w:sz w:val="21"/>
                      <w:szCs w:val="21"/>
                    </w:rPr>
                  </w:pPr>
                  <w:r>
                    <w:rPr>
                      <w:rFonts w:ascii="SimSun" w:hAnsi="SimSun" w:eastAsia="SimSun" w:cs="SimSun"/>
                      <w:sz w:val="21"/>
                      <w:szCs w:val="21"/>
                      <w:spacing w:val="-3"/>
                    </w:rPr>
                    <w:t>消毒用水</w:t>
                  </w:r>
                  <w:r>
                    <w:rPr>
                      <w:rFonts w:ascii="Times New Roman" w:hAnsi="Times New Roman" w:eastAsia="Times New Roman" w:cs="Times New Roman"/>
                      <w:sz w:val="21"/>
                      <w:szCs w:val="21"/>
                      <w:spacing w:val="-5"/>
                    </w:rPr>
                    <w:t>1.0</w:t>
                  </w:r>
                </w:p>
                <w:p>
                  <w:pPr>
                    <w:pStyle w:val="BodyText"/>
                    <w:spacing w:line="311" w:lineRule="auto"/>
                    <w:rPr/>
                  </w:pPr>
                  <w:r/>
                </w:p>
                <w:p>
                  <w:pPr>
                    <w:ind w:left="20"/>
                    <w:spacing w:before="69" w:line="221" w:lineRule="auto"/>
                    <w:rPr>
                      <w:rFonts w:ascii="SimSun" w:hAnsi="SimSun" w:eastAsia="SimSun" w:cs="SimSun"/>
                      <w:sz w:val="21"/>
                      <w:szCs w:val="21"/>
                    </w:rPr>
                  </w:pPr>
                  <w:r>
                    <w:rPr>
                      <w:rFonts w:ascii="SimSun" w:hAnsi="SimSun" w:eastAsia="SimSun" w:cs="SimSun"/>
                      <w:sz w:val="21"/>
                      <w:szCs w:val="21"/>
                      <w:spacing w:val="-1"/>
                    </w:rPr>
                    <w:t>职工生活用水</w:t>
                  </w:r>
                </w:p>
                <w:p>
                  <w:pPr>
                    <w:ind w:left="565"/>
                    <w:spacing w:before="18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xbxContent>
            </v:textbox>
          </v:shape>
        </w:pict>
      </w:r>
      <w:r>
        <w:rPr>
          <w:rFonts w:ascii="SimSun" w:hAnsi="SimSun" w:eastAsia="SimSun" w:cs="SimSun"/>
          <w:sz w:val="21"/>
          <w:szCs w:val="21"/>
          <w:spacing w:val="-3"/>
        </w:rPr>
        <w:t>总损耗</w:t>
      </w:r>
    </w:p>
    <w:p>
      <w:pPr>
        <w:ind w:left="7005"/>
        <w:spacing w:before="10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29.133</w:t>
      </w:r>
    </w:p>
    <w:p>
      <w:pPr>
        <w:ind w:left="4781"/>
        <w:spacing w:before="33" w:line="221" w:lineRule="auto"/>
        <w:rPr>
          <w:rFonts w:ascii="SimSun" w:hAnsi="SimSun" w:eastAsia="SimSun" w:cs="SimSun"/>
          <w:sz w:val="21"/>
          <w:szCs w:val="21"/>
        </w:rPr>
      </w:pPr>
      <w:r>
        <w:rPr>
          <w:rFonts w:ascii="SimSun" w:hAnsi="SimSun" w:eastAsia="SimSun" w:cs="SimSun"/>
          <w:sz w:val="21"/>
          <w:szCs w:val="21"/>
          <w:spacing w:val="-2"/>
        </w:rPr>
        <w:t>损耗</w:t>
      </w:r>
    </w:p>
    <w:p>
      <w:pPr>
        <w:pStyle w:val="BodyText"/>
        <w:spacing w:line="264" w:lineRule="auto"/>
        <w:rPr/>
      </w:pPr>
      <w:r>
        <w:pict>
          <v:shape id="_x0000_s160" style="position:absolute;margin-left:236.632pt;margin-top:2.14032pt;mso-position-vertical-relative:text;mso-position-horizontal-relative:text;width:23.45pt;height:44pt;z-index:251708416;" filled="false" stroked="false" type="#_x0000_t202">
            <v:fill on="false"/>
            <v:stroke on="false"/>
            <v:path/>
            <v:imagedata o:title=""/>
            <o:lock v:ext="edit" aspectratio="false"/>
            <v:textbox inset="0mm,0mm,0mm,0mm">
              <w:txbxContent>
                <w:p>
                  <w:pPr>
                    <w:ind w:left="20" w:right="20" w:firstLine="66"/>
                    <w:spacing w:before="20" w:line="277" w:lineRule="auto"/>
                    <w:rPr>
                      <w:rFonts w:ascii="SimSun" w:hAnsi="SimSun" w:eastAsia="SimSun" w:cs="SimSun"/>
                      <w:sz w:val="21"/>
                      <w:szCs w:val="21"/>
                    </w:rPr>
                  </w:pPr>
                  <w:r>
                    <w:rPr>
                      <w:rFonts w:ascii="Times New Roman" w:hAnsi="Times New Roman" w:eastAsia="Times New Roman" w:cs="Times New Roman"/>
                      <w:sz w:val="21"/>
                      <w:szCs w:val="21"/>
                      <w:spacing w:val="-2"/>
                    </w:rPr>
                    <w:t>0.12</w:t>
                  </w:r>
                  <w:r>
                    <w:rPr>
                      <w:rFonts w:ascii="SimSun" w:hAnsi="SimSun" w:eastAsia="SimSun" w:cs="SimSun"/>
                      <w:sz w:val="21"/>
                      <w:szCs w:val="21"/>
                      <w:spacing w:val="-2"/>
                    </w:rPr>
                    <w:t>排放</w:t>
                  </w:r>
                </w:p>
                <w:p>
                  <w:pPr>
                    <w:ind w:left="74"/>
                    <w:spacing w:before="1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xbxContent>
            </v:textbox>
          </v:shape>
        </w:pict>
      </w:r>
      <w:r/>
    </w:p>
    <w:p>
      <w:pPr>
        <w:pStyle w:val="BodyText"/>
        <w:spacing w:line="264" w:lineRule="auto"/>
        <w:rPr/>
      </w:pPr>
      <w:r>
        <w:pict>
          <v:shape id="_x0000_s162" style="position:absolute;margin-left:344.069pt;margin-top:5.10599pt;mso-position-vertical-relative:text;mso-position-horizontal-relative:text;width:93.4pt;height:28.25pt;z-index:251705344;" filled="false" stroked="false" type="#_x0000_t202">
            <v:fill on="false"/>
            <v:stroke on="false"/>
            <v:path/>
            <v:imagedata o:title=""/>
            <o:lock v:ext="edit" aspectratio="false"/>
            <v:textbox inset="0mm,0mm,0mm,0mm">
              <w:txbxContent>
                <w:p>
                  <w:pPr>
                    <w:ind w:left="20" w:right="20" w:firstLine="10"/>
                    <w:spacing w:before="20" w:line="239" w:lineRule="auto"/>
                    <w:rPr>
                      <w:rFonts w:ascii="SimSun" w:hAnsi="SimSun" w:eastAsia="SimSun" w:cs="SimSun"/>
                      <w:sz w:val="21"/>
                      <w:szCs w:val="21"/>
                    </w:rPr>
                  </w:pPr>
                  <w:r>
                    <w:rPr>
                      <w:rFonts w:ascii="SimSun" w:hAnsi="SimSun" w:eastAsia="SimSun" w:cs="SimSun"/>
                      <w:sz w:val="21"/>
                      <w:szCs w:val="21"/>
                      <w:spacing w:val="-9"/>
                    </w:rPr>
                    <w:t>防渗池，定期由环卫</w:t>
                  </w:r>
                  <w:r>
                    <w:rPr>
                      <w:rFonts w:ascii="SimSun" w:hAnsi="SimSun" w:eastAsia="SimSun" w:cs="SimSun"/>
                      <w:sz w:val="21"/>
                      <w:szCs w:val="21"/>
                      <w:spacing w:val="-2"/>
                    </w:rPr>
                    <w:t>部门清抽</w:t>
                  </w:r>
                </w:p>
              </w:txbxContent>
            </v:textbox>
          </v:shape>
        </w:pict>
      </w:r>
      <w:r/>
    </w:p>
    <w:p>
      <w:pPr>
        <w:pStyle w:val="BodyText"/>
        <w:spacing w:line="264" w:lineRule="auto"/>
        <w:rPr/>
      </w:pPr>
      <w:r/>
    </w:p>
    <w:p>
      <w:pPr>
        <w:pStyle w:val="BodyText"/>
        <w:spacing w:line="264" w:lineRule="auto"/>
        <w:rPr/>
      </w:pPr>
      <w:r/>
    </w:p>
    <w:p>
      <w:pPr>
        <w:ind w:left="7728"/>
        <w:spacing w:before="69" w:line="235" w:lineRule="auto"/>
        <w:rPr>
          <w:rFonts w:ascii="Times New Roman" w:hAnsi="Times New Roman" w:eastAsia="Times New Roman" w:cs="Times New Roman"/>
          <w:sz w:val="21"/>
          <w:szCs w:val="21"/>
        </w:rPr>
      </w:pPr>
      <w:r>
        <w:rPr>
          <w:rFonts w:ascii="SimSun" w:hAnsi="SimSun" w:eastAsia="SimSun" w:cs="SimSun"/>
          <w:sz w:val="21"/>
          <w:szCs w:val="21"/>
          <w:spacing w:val="-1"/>
        </w:rPr>
        <w:t>单位：</w:t>
      </w:r>
      <w:r>
        <w:rPr>
          <w:rFonts w:ascii="Times New Roman" w:hAnsi="Times New Roman" w:eastAsia="Times New Roman" w:cs="Times New Roman"/>
          <w:sz w:val="21"/>
          <w:szCs w:val="21"/>
          <w:spacing w:val="-1"/>
        </w:rPr>
        <w:t>t/d</w:t>
      </w:r>
    </w:p>
    <w:p>
      <w:pPr>
        <w:ind w:left="2866"/>
        <w:spacing w:before="147" w:line="233" w:lineRule="auto"/>
        <w:rPr>
          <w:rFonts w:ascii="SimSun" w:hAnsi="SimSun" w:eastAsia="SimSun" w:cs="SimSun"/>
          <w:sz w:val="24"/>
          <w:szCs w:val="24"/>
        </w:rPr>
      </w:pPr>
      <w:r>
        <w:rPr>
          <w:rFonts w:ascii="SimSun" w:hAnsi="SimSun" w:eastAsia="SimSun" w:cs="SimSun"/>
          <w:sz w:val="24"/>
          <w:szCs w:val="24"/>
          <w:b/>
          <w:bCs/>
          <w:spacing w:val="-3"/>
        </w:rPr>
        <w:t>图</w:t>
      </w:r>
      <w:r>
        <w:rPr>
          <w:rFonts w:ascii="SimSun" w:hAnsi="SimSun" w:eastAsia="SimSun" w:cs="SimSun"/>
          <w:sz w:val="24"/>
          <w:szCs w:val="24"/>
          <w:spacing w:val="-52"/>
        </w:rPr>
        <w:t xml:space="preserve"> </w:t>
      </w:r>
      <w:r>
        <w:rPr>
          <w:rFonts w:ascii="Times New Roman" w:hAnsi="Times New Roman" w:eastAsia="Times New Roman" w:cs="Times New Roman"/>
          <w:sz w:val="24"/>
          <w:szCs w:val="24"/>
          <w:b/>
          <w:bCs/>
          <w:spacing w:val="-3"/>
        </w:rPr>
        <w:t>3-3      </w:t>
      </w:r>
      <w:r>
        <w:rPr>
          <w:rFonts w:ascii="SimSun" w:hAnsi="SimSun" w:eastAsia="SimSun" w:cs="SimSun"/>
          <w:sz w:val="24"/>
          <w:szCs w:val="24"/>
          <w:b/>
          <w:bCs/>
          <w:spacing w:val="-3"/>
        </w:rPr>
        <w:t>本项目给排水平衡图</w:t>
      </w:r>
    </w:p>
    <w:p>
      <w:pPr>
        <w:ind w:left="652"/>
        <w:spacing w:before="163" w:line="233"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3</w:t>
      </w:r>
      <w:r>
        <w:rPr>
          <w:rFonts w:ascii="SimSun" w:hAnsi="SimSun" w:eastAsia="SimSun" w:cs="SimSun"/>
          <w:sz w:val="24"/>
          <w:szCs w:val="24"/>
          <w:spacing w:val="-6"/>
        </w:rPr>
        <w:t>）供电</w:t>
      </w:r>
    </w:p>
    <w:p>
      <w:pPr>
        <w:ind w:left="647"/>
        <w:spacing w:before="165" w:line="219" w:lineRule="auto"/>
        <w:rPr>
          <w:rFonts w:ascii="SimSun" w:hAnsi="SimSun" w:eastAsia="SimSun" w:cs="SimSun"/>
          <w:sz w:val="24"/>
          <w:szCs w:val="24"/>
        </w:rPr>
      </w:pPr>
      <w:r>
        <w:rPr>
          <w:rFonts w:ascii="SimSun" w:hAnsi="SimSun" w:eastAsia="SimSun" w:cs="SimSun"/>
          <w:sz w:val="24"/>
          <w:szCs w:val="24"/>
          <w:spacing w:val="-1"/>
        </w:rPr>
        <w:t>本项目供电由锡林浩特市额尔敦街道农电所供给，</w:t>
      </w:r>
      <w:r>
        <w:rPr>
          <w:rFonts w:ascii="SimSun" w:hAnsi="SimSun" w:eastAsia="SimSun" w:cs="SimSun"/>
          <w:sz w:val="24"/>
          <w:szCs w:val="24"/>
          <w:spacing w:val="-2"/>
        </w:rPr>
        <w:t>能够满足项目用电需求。</w:t>
      </w:r>
    </w:p>
    <w:p>
      <w:pPr>
        <w:ind w:left="652"/>
        <w:spacing w:before="181" w:line="233"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4</w:t>
      </w:r>
      <w:r>
        <w:rPr>
          <w:rFonts w:ascii="SimSun" w:hAnsi="SimSun" w:eastAsia="SimSun" w:cs="SimSun"/>
          <w:sz w:val="24"/>
          <w:szCs w:val="24"/>
          <w:spacing w:val="-6"/>
        </w:rPr>
        <w:t>）供热</w:t>
      </w:r>
    </w:p>
    <w:p>
      <w:pPr>
        <w:ind w:left="647"/>
        <w:spacing w:before="165" w:line="219" w:lineRule="auto"/>
        <w:rPr>
          <w:rFonts w:ascii="SimSun" w:hAnsi="SimSun" w:eastAsia="SimSun" w:cs="SimSun"/>
          <w:sz w:val="24"/>
          <w:szCs w:val="24"/>
        </w:rPr>
      </w:pPr>
      <w:r>
        <w:rPr>
          <w:rFonts w:ascii="SimSun" w:hAnsi="SimSun" w:eastAsia="SimSun" w:cs="SimSun"/>
          <w:sz w:val="24"/>
          <w:szCs w:val="24"/>
          <w:spacing w:val="-1"/>
        </w:rPr>
        <w:t>本项目养殖过程不需供暖，生活采暖使用电采暖，可</w:t>
      </w:r>
      <w:r>
        <w:rPr>
          <w:rFonts w:ascii="SimSun" w:hAnsi="SimSun" w:eastAsia="SimSun" w:cs="SimSun"/>
          <w:sz w:val="24"/>
          <w:szCs w:val="24"/>
          <w:spacing w:val="-2"/>
        </w:rPr>
        <w:t>以满足项目用热需要。</w:t>
      </w:r>
    </w:p>
    <w:p>
      <w:pPr>
        <w:pStyle w:val="BodyText"/>
        <w:spacing w:line="363" w:lineRule="auto"/>
        <w:rPr/>
      </w:pPr>
      <w:r/>
    </w:p>
    <w:p>
      <w:pPr>
        <w:ind w:left="160"/>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3.1.6 </w:t>
      </w:r>
      <w:r>
        <w:rPr>
          <w:rFonts w:ascii="SimSun" w:hAnsi="SimSun" w:eastAsia="SimSun" w:cs="SimSun"/>
          <w:sz w:val="24"/>
          <w:szCs w:val="24"/>
          <w:b/>
          <w:bCs/>
          <w:spacing w:val="-2"/>
        </w:rPr>
        <w:t>劳动定员及工作制度</w:t>
      </w:r>
    </w:p>
    <w:p>
      <w:pPr>
        <w:pStyle w:val="BodyText"/>
        <w:spacing w:line="340" w:lineRule="auto"/>
        <w:rPr/>
      </w:pPr>
      <w:r/>
    </w:p>
    <w:p>
      <w:pPr>
        <w:ind w:left="647"/>
        <w:spacing w:before="79" w:line="233" w:lineRule="auto"/>
        <w:rPr>
          <w:rFonts w:ascii="SimSun" w:hAnsi="SimSun" w:eastAsia="SimSun" w:cs="SimSun"/>
          <w:sz w:val="24"/>
          <w:szCs w:val="24"/>
        </w:rPr>
      </w:pPr>
      <w:r>
        <w:rPr>
          <w:rFonts w:ascii="SimSun" w:hAnsi="SimSun" w:eastAsia="SimSun" w:cs="SimSun"/>
          <w:sz w:val="24"/>
          <w:szCs w:val="24"/>
          <w:spacing w:val="-3"/>
        </w:rPr>
        <w:t>本项目劳动定员为</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3"/>
        </w:rPr>
        <w:t>10 </w:t>
      </w:r>
      <w:r>
        <w:rPr>
          <w:rFonts w:ascii="SimSun" w:hAnsi="SimSun" w:eastAsia="SimSun" w:cs="SimSun"/>
          <w:sz w:val="24"/>
          <w:szCs w:val="24"/>
          <w:spacing w:val="-3"/>
        </w:rPr>
        <w:t>人，年工作日为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365d</w:t>
      </w:r>
      <w:r>
        <w:rPr>
          <w:rFonts w:ascii="SimSun" w:hAnsi="SimSun" w:eastAsia="SimSun" w:cs="SimSun"/>
          <w:sz w:val="24"/>
          <w:szCs w:val="24"/>
          <w:spacing w:val="-3"/>
        </w:rPr>
        <w:t>，实行二班制，每班工作 </w:t>
      </w:r>
      <w:r>
        <w:rPr>
          <w:rFonts w:ascii="Times New Roman" w:hAnsi="Times New Roman" w:eastAsia="Times New Roman" w:cs="Times New Roman"/>
          <w:sz w:val="24"/>
          <w:szCs w:val="24"/>
          <w:spacing w:val="-3"/>
        </w:rPr>
        <w:t>12h</w:t>
      </w:r>
      <w:r>
        <w:rPr>
          <w:rFonts w:ascii="SimSun" w:hAnsi="SimSun" w:eastAsia="SimSun" w:cs="SimSun"/>
          <w:sz w:val="24"/>
          <w:szCs w:val="24"/>
          <w:spacing w:val="-3"/>
        </w:rPr>
        <w:t>。</w:t>
      </w:r>
    </w:p>
    <w:p>
      <w:pPr>
        <w:pStyle w:val="BodyText"/>
        <w:spacing w:line="348" w:lineRule="auto"/>
        <w:rPr/>
      </w:pPr>
      <w:r/>
    </w:p>
    <w:p>
      <w:pPr>
        <w:ind w:left="160"/>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3.1.7 </w:t>
      </w:r>
      <w:r>
        <w:rPr>
          <w:rFonts w:ascii="SimSun" w:hAnsi="SimSun" w:eastAsia="SimSun" w:cs="SimSun"/>
          <w:sz w:val="24"/>
          <w:szCs w:val="24"/>
          <w:b/>
          <w:bCs/>
          <w:spacing w:val="-2"/>
        </w:rPr>
        <w:t>工程实施条件及进度安排</w:t>
      </w:r>
    </w:p>
    <w:p>
      <w:pPr>
        <w:pStyle w:val="BodyText"/>
        <w:spacing w:line="341" w:lineRule="auto"/>
        <w:rPr/>
      </w:pPr>
      <w:r/>
    </w:p>
    <w:p>
      <w:pPr>
        <w:ind w:left="650"/>
        <w:spacing w:before="79" w:line="233" w:lineRule="auto"/>
        <w:rPr>
          <w:rFonts w:ascii="SimSun" w:hAnsi="SimSun" w:eastAsia="SimSun" w:cs="SimSun"/>
          <w:sz w:val="24"/>
          <w:szCs w:val="24"/>
        </w:rPr>
      </w:pPr>
      <w:r>
        <w:rPr>
          <w:rFonts w:ascii="SimSun" w:hAnsi="SimSun" w:eastAsia="SimSun" w:cs="SimSun"/>
          <w:sz w:val="24"/>
          <w:szCs w:val="24"/>
          <w:spacing w:val="-6"/>
        </w:rPr>
        <w:t>项目建设期为</w:t>
      </w:r>
      <w:r>
        <w:rPr>
          <w:rFonts w:ascii="SimSun" w:hAnsi="SimSun" w:eastAsia="SimSun" w:cs="SimSun"/>
          <w:sz w:val="24"/>
          <w:szCs w:val="24"/>
          <w:spacing w:val="-19"/>
        </w:rPr>
        <w:t xml:space="preserve"> </w:t>
      </w:r>
      <w:r>
        <w:rPr>
          <w:rFonts w:ascii="Times New Roman" w:hAnsi="Times New Roman" w:eastAsia="Times New Roman" w:cs="Times New Roman"/>
          <w:sz w:val="24"/>
          <w:szCs w:val="24"/>
          <w:spacing w:val="-6"/>
        </w:rPr>
        <w:t>11 </w:t>
      </w:r>
      <w:r>
        <w:rPr>
          <w:rFonts w:ascii="SimSun" w:hAnsi="SimSun" w:eastAsia="SimSun" w:cs="SimSun"/>
          <w:sz w:val="24"/>
          <w:szCs w:val="24"/>
          <w:spacing w:val="-6"/>
        </w:rPr>
        <w:t>个月，具体安排如下：</w:t>
      </w:r>
    </w:p>
    <w:p>
      <w:pPr>
        <w:ind w:left="642"/>
        <w:spacing w:before="165" w:line="233" w:lineRule="auto"/>
        <w:rPr>
          <w:rFonts w:ascii="SimSun" w:hAnsi="SimSun" w:eastAsia="SimSun" w:cs="SimSun"/>
          <w:sz w:val="24"/>
          <w:szCs w:val="24"/>
        </w:rPr>
      </w:pPr>
      <w:r>
        <w:rPr>
          <w:rFonts w:ascii="Times New Roman" w:hAnsi="Times New Roman" w:eastAsia="Times New Roman" w:cs="Times New Roman"/>
          <w:sz w:val="24"/>
          <w:szCs w:val="24"/>
          <w:spacing w:val="-4"/>
        </w:rPr>
        <w:t>2025 </w:t>
      </w:r>
      <w:r>
        <w:rPr>
          <w:rFonts w:ascii="SimSun" w:hAnsi="SimSun" w:eastAsia="SimSun" w:cs="SimSun"/>
          <w:sz w:val="24"/>
          <w:szCs w:val="24"/>
          <w:spacing w:val="-4"/>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Times New Roman" w:hAnsi="Times New Roman" w:eastAsia="Times New Roman" w:cs="Times New Roman"/>
          <w:sz w:val="24"/>
          <w:szCs w:val="24"/>
          <w:spacing w:val="-4"/>
        </w:rPr>
        <w:t>2025 </w:t>
      </w:r>
      <w:r>
        <w:rPr>
          <w:rFonts w:ascii="SimSun" w:hAnsi="SimSun" w:eastAsia="SimSun" w:cs="SimSun"/>
          <w:sz w:val="24"/>
          <w:szCs w:val="24"/>
          <w:spacing w:val="-4"/>
        </w:rPr>
        <w:t>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月完成可研、环评及报批工作。</w:t>
      </w:r>
    </w:p>
    <w:p>
      <w:pPr>
        <w:ind w:left="642"/>
        <w:spacing w:before="162" w:line="233" w:lineRule="auto"/>
        <w:rPr>
          <w:rFonts w:ascii="SimSun" w:hAnsi="SimSun" w:eastAsia="SimSun" w:cs="SimSun"/>
          <w:sz w:val="24"/>
          <w:szCs w:val="24"/>
        </w:rPr>
      </w:pPr>
      <w:r>
        <w:rPr>
          <w:rFonts w:ascii="Times New Roman" w:hAnsi="Times New Roman" w:eastAsia="Times New Roman" w:cs="Times New Roman"/>
          <w:sz w:val="24"/>
          <w:szCs w:val="24"/>
          <w:spacing w:val="-3"/>
        </w:rPr>
        <w:t>2026 </w:t>
      </w:r>
      <w:r>
        <w:rPr>
          <w:rFonts w:ascii="SimSun" w:hAnsi="SimSun" w:eastAsia="SimSun" w:cs="SimSun"/>
          <w:sz w:val="24"/>
          <w:szCs w:val="24"/>
          <w:spacing w:val="-3"/>
        </w:rPr>
        <w:t>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月——</w:t>
      </w:r>
      <w:r>
        <w:rPr>
          <w:rFonts w:ascii="Times New Roman" w:hAnsi="Times New Roman" w:eastAsia="Times New Roman" w:cs="Times New Roman"/>
          <w:sz w:val="24"/>
          <w:szCs w:val="24"/>
          <w:spacing w:val="-3"/>
        </w:rPr>
        <w:t>2026 </w:t>
      </w:r>
      <w:r>
        <w:rPr>
          <w:rFonts w:ascii="SimSun" w:hAnsi="SimSun" w:eastAsia="SimSun" w:cs="SimSun"/>
          <w:sz w:val="24"/>
          <w:szCs w:val="24"/>
          <w:spacing w:val="-3"/>
        </w:rPr>
        <w:t>年</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月，土建工程，设备安装</w:t>
      </w:r>
      <w:r>
        <w:rPr>
          <w:rFonts w:ascii="SimSun" w:hAnsi="SimSun" w:eastAsia="SimSun" w:cs="SimSun"/>
          <w:sz w:val="24"/>
          <w:szCs w:val="24"/>
          <w:spacing w:val="-4"/>
        </w:rPr>
        <w:t>、调试。</w:t>
      </w:r>
    </w:p>
    <w:p>
      <w:pPr>
        <w:ind w:left="642"/>
        <w:spacing w:before="165" w:line="233" w:lineRule="auto"/>
        <w:rPr>
          <w:rFonts w:ascii="SimSun" w:hAnsi="SimSun" w:eastAsia="SimSun" w:cs="SimSun"/>
          <w:sz w:val="24"/>
          <w:szCs w:val="24"/>
        </w:rPr>
      </w:pPr>
      <w:r>
        <w:rPr>
          <w:rFonts w:ascii="Times New Roman" w:hAnsi="Times New Roman" w:eastAsia="Times New Roman" w:cs="Times New Roman"/>
          <w:sz w:val="24"/>
          <w:szCs w:val="24"/>
          <w:spacing w:val="-4"/>
        </w:rPr>
        <w:t>2027 </w:t>
      </w:r>
      <w:r>
        <w:rPr>
          <w:rFonts w:ascii="SimSun" w:hAnsi="SimSun" w:eastAsia="SimSun" w:cs="SimSun"/>
          <w:sz w:val="24"/>
          <w:szCs w:val="24"/>
          <w:spacing w:val="-4"/>
        </w:rPr>
        <w:t>年</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月，开始投入使用。</w:t>
      </w:r>
    </w:p>
    <w:p>
      <w:pPr>
        <w:spacing w:line="233" w:lineRule="auto"/>
        <w:sectPr>
          <w:headerReference w:type="default" r:id="rId72"/>
          <w:pgSz w:w="11907" w:h="16839"/>
          <w:pgMar w:top="1390" w:right="1338" w:bottom="400" w:left="1545" w:header="1054" w:footer="0" w:gutter="0"/>
        </w:sectPr>
        <w:rPr>
          <w:rFonts w:ascii="SimSun" w:hAnsi="SimSun" w:eastAsia="SimSun" w:cs="SimSun"/>
          <w:sz w:val="24"/>
          <w:szCs w:val="24"/>
        </w:rPr>
      </w:pPr>
    </w:p>
    <w:p>
      <w:pPr>
        <w:ind w:left="126"/>
        <w:spacing w:before="86" w:line="234" w:lineRule="auto"/>
        <w:outlineLvl w:val="1"/>
        <w:rPr>
          <w:rFonts w:ascii="SimSun" w:hAnsi="SimSun" w:eastAsia="SimSun" w:cs="SimSun"/>
          <w:sz w:val="24"/>
          <w:szCs w:val="24"/>
        </w:rPr>
      </w:pPr>
      <w:bookmarkStart w:name="bookmark19" w:id="23"/>
      <w:bookmarkEnd w:id="23"/>
      <w:r>
        <w:rPr>
          <w:rFonts w:ascii="Times New Roman" w:hAnsi="Times New Roman" w:eastAsia="Times New Roman" w:cs="Times New Roman"/>
          <w:sz w:val="24"/>
          <w:szCs w:val="24"/>
          <w:b/>
          <w:bCs/>
          <w:spacing w:val="-4"/>
        </w:rPr>
        <w:t>3.2</w:t>
      </w:r>
      <w:r>
        <w:rPr>
          <w:rFonts w:ascii="Times New Roman" w:hAnsi="Times New Roman" w:eastAsia="Times New Roman" w:cs="Times New Roman"/>
          <w:sz w:val="24"/>
          <w:szCs w:val="24"/>
          <w:b/>
          <w:bCs/>
          <w:spacing w:val="17"/>
        </w:rPr>
        <w:t xml:space="preserve"> </w:t>
      </w:r>
      <w:r>
        <w:rPr>
          <w:rFonts w:ascii="SimSun" w:hAnsi="SimSun" w:eastAsia="SimSun" w:cs="SimSun"/>
          <w:sz w:val="24"/>
          <w:szCs w:val="24"/>
          <w:b/>
          <w:bCs/>
          <w:spacing w:val="-4"/>
        </w:rPr>
        <w:t>工程分析</w:t>
      </w:r>
    </w:p>
    <w:p>
      <w:pPr>
        <w:pStyle w:val="BodyText"/>
        <w:spacing w:line="411" w:lineRule="auto"/>
        <w:rPr/>
      </w:pPr>
      <w:r/>
    </w:p>
    <w:p>
      <w:pPr>
        <w:ind w:left="126"/>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3.2.1 </w:t>
      </w:r>
      <w:r>
        <w:rPr>
          <w:rFonts w:ascii="SimSun" w:hAnsi="SimSun" w:eastAsia="SimSun" w:cs="SimSun"/>
          <w:sz w:val="24"/>
          <w:szCs w:val="24"/>
          <w:b/>
          <w:bCs/>
          <w:spacing w:val="-2"/>
        </w:rPr>
        <w:t>主要原辅材料</w:t>
      </w:r>
    </w:p>
    <w:p>
      <w:pPr>
        <w:pStyle w:val="BodyText"/>
        <w:spacing w:line="344" w:lineRule="auto"/>
        <w:rPr/>
      </w:pPr>
      <w:r/>
    </w:p>
    <w:p>
      <w:pPr>
        <w:ind w:left="612"/>
        <w:spacing w:before="78" w:line="233" w:lineRule="auto"/>
        <w:rPr>
          <w:rFonts w:ascii="SimSun" w:hAnsi="SimSun" w:eastAsia="SimSun" w:cs="SimSun"/>
          <w:sz w:val="24"/>
          <w:szCs w:val="24"/>
        </w:rPr>
      </w:pPr>
      <w:r>
        <w:rPr>
          <w:rFonts w:ascii="SimSun" w:hAnsi="SimSun" w:eastAsia="SimSun" w:cs="SimSun"/>
          <w:sz w:val="24"/>
          <w:szCs w:val="24"/>
          <w:spacing w:val="-1"/>
        </w:rPr>
        <w:t>本项目主要原辅材料及动力能源消耗情况详见表</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1"/>
        </w:rPr>
        <w:t>3-6</w:t>
      </w:r>
      <w:r>
        <w:rPr>
          <w:rFonts w:ascii="SimSun" w:hAnsi="SimSun" w:eastAsia="SimSun" w:cs="SimSun"/>
          <w:sz w:val="24"/>
          <w:szCs w:val="24"/>
          <w:spacing w:val="-1"/>
        </w:rPr>
        <w:t>。</w:t>
      </w:r>
    </w:p>
    <w:p>
      <w:pPr>
        <w:ind w:left="1479"/>
        <w:spacing w:before="165"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38"/>
        </w:rPr>
        <w:t xml:space="preserve"> </w:t>
      </w:r>
      <w:r>
        <w:rPr>
          <w:rFonts w:ascii="Times New Roman" w:hAnsi="Times New Roman" w:eastAsia="Times New Roman" w:cs="Times New Roman"/>
          <w:sz w:val="24"/>
          <w:szCs w:val="24"/>
          <w:b/>
          <w:bCs/>
          <w:spacing w:val="-2"/>
        </w:rPr>
        <w:t>3-6      </w:t>
      </w:r>
      <w:r>
        <w:rPr>
          <w:rFonts w:ascii="SimSun" w:hAnsi="SimSun" w:eastAsia="SimSun" w:cs="SimSun"/>
          <w:sz w:val="24"/>
          <w:szCs w:val="24"/>
          <w:b/>
          <w:bCs/>
          <w:spacing w:val="-2"/>
        </w:rPr>
        <w:t>养殖工程主要原辅材料及动力能源消耗一览表</w:t>
      </w:r>
    </w:p>
    <w:p>
      <w:pPr>
        <w:spacing w:line="129" w:lineRule="exact"/>
        <w:rPr/>
      </w:pPr>
      <w:r/>
    </w:p>
    <w:tbl>
      <w:tblPr>
        <w:tblStyle w:val="TableNormal"/>
        <w:tblW w:w="8622"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2"/>
        <w:gridCol w:w="3769"/>
        <w:gridCol w:w="1515"/>
        <w:gridCol w:w="2136"/>
      </w:tblGrid>
      <w:tr>
        <w:trPr>
          <w:trHeight w:val="318" w:hRule="atLeast"/>
        </w:trPr>
        <w:tc>
          <w:tcPr>
            <w:tcW w:w="1202" w:type="dxa"/>
            <w:vAlign w:val="top"/>
            <w:tcBorders>
              <w:left w:val="nil"/>
              <w:top w:val="single" w:color="000000" w:sz="10" w:space="0"/>
            </w:tcBorders>
          </w:tcPr>
          <w:p>
            <w:pPr>
              <w:pStyle w:val="TableText"/>
              <w:ind w:left="403"/>
              <w:spacing w:before="52" w:line="222" w:lineRule="auto"/>
              <w:rPr/>
            </w:pPr>
            <w:r>
              <w:rPr>
                <w:b/>
                <w:bCs/>
                <w:spacing w:val="-4"/>
              </w:rPr>
              <w:t>序号</w:t>
            </w:r>
          </w:p>
        </w:tc>
        <w:tc>
          <w:tcPr>
            <w:tcW w:w="3769" w:type="dxa"/>
            <w:vAlign w:val="top"/>
            <w:tcBorders>
              <w:top w:val="single" w:color="000000" w:sz="10" w:space="0"/>
            </w:tcBorders>
          </w:tcPr>
          <w:p>
            <w:pPr>
              <w:pStyle w:val="TableText"/>
              <w:ind w:left="1680"/>
              <w:spacing w:before="53" w:line="221" w:lineRule="auto"/>
              <w:rPr/>
            </w:pPr>
            <w:r>
              <w:rPr>
                <w:b/>
                <w:bCs/>
                <w:spacing w:val="-5"/>
              </w:rPr>
              <w:t>项目</w:t>
            </w:r>
          </w:p>
        </w:tc>
        <w:tc>
          <w:tcPr>
            <w:tcW w:w="1515" w:type="dxa"/>
            <w:vAlign w:val="top"/>
            <w:tcBorders>
              <w:top w:val="single" w:color="000000" w:sz="10" w:space="0"/>
            </w:tcBorders>
          </w:tcPr>
          <w:p>
            <w:pPr>
              <w:pStyle w:val="TableText"/>
              <w:ind w:left="552"/>
              <w:spacing w:before="53" w:line="221" w:lineRule="auto"/>
              <w:rPr/>
            </w:pPr>
            <w:r>
              <w:rPr>
                <w:b/>
                <w:bCs/>
                <w:spacing w:val="-5"/>
              </w:rPr>
              <w:t>单位</w:t>
            </w:r>
          </w:p>
        </w:tc>
        <w:tc>
          <w:tcPr>
            <w:tcW w:w="2136" w:type="dxa"/>
            <w:vAlign w:val="top"/>
            <w:tcBorders>
              <w:right w:val="nil"/>
              <w:top w:val="single" w:color="000000" w:sz="10" w:space="0"/>
            </w:tcBorders>
          </w:tcPr>
          <w:p>
            <w:pPr>
              <w:pStyle w:val="TableText"/>
              <w:ind w:left="761"/>
              <w:spacing w:before="52" w:line="221" w:lineRule="auto"/>
              <w:rPr/>
            </w:pPr>
            <w:r>
              <w:rPr>
                <w:b/>
                <w:bCs/>
                <w:spacing w:val="-5"/>
              </w:rPr>
              <w:t>消耗量</w:t>
            </w:r>
          </w:p>
        </w:tc>
      </w:tr>
      <w:tr>
        <w:trPr>
          <w:trHeight w:val="331" w:hRule="atLeast"/>
        </w:trPr>
        <w:tc>
          <w:tcPr>
            <w:tcW w:w="1202" w:type="dxa"/>
            <w:vAlign w:val="top"/>
            <w:tcBorders>
              <w:left w:val="nil"/>
            </w:tcBorders>
          </w:tcPr>
          <w:p>
            <w:pPr>
              <w:pStyle w:val="TableText"/>
              <w:ind w:left="513"/>
              <w:spacing w:before="140" w:line="162" w:lineRule="exact"/>
              <w:rPr/>
            </w:pPr>
            <w:r>
              <w:rPr>
                <w:position w:val="-4"/>
              </w:rPr>
              <w:t>一</w:t>
            </w:r>
          </w:p>
        </w:tc>
        <w:tc>
          <w:tcPr>
            <w:tcW w:w="3769" w:type="dxa"/>
            <w:vAlign w:val="top"/>
          </w:tcPr>
          <w:p>
            <w:pPr>
              <w:pStyle w:val="TableText"/>
              <w:ind w:left="1576"/>
              <w:spacing w:before="61" w:line="221" w:lineRule="auto"/>
              <w:rPr/>
            </w:pPr>
            <w:r>
              <w:rPr>
                <w:spacing w:val="-3"/>
              </w:rPr>
              <w:t>原辅料</w:t>
            </w:r>
          </w:p>
        </w:tc>
        <w:tc>
          <w:tcPr>
            <w:tcW w:w="1515" w:type="dxa"/>
            <w:vAlign w:val="top"/>
          </w:tcPr>
          <w:p>
            <w:pPr>
              <w:rPr>
                <w:rFonts w:ascii="Arial"/>
                <w:sz w:val="21"/>
              </w:rPr>
            </w:pPr>
            <w:r/>
          </w:p>
        </w:tc>
        <w:tc>
          <w:tcPr>
            <w:tcW w:w="2136" w:type="dxa"/>
            <w:vAlign w:val="top"/>
            <w:tcBorders>
              <w:right w:val="nil"/>
            </w:tcBorders>
          </w:tcPr>
          <w:p>
            <w:pPr>
              <w:rPr>
                <w:rFonts w:ascii="Arial"/>
                <w:sz w:val="21"/>
              </w:rPr>
            </w:pPr>
            <w:r/>
          </w:p>
        </w:tc>
      </w:tr>
      <w:tr>
        <w:trPr>
          <w:trHeight w:val="333" w:hRule="atLeast"/>
        </w:trPr>
        <w:tc>
          <w:tcPr>
            <w:tcW w:w="1202" w:type="dxa"/>
            <w:vAlign w:val="top"/>
            <w:tcBorders>
              <w:left w:val="nil"/>
            </w:tcBorders>
          </w:tcPr>
          <w:p>
            <w:pPr>
              <w:ind w:left="579"/>
              <w:spacing w:before="93"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769" w:type="dxa"/>
            <w:vAlign w:val="top"/>
          </w:tcPr>
          <w:p>
            <w:pPr>
              <w:pStyle w:val="TableText"/>
              <w:ind w:left="1571"/>
              <w:spacing w:before="65" w:line="219" w:lineRule="auto"/>
              <w:rPr/>
            </w:pPr>
            <w:r>
              <w:rPr>
                <w:spacing w:val="-2"/>
              </w:rPr>
              <w:t>全价料</w:t>
            </w:r>
          </w:p>
        </w:tc>
        <w:tc>
          <w:tcPr>
            <w:tcW w:w="1515" w:type="dxa"/>
            <w:vAlign w:val="top"/>
          </w:tcPr>
          <w:p>
            <w:pPr>
              <w:ind w:left="652"/>
              <w:spacing w:before="93"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2136" w:type="dxa"/>
            <w:vAlign w:val="top"/>
            <w:tcBorders>
              <w:right w:val="nil"/>
            </w:tcBorders>
          </w:tcPr>
          <w:p>
            <w:pPr>
              <w:ind w:left="864"/>
              <w:spacing w:before="93"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5000</w:t>
            </w:r>
          </w:p>
        </w:tc>
      </w:tr>
      <w:tr>
        <w:trPr>
          <w:trHeight w:val="301" w:hRule="atLeast"/>
        </w:trPr>
        <w:tc>
          <w:tcPr>
            <w:tcW w:w="1202" w:type="dxa"/>
            <w:vAlign w:val="top"/>
            <w:tcBorders>
              <w:left w:val="nil"/>
            </w:tcBorders>
          </w:tcPr>
          <w:p>
            <w:pPr>
              <w:ind w:left="558"/>
              <w:spacing w:before="79"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769" w:type="dxa"/>
            <w:vAlign w:val="top"/>
          </w:tcPr>
          <w:p>
            <w:pPr>
              <w:pStyle w:val="TableText"/>
              <w:ind w:left="418"/>
              <w:spacing w:before="49" w:line="212" w:lineRule="auto"/>
              <w:rPr/>
            </w:pPr>
            <w:r>
              <w:rPr>
                <w:spacing w:val="-1"/>
              </w:rPr>
              <w:t>垫料（粉碎后的锯末、稻壳等）</w:t>
            </w:r>
          </w:p>
        </w:tc>
        <w:tc>
          <w:tcPr>
            <w:tcW w:w="1515" w:type="dxa"/>
            <w:vAlign w:val="top"/>
          </w:tcPr>
          <w:p>
            <w:pPr>
              <w:ind w:left="652"/>
              <w:spacing w:before="79"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2136" w:type="dxa"/>
            <w:vAlign w:val="top"/>
            <w:tcBorders>
              <w:right w:val="nil"/>
            </w:tcBorders>
          </w:tcPr>
          <w:p>
            <w:pPr>
              <w:ind w:left="879"/>
              <w:spacing w:before="79"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1800</w:t>
            </w:r>
          </w:p>
        </w:tc>
      </w:tr>
      <w:tr>
        <w:trPr>
          <w:trHeight w:val="324" w:hRule="atLeast"/>
        </w:trPr>
        <w:tc>
          <w:tcPr>
            <w:tcW w:w="1202" w:type="dxa"/>
            <w:vAlign w:val="top"/>
            <w:tcBorders>
              <w:left w:val="nil"/>
            </w:tcBorders>
          </w:tcPr>
          <w:p>
            <w:pPr>
              <w:ind w:left="562"/>
              <w:spacing w:before="93"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769" w:type="dxa"/>
            <w:vAlign w:val="top"/>
          </w:tcPr>
          <w:p>
            <w:pPr>
              <w:pStyle w:val="TableText"/>
              <w:ind w:left="1366"/>
              <w:spacing w:before="62" w:line="221" w:lineRule="auto"/>
              <w:rPr/>
            </w:pPr>
            <w:r>
              <w:rPr>
                <w:spacing w:val="-2"/>
              </w:rPr>
              <w:t>发酵床菌种</w:t>
            </w:r>
          </w:p>
        </w:tc>
        <w:tc>
          <w:tcPr>
            <w:tcW w:w="1515" w:type="dxa"/>
            <w:vAlign w:val="top"/>
          </w:tcPr>
          <w:p>
            <w:pPr>
              <w:ind w:left="652"/>
              <w:spacing w:before="93"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2136" w:type="dxa"/>
            <w:vAlign w:val="top"/>
            <w:tcBorders>
              <w:right w:val="nil"/>
            </w:tcBorders>
          </w:tcPr>
          <w:p>
            <w:pPr>
              <w:ind w:left="968"/>
              <w:spacing w:before="93"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r>
      <w:tr>
        <w:trPr>
          <w:trHeight w:val="333" w:hRule="atLeast"/>
        </w:trPr>
        <w:tc>
          <w:tcPr>
            <w:tcW w:w="1202" w:type="dxa"/>
            <w:vAlign w:val="top"/>
            <w:tcBorders>
              <w:left w:val="nil"/>
            </w:tcBorders>
          </w:tcPr>
          <w:p>
            <w:pPr>
              <w:pStyle w:val="TableText"/>
              <w:ind w:left="513"/>
              <w:spacing w:before="109" w:line="179" w:lineRule="auto"/>
              <w:rPr/>
            </w:pPr>
            <w:r>
              <w:rPr/>
              <w:t>二</w:t>
            </w:r>
          </w:p>
        </w:tc>
        <w:tc>
          <w:tcPr>
            <w:tcW w:w="3769" w:type="dxa"/>
            <w:vAlign w:val="top"/>
          </w:tcPr>
          <w:p>
            <w:pPr>
              <w:pStyle w:val="TableText"/>
              <w:ind w:left="1677"/>
              <w:spacing w:before="70" w:line="221" w:lineRule="auto"/>
              <w:rPr/>
            </w:pPr>
            <w:r>
              <w:rPr>
                <w:spacing w:val="-2"/>
              </w:rPr>
              <w:t>其他</w:t>
            </w:r>
          </w:p>
        </w:tc>
        <w:tc>
          <w:tcPr>
            <w:tcW w:w="1515" w:type="dxa"/>
            <w:vAlign w:val="top"/>
          </w:tcPr>
          <w:p>
            <w:pPr>
              <w:rPr>
                <w:rFonts w:ascii="Arial"/>
                <w:sz w:val="21"/>
              </w:rPr>
            </w:pPr>
            <w:r/>
          </w:p>
        </w:tc>
        <w:tc>
          <w:tcPr>
            <w:tcW w:w="2136" w:type="dxa"/>
            <w:vAlign w:val="top"/>
            <w:tcBorders>
              <w:right w:val="nil"/>
            </w:tcBorders>
          </w:tcPr>
          <w:p>
            <w:pPr>
              <w:rPr>
                <w:rFonts w:ascii="Arial"/>
                <w:sz w:val="21"/>
              </w:rPr>
            </w:pPr>
            <w:r/>
          </w:p>
        </w:tc>
      </w:tr>
      <w:tr>
        <w:trPr>
          <w:trHeight w:val="334" w:hRule="atLeast"/>
        </w:trPr>
        <w:tc>
          <w:tcPr>
            <w:tcW w:w="1202" w:type="dxa"/>
            <w:vAlign w:val="top"/>
            <w:tcBorders>
              <w:left w:val="nil"/>
            </w:tcBorders>
          </w:tcPr>
          <w:p>
            <w:pPr>
              <w:ind w:left="579"/>
              <w:spacing w:before="103"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769" w:type="dxa"/>
            <w:vAlign w:val="top"/>
          </w:tcPr>
          <w:p>
            <w:pPr>
              <w:pStyle w:val="TableText"/>
              <w:ind w:left="1785"/>
              <w:spacing w:before="72" w:line="221" w:lineRule="auto"/>
              <w:rPr/>
            </w:pPr>
            <w:r>
              <w:rPr/>
              <w:t>水</w:t>
            </w:r>
          </w:p>
        </w:tc>
        <w:tc>
          <w:tcPr>
            <w:tcW w:w="1515" w:type="dxa"/>
            <w:vAlign w:val="top"/>
          </w:tcPr>
          <w:p>
            <w:pPr>
              <w:ind w:left="652"/>
              <w:spacing w:before="103"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2136" w:type="dxa"/>
            <w:vAlign w:val="top"/>
            <w:tcBorders>
              <w:right w:val="nil"/>
            </w:tcBorders>
          </w:tcPr>
          <w:p>
            <w:pPr>
              <w:ind w:left="826"/>
              <w:spacing w:before="103"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13724</w:t>
            </w:r>
          </w:p>
        </w:tc>
      </w:tr>
      <w:tr>
        <w:trPr>
          <w:trHeight w:val="331" w:hRule="atLeast"/>
        </w:trPr>
        <w:tc>
          <w:tcPr>
            <w:tcW w:w="1202" w:type="dxa"/>
            <w:vAlign w:val="top"/>
            <w:tcBorders>
              <w:left w:val="nil"/>
            </w:tcBorders>
          </w:tcPr>
          <w:p>
            <w:pPr>
              <w:ind w:left="558"/>
              <w:spacing w:before="102"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769" w:type="dxa"/>
            <w:vAlign w:val="top"/>
          </w:tcPr>
          <w:p>
            <w:pPr>
              <w:pStyle w:val="TableText"/>
              <w:ind w:left="1807"/>
              <w:spacing w:before="75" w:line="216" w:lineRule="auto"/>
              <w:rPr/>
            </w:pPr>
            <w:r>
              <w:rPr/>
              <w:t>电</w:t>
            </w:r>
          </w:p>
        </w:tc>
        <w:tc>
          <w:tcPr>
            <w:tcW w:w="1515" w:type="dxa"/>
            <w:vAlign w:val="top"/>
          </w:tcPr>
          <w:p>
            <w:pPr>
              <w:pStyle w:val="TableText"/>
              <w:ind w:left="481"/>
              <w:spacing w:before="75" w:line="216" w:lineRule="auto"/>
              <w:rPr>
                <w:rFonts w:ascii="Times New Roman" w:hAnsi="Times New Roman" w:eastAsia="Times New Roman" w:cs="Times New Roman"/>
              </w:rPr>
            </w:pPr>
            <w:r>
              <w:rPr>
                <w:spacing w:val="-3"/>
              </w:rPr>
              <w:t>万度</w:t>
            </w:r>
            <w:r>
              <w:rPr>
                <w:rFonts w:ascii="Times New Roman" w:hAnsi="Times New Roman" w:eastAsia="Times New Roman" w:cs="Times New Roman"/>
                <w:spacing w:val="-3"/>
              </w:rPr>
              <w:t>/a</w:t>
            </w:r>
          </w:p>
        </w:tc>
        <w:tc>
          <w:tcPr>
            <w:tcW w:w="2136" w:type="dxa"/>
            <w:vAlign w:val="top"/>
            <w:tcBorders>
              <w:right w:val="nil"/>
            </w:tcBorders>
          </w:tcPr>
          <w:p>
            <w:pPr>
              <w:ind w:left="862"/>
              <w:spacing w:before="102"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7000</w:t>
            </w:r>
          </w:p>
        </w:tc>
      </w:tr>
      <w:tr>
        <w:trPr>
          <w:trHeight w:val="274" w:hRule="atLeast"/>
        </w:trPr>
        <w:tc>
          <w:tcPr>
            <w:tcW w:w="1202" w:type="dxa"/>
            <w:vAlign w:val="top"/>
            <w:tcBorders>
              <w:left w:val="nil"/>
            </w:tcBorders>
          </w:tcPr>
          <w:p>
            <w:pPr>
              <w:ind w:left="562"/>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769" w:type="dxa"/>
            <w:vAlign w:val="top"/>
          </w:tcPr>
          <w:p>
            <w:pPr>
              <w:pStyle w:val="TableText"/>
              <w:ind w:left="1481"/>
              <w:spacing w:before="47" w:line="190" w:lineRule="auto"/>
              <w:rPr/>
            </w:pPr>
            <w:r>
              <w:rPr>
                <w:spacing w:val="-5"/>
              </w:rPr>
              <w:t>防疫兽药</w:t>
            </w:r>
          </w:p>
        </w:tc>
        <w:tc>
          <w:tcPr>
            <w:tcW w:w="1515" w:type="dxa"/>
            <w:vAlign w:val="top"/>
          </w:tcPr>
          <w:p>
            <w:pPr>
              <w:pStyle w:val="TableText"/>
              <w:ind w:left="582"/>
              <w:spacing w:before="47" w:line="190" w:lineRule="auto"/>
              <w:rPr>
                <w:rFonts w:ascii="Times New Roman" w:hAnsi="Times New Roman" w:eastAsia="Times New Roman" w:cs="Times New Roman"/>
              </w:rPr>
            </w:pPr>
            <w:r>
              <w:rPr>
                <w:spacing w:val="-3"/>
              </w:rPr>
              <w:t>剂</w:t>
            </w:r>
            <w:r>
              <w:rPr>
                <w:rFonts w:ascii="Times New Roman" w:hAnsi="Times New Roman" w:eastAsia="Times New Roman" w:cs="Times New Roman"/>
                <w:spacing w:val="-3"/>
              </w:rPr>
              <w:t>/a</w:t>
            </w:r>
          </w:p>
        </w:tc>
        <w:tc>
          <w:tcPr>
            <w:tcW w:w="2136" w:type="dxa"/>
            <w:vAlign w:val="top"/>
            <w:tcBorders>
              <w:right w:val="nil"/>
            </w:tcBorders>
          </w:tcPr>
          <w:p>
            <w:pPr>
              <w:ind w:left="859"/>
              <w:spacing w:before="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2000</w:t>
            </w:r>
          </w:p>
        </w:tc>
      </w:tr>
      <w:tr>
        <w:trPr>
          <w:trHeight w:val="334" w:hRule="atLeast"/>
        </w:trPr>
        <w:tc>
          <w:tcPr>
            <w:tcW w:w="1202" w:type="dxa"/>
            <w:vAlign w:val="top"/>
            <w:tcBorders>
              <w:left w:val="nil"/>
            </w:tcBorders>
          </w:tcPr>
          <w:p>
            <w:pPr>
              <w:ind w:left="557"/>
              <w:spacing w:before="109"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769" w:type="dxa"/>
            <w:vAlign w:val="top"/>
          </w:tcPr>
          <w:p>
            <w:pPr>
              <w:pStyle w:val="TableText"/>
              <w:ind w:left="946"/>
              <w:spacing w:before="79" w:line="215" w:lineRule="auto"/>
              <w:rPr/>
            </w:pPr>
            <w:r>
              <w:rPr>
                <w:spacing w:val="-2"/>
              </w:rPr>
              <w:t>消毒剂（高锰酸钾）</w:t>
            </w:r>
          </w:p>
        </w:tc>
        <w:tc>
          <w:tcPr>
            <w:tcW w:w="1515" w:type="dxa"/>
            <w:vAlign w:val="top"/>
          </w:tcPr>
          <w:p>
            <w:pPr>
              <w:ind w:left="652"/>
              <w:spacing w:before="109"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2136" w:type="dxa"/>
            <w:vAlign w:val="top"/>
            <w:tcBorders>
              <w:right w:val="nil"/>
            </w:tcBorders>
          </w:tcPr>
          <w:p>
            <w:pPr>
              <w:ind w:left="941"/>
              <w:spacing w:before="109"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r>
      <w:tr>
        <w:trPr>
          <w:trHeight w:val="357" w:hRule="atLeast"/>
        </w:trPr>
        <w:tc>
          <w:tcPr>
            <w:tcW w:w="1202" w:type="dxa"/>
            <w:vAlign w:val="top"/>
            <w:tcBorders>
              <w:left w:val="nil"/>
              <w:bottom w:val="single" w:color="000000" w:sz="10" w:space="0"/>
            </w:tcBorders>
          </w:tcPr>
          <w:p>
            <w:pPr>
              <w:ind w:left="564"/>
              <w:spacing w:before="10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769" w:type="dxa"/>
            <w:vAlign w:val="top"/>
            <w:tcBorders>
              <w:bottom w:val="single" w:color="000000" w:sz="10" w:space="0"/>
            </w:tcBorders>
          </w:tcPr>
          <w:p>
            <w:pPr>
              <w:pStyle w:val="TableText"/>
              <w:ind w:left="849"/>
              <w:spacing w:before="80" w:line="220" w:lineRule="auto"/>
              <w:rPr/>
            </w:pPr>
            <w:r>
              <w:rPr>
                <w:spacing w:val="-2"/>
              </w:rPr>
              <w:t>除臭剂（生物除臭剂）</w:t>
            </w:r>
          </w:p>
        </w:tc>
        <w:tc>
          <w:tcPr>
            <w:tcW w:w="1515" w:type="dxa"/>
            <w:vAlign w:val="top"/>
            <w:tcBorders>
              <w:bottom w:val="single" w:color="000000" w:sz="10" w:space="0"/>
            </w:tcBorders>
          </w:tcPr>
          <w:p>
            <w:pPr>
              <w:ind w:left="652"/>
              <w:spacing w:before="10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2136" w:type="dxa"/>
            <w:vAlign w:val="top"/>
            <w:tcBorders>
              <w:right w:val="nil"/>
              <w:bottom w:val="single" w:color="000000" w:sz="10" w:space="0"/>
            </w:tcBorders>
          </w:tcPr>
          <w:p>
            <w:pPr>
              <w:ind w:left="958"/>
              <w:spacing w:before="10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r>
    </w:tbl>
    <w:p>
      <w:pPr>
        <w:pStyle w:val="BodyText"/>
        <w:ind w:left="131" w:right="41" w:firstLine="480"/>
        <w:spacing w:before="36" w:line="357" w:lineRule="auto"/>
        <w:jc w:val="both"/>
        <w:rPr>
          <w:rFonts w:ascii="SimSun" w:hAnsi="SimSun" w:eastAsia="SimSun" w:cs="SimSun"/>
          <w:sz w:val="24"/>
          <w:szCs w:val="24"/>
        </w:rPr>
      </w:pPr>
      <w:r>
        <w:rPr>
          <w:rFonts w:ascii="SimSun" w:hAnsi="SimSun" w:eastAsia="SimSun" w:cs="SimSun"/>
          <w:sz w:val="24"/>
          <w:szCs w:val="24"/>
          <w:spacing w:val="2"/>
        </w:rPr>
        <w:t>本项目采用微生物原位发酵床技术，在发酵床管理得当（如定期翻耙、控制</w:t>
      </w:r>
      <w:r>
        <w:rPr>
          <w:rFonts w:ascii="SimSun" w:hAnsi="SimSun" w:eastAsia="SimSun" w:cs="SimSun"/>
          <w:sz w:val="24"/>
          <w:szCs w:val="24"/>
          <w:spacing w:val="2"/>
        </w:rPr>
        <w:t>湿度、粪便及时分解）的前提下，垫料可通过微生物持续发酵实现自我更新，可</w:t>
      </w:r>
      <w:r>
        <w:rPr>
          <w:rFonts w:ascii="SimSun" w:hAnsi="SimSun" w:eastAsia="SimSun" w:cs="SimSun"/>
          <w:sz w:val="24"/>
          <w:szCs w:val="24"/>
          <w:spacing w:val="-2"/>
        </w:rPr>
        <w:t>较长时间不用更换垫料，本次使用锯末或者稻壳作为垫料，根据企</w:t>
      </w:r>
      <w:r>
        <w:rPr>
          <w:rFonts w:ascii="SimSun" w:hAnsi="SimSun" w:eastAsia="SimSun" w:cs="SimSun"/>
          <w:sz w:val="24"/>
          <w:szCs w:val="24"/>
          <w:spacing w:val="-3"/>
        </w:rPr>
        <w:t>业及当地现状，</w:t>
      </w:r>
      <w:r>
        <w:rPr>
          <w:rFonts w:ascii="SimSun" w:hAnsi="SimSun" w:eastAsia="SimSun" w:cs="SimSun"/>
          <w:sz w:val="24"/>
          <w:szCs w:val="24"/>
          <w:spacing w:val="-7"/>
        </w:rPr>
        <w:t>垫料厚度确定为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7"/>
        </w:rPr>
        <w:t>50cm</w:t>
      </w:r>
      <w:r>
        <w:rPr>
          <w:rFonts w:ascii="SimSun" w:hAnsi="SimSun" w:eastAsia="SimSun" w:cs="SimSun"/>
          <w:sz w:val="24"/>
          <w:szCs w:val="24"/>
          <w:spacing w:val="-7"/>
        </w:rPr>
        <w:t>，本项目牛舍总面积为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7"/>
        </w:rPr>
        <w:t>6000m</w:t>
      </w:r>
      <w:r>
        <w:rPr>
          <w:rFonts w:ascii="Times New Roman" w:hAnsi="Times New Roman" w:eastAsia="Times New Roman" w:cs="Times New Roman"/>
          <w:sz w:val="16"/>
          <w:szCs w:val="16"/>
          <w:spacing w:val="-7"/>
          <w:position w:val="10"/>
        </w:rPr>
        <w:t>2</w:t>
      </w:r>
      <w:r>
        <w:rPr>
          <w:rFonts w:ascii="SimSun" w:hAnsi="SimSun" w:eastAsia="SimSun" w:cs="SimSun"/>
          <w:sz w:val="24"/>
          <w:szCs w:val="24"/>
          <w:spacing w:val="-8"/>
        </w:rPr>
        <w:t>，垫料每次肉牛出栏进行更换，</w:t>
      </w:r>
      <w:r>
        <w:rPr>
          <w:rFonts w:ascii="SimSun" w:hAnsi="SimSun" w:eastAsia="SimSun" w:cs="SimSun"/>
          <w:sz w:val="24"/>
          <w:szCs w:val="24"/>
          <w:spacing w:val="-3"/>
        </w:rPr>
        <w:t>即</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3"/>
        </w:rPr>
        <w:t>4 </w:t>
      </w:r>
      <w:r>
        <w:rPr>
          <w:rFonts w:ascii="SimSun" w:hAnsi="SimSun" w:eastAsia="SimSun" w:cs="SimSun"/>
          <w:sz w:val="24"/>
          <w:szCs w:val="24"/>
          <w:spacing w:val="-3"/>
        </w:rPr>
        <w:t>个月更换一次，一年更换</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次，</w:t>
      </w:r>
      <w:r>
        <w:rPr>
          <w:rFonts w:ascii="Times New Roman" w:hAnsi="Times New Roman" w:eastAsia="Times New Roman" w:cs="Times New Roman"/>
          <w:sz w:val="24"/>
          <w:szCs w:val="24"/>
          <w:spacing w:val="-3"/>
        </w:rPr>
        <w:t>3000</w:t>
      </w:r>
      <w:r>
        <w:rPr>
          <w:sz w:val="24"/>
          <w:szCs w:val="24"/>
          <w:spacing w:val="-3"/>
        </w:rPr>
        <w:t>×</w:t>
      </w:r>
      <w:r>
        <w:rPr>
          <w:rFonts w:ascii="Times New Roman" w:hAnsi="Times New Roman" w:eastAsia="Times New Roman" w:cs="Times New Roman"/>
          <w:sz w:val="24"/>
          <w:szCs w:val="24"/>
          <w:spacing w:val="-3"/>
        </w:rPr>
        <w:t>3=9000m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3"/>
        </w:rPr>
        <w:t>，垫料密度约</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0.2g</w:t>
      </w:r>
      <w:r>
        <w:rPr>
          <w:rFonts w:ascii="Times New Roman" w:hAnsi="Times New Roman" w:eastAsia="Times New Roman" w:cs="Times New Roman"/>
          <w:sz w:val="24"/>
          <w:szCs w:val="24"/>
          <w:spacing w:val="-4"/>
        </w:rPr>
        <w:t>/cm</w:t>
      </w:r>
      <w:r>
        <w:rPr>
          <w:rFonts w:ascii="Times New Roman" w:hAnsi="Times New Roman" w:eastAsia="Times New Roman" w:cs="Times New Roman"/>
          <w:sz w:val="16"/>
          <w:szCs w:val="16"/>
          <w:spacing w:val="-4"/>
          <w:position w:val="10"/>
        </w:rPr>
        <w:t>3</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4"/>
        </w:rPr>
        <w:t>，故年</w:t>
      </w:r>
      <w:r>
        <w:rPr>
          <w:rFonts w:ascii="SimSun" w:hAnsi="SimSun" w:eastAsia="SimSun" w:cs="SimSun"/>
          <w:sz w:val="24"/>
          <w:szCs w:val="24"/>
          <w:spacing w:val="-3"/>
        </w:rPr>
        <w:t>使用垫料量约为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1800t</w:t>
      </w:r>
      <w:r>
        <w:rPr>
          <w:rFonts w:ascii="SimSun" w:hAnsi="SimSun" w:eastAsia="SimSun" w:cs="SimSun"/>
          <w:sz w:val="24"/>
          <w:szCs w:val="24"/>
          <w:spacing w:val="-3"/>
        </w:rPr>
        <w:t>。</w:t>
      </w:r>
    </w:p>
    <w:p>
      <w:pPr>
        <w:pStyle w:val="BodyText"/>
        <w:ind w:left="131" w:right="43" w:firstLine="483"/>
        <w:spacing w:before="1" w:line="357" w:lineRule="auto"/>
        <w:jc w:val="both"/>
        <w:rPr>
          <w:rFonts w:ascii="SimSun" w:hAnsi="SimSun" w:eastAsia="SimSun" w:cs="SimSun"/>
          <w:sz w:val="24"/>
          <w:szCs w:val="24"/>
        </w:rPr>
      </w:pPr>
      <w:r>
        <w:rPr>
          <w:rFonts w:ascii="SimSun" w:hAnsi="SimSun" w:eastAsia="SimSun" w:cs="SimSun"/>
          <w:sz w:val="24"/>
          <w:szCs w:val="24"/>
          <w:spacing w:val="-3"/>
        </w:rPr>
        <w:t>发酵床菌种可将牛粪及牛尿分解成菌体蛋白，能够有效的防止寄生虫的传染，</w:t>
      </w:r>
      <w:r>
        <w:rPr>
          <w:rFonts w:ascii="SimSun" w:hAnsi="SimSun" w:eastAsia="SimSun" w:cs="SimSun"/>
          <w:sz w:val="24"/>
          <w:szCs w:val="24"/>
          <w:spacing w:val="-2"/>
        </w:rPr>
        <w:t>减少牛舍氨气排放量，</w:t>
      </w:r>
      <w:r>
        <w:rPr>
          <w:rFonts w:ascii="Times New Roman" w:hAnsi="Times New Roman" w:eastAsia="Times New Roman" w:cs="Times New Roman"/>
          <w:sz w:val="24"/>
          <w:szCs w:val="24"/>
          <w:spacing w:val="-2"/>
        </w:rPr>
        <w:t>1m</w:t>
      </w:r>
      <w:r>
        <w:rPr>
          <w:rFonts w:ascii="Times New Roman" w:hAnsi="Times New Roman" w:eastAsia="Times New Roman" w:cs="Times New Roman"/>
          <w:sz w:val="16"/>
          <w:szCs w:val="16"/>
          <w:spacing w:val="-2"/>
          <w:position w:val="10"/>
        </w:rPr>
        <w:t>2</w:t>
      </w:r>
      <w:r>
        <w:rPr>
          <w:rFonts w:ascii="Times New Roman" w:hAnsi="Times New Roman" w:eastAsia="Times New Roman" w:cs="Times New Roman"/>
          <w:sz w:val="16"/>
          <w:szCs w:val="16"/>
          <w:spacing w:val="17"/>
          <w:w w:val="101"/>
          <w:position w:val="10"/>
        </w:rPr>
        <w:t xml:space="preserve"> </w:t>
      </w:r>
      <w:r>
        <w:rPr>
          <w:rFonts w:ascii="SimSun" w:hAnsi="SimSun" w:eastAsia="SimSun" w:cs="SimSun"/>
          <w:sz w:val="24"/>
          <w:szCs w:val="24"/>
          <w:spacing w:val="-2"/>
        </w:rPr>
        <w:t>牛舍需要</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2"/>
        </w:rPr>
        <w:t>公斤发酵床菌种</w:t>
      </w:r>
      <w:r>
        <w:rPr>
          <w:rFonts w:ascii="SimSun" w:hAnsi="SimSun" w:eastAsia="SimSun" w:cs="SimSun"/>
          <w:sz w:val="24"/>
          <w:szCs w:val="24"/>
          <w:spacing w:val="-3"/>
        </w:rPr>
        <w:t>，</w:t>
      </w:r>
      <w:r>
        <w:rPr>
          <w:rFonts w:ascii="Times New Roman" w:hAnsi="Times New Roman" w:eastAsia="Times New Roman" w:cs="Times New Roman"/>
          <w:sz w:val="24"/>
          <w:szCs w:val="24"/>
          <w:spacing w:val="-3"/>
        </w:rPr>
        <w:t>6000</w:t>
      </w:r>
      <w:r>
        <w:rPr>
          <w:sz w:val="24"/>
          <w:szCs w:val="24"/>
          <w:spacing w:val="-3"/>
        </w:rPr>
        <w:t>×</w:t>
      </w:r>
      <w:r>
        <w:rPr>
          <w:rFonts w:ascii="Times New Roman" w:hAnsi="Times New Roman" w:eastAsia="Times New Roman" w:cs="Times New Roman"/>
          <w:sz w:val="24"/>
          <w:szCs w:val="24"/>
          <w:spacing w:val="-3"/>
        </w:rPr>
        <w:t>1/1000</w:t>
      </w:r>
      <w:r>
        <w:rPr>
          <w:sz w:val="24"/>
          <w:szCs w:val="24"/>
          <w:spacing w:val="-3"/>
        </w:rPr>
        <w:t>×</w:t>
      </w:r>
      <w:r>
        <w:rPr>
          <w:rFonts w:ascii="Times New Roman" w:hAnsi="Times New Roman" w:eastAsia="Times New Roman" w:cs="Times New Roman"/>
          <w:sz w:val="24"/>
          <w:szCs w:val="24"/>
          <w:spacing w:val="-3"/>
        </w:rPr>
        <w:t>12=72t</w:t>
      </w:r>
      <w:r>
        <w:rPr>
          <w:rFonts w:ascii="SimSun" w:hAnsi="SimSun" w:eastAsia="SimSun" w:cs="SimSun"/>
          <w:sz w:val="24"/>
          <w:szCs w:val="24"/>
          <w:spacing w:val="-3"/>
        </w:rPr>
        <w:t>，本</w:t>
      </w:r>
      <w:r>
        <w:rPr>
          <w:rFonts w:ascii="SimSun" w:hAnsi="SimSun" w:eastAsia="SimSun" w:cs="SimSun"/>
          <w:sz w:val="24"/>
          <w:szCs w:val="24"/>
          <w:spacing w:val="-2"/>
        </w:rPr>
        <w:t>项目年需要发酵菌种量为</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72t</w:t>
      </w:r>
      <w:r>
        <w:rPr>
          <w:rFonts w:ascii="SimSun" w:hAnsi="SimSun" w:eastAsia="SimSun" w:cs="SimSun"/>
          <w:sz w:val="24"/>
          <w:szCs w:val="24"/>
          <w:spacing w:val="-2"/>
        </w:rPr>
        <w:t>。</w:t>
      </w:r>
    </w:p>
    <w:p>
      <w:pPr>
        <w:ind w:left="126"/>
        <w:spacing w:before="263"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3.2.2 </w:t>
      </w:r>
      <w:r>
        <w:rPr>
          <w:rFonts w:ascii="SimSun" w:hAnsi="SimSun" w:eastAsia="SimSun" w:cs="SimSun"/>
          <w:sz w:val="24"/>
          <w:szCs w:val="24"/>
          <w:b/>
          <w:bCs/>
          <w:spacing w:val="-2"/>
        </w:rPr>
        <w:t>主要生产设备</w:t>
      </w:r>
    </w:p>
    <w:p>
      <w:pPr>
        <w:pStyle w:val="BodyText"/>
        <w:spacing w:line="340" w:lineRule="auto"/>
        <w:rPr/>
      </w:pPr>
      <w:r/>
    </w:p>
    <w:p>
      <w:pPr>
        <w:ind w:left="603"/>
        <w:spacing w:before="79" w:line="233" w:lineRule="auto"/>
        <w:rPr>
          <w:rFonts w:ascii="SimSun" w:hAnsi="SimSun" w:eastAsia="SimSun" w:cs="SimSun"/>
          <w:sz w:val="24"/>
          <w:szCs w:val="24"/>
        </w:rPr>
      </w:pPr>
      <w:r>
        <w:rPr>
          <w:rFonts w:ascii="SimSun" w:hAnsi="SimSun" w:eastAsia="SimSun" w:cs="SimSun"/>
          <w:sz w:val="24"/>
          <w:szCs w:val="24"/>
          <w:spacing w:val="-2"/>
        </w:rPr>
        <w:t>本项目主要生产设备详见表</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3-7</w:t>
      </w:r>
      <w:r>
        <w:rPr>
          <w:rFonts w:ascii="SimSun" w:hAnsi="SimSun" w:eastAsia="SimSun" w:cs="SimSun"/>
          <w:sz w:val="24"/>
          <w:szCs w:val="24"/>
          <w:spacing w:val="-2"/>
        </w:rPr>
        <w:t>。</w:t>
      </w:r>
    </w:p>
    <w:p>
      <w:pPr>
        <w:ind w:left="2504"/>
        <w:spacing w:before="164"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2"/>
        </w:rPr>
        <w:t>3-7    </w:t>
      </w:r>
      <w:r>
        <w:rPr>
          <w:rFonts w:ascii="SimSun" w:hAnsi="SimSun" w:eastAsia="SimSun" w:cs="SimSun"/>
          <w:sz w:val="24"/>
          <w:szCs w:val="24"/>
          <w:b/>
          <w:bCs/>
          <w:spacing w:val="-2"/>
        </w:rPr>
        <w:t>养殖场主要生产设备一览表</w:t>
      </w:r>
    </w:p>
    <w:p>
      <w:pPr>
        <w:spacing w:line="13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1"/>
        <w:gridCol w:w="2699"/>
        <w:gridCol w:w="1418"/>
        <w:gridCol w:w="1274"/>
        <w:gridCol w:w="1843"/>
      </w:tblGrid>
      <w:tr>
        <w:trPr>
          <w:trHeight w:val="279" w:hRule="atLeast"/>
        </w:trPr>
        <w:tc>
          <w:tcPr>
            <w:tcW w:w="1501" w:type="dxa"/>
            <w:vAlign w:val="top"/>
            <w:tcBorders>
              <w:left w:val="nil"/>
              <w:top w:val="single" w:color="000000" w:sz="10" w:space="0"/>
            </w:tcBorders>
          </w:tcPr>
          <w:p>
            <w:pPr>
              <w:pStyle w:val="TableText"/>
              <w:ind w:left="552"/>
              <w:spacing w:before="35" w:line="205" w:lineRule="auto"/>
              <w:rPr/>
            </w:pPr>
            <w:r>
              <w:rPr>
                <w:b/>
                <w:bCs/>
                <w:spacing w:val="-4"/>
              </w:rPr>
              <w:t>序号</w:t>
            </w:r>
          </w:p>
        </w:tc>
        <w:tc>
          <w:tcPr>
            <w:tcW w:w="2699" w:type="dxa"/>
            <w:vAlign w:val="top"/>
            <w:tcBorders>
              <w:top w:val="single" w:color="000000" w:sz="10" w:space="0"/>
            </w:tcBorders>
          </w:tcPr>
          <w:p>
            <w:pPr>
              <w:pStyle w:val="TableText"/>
              <w:ind w:left="935"/>
              <w:spacing w:before="35" w:line="205" w:lineRule="auto"/>
              <w:rPr/>
            </w:pPr>
            <w:r>
              <w:rPr>
                <w:b/>
                <w:bCs/>
                <w:spacing w:val="-4"/>
              </w:rPr>
              <w:t>设备名称</w:t>
            </w:r>
          </w:p>
        </w:tc>
        <w:tc>
          <w:tcPr>
            <w:tcW w:w="1418" w:type="dxa"/>
            <w:vAlign w:val="top"/>
            <w:tcBorders>
              <w:top w:val="single" w:color="000000" w:sz="10" w:space="0"/>
            </w:tcBorders>
          </w:tcPr>
          <w:p>
            <w:pPr>
              <w:pStyle w:val="TableText"/>
              <w:ind w:left="502"/>
              <w:spacing w:before="35" w:line="205" w:lineRule="auto"/>
              <w:rPr/>
            </w:pPr>
            <w:r>
              <w:rPr>
                <w:b/>
                <w:bCs/>
                <w:spacing w:val="-5"/>
              </w:rPr>
              <w:t>单位</w:t>
            </w:r>
          </w:p>
        </w:tc>
        <w:tc>
          <w:tcPr>
            <w:tcW w:w="1274" w:type="dxa"/>
            <w:vAlign w:val="top"/>
            <w:tcBorders>
              <w:top w:val="single" w:color="000000" w:sz="10" w:space="0"/>
            </w:tcBorders>
          </w:tcPr>
          <w:p>
            <w:pPr>
              <w:pStyle w:val="TableText"/>
              <w:ind w:left="429"/>
              <w:spacing w:before="35" w:line="205" w:lineRule="auto"/>
              <w:rPr/>
            </w:pPr>
            <w:r>
              <w:rPr>
                <w:b/>
                <w:bCs/>
                <w:spacing w:val="-5"/>
              </w:rPr>
              <w:t>数量</w:t>
            </w:r>
          </w:p>
        </w:tc>
        <w:tc>
          <w:tcPr>
            <w:tcW w:w="1843" w:type="dxa"/>
            <w:vAlign w:val="top"/>
            <w:tcBorders>
              <w:right w:val="nil"/>
              <w:top w:val="single" w:color="000000" w:sz="10" w:space="0"/>
            </w:tcBorders>
          </w:tcPr>
          <w:p>
            <w:pPr>
              <w:pStyle w:val="TableText"/>
              <w:ind w:left="716"/>
              <w:spacing w:before="35" w:line="205" w:lineRule="auto"/>
              <w:rPr/>
            </w:pPr>
            <w:r>
              <w:rPr>
                <w:b/>
                <w:bCs/>
                <w:spacing w:val="-5"/>
              </w:rPr>
              <w:t>备注</w:t>
            </w:r>
          </w:p>
        </w:tc>
      </w:tr>
      <w:tr>
        <w:trPr>
          <w:trHeight w:val="278" w:hRule="atLeast"/>
        </w:trPr>
        <w:tc>
          <w:tcPr>
            <w:tcW w:w="1501" w:type="dxa"/>
            <w:vAlign w:val="top"/>
            <w:tcBorders>
              <w:left w:val="nil"/>
            </w:tcBorders>
          </w:tcPr>
          <w:p>
            <w:pPr>
              <w:pStyle w:val="TableText"/>
              <w:ind w:left="661"/>
              <w:spacing w:before="116" w:line="152" w:lineRule="exact"/>
              <w:rPr/>
            </w:pPr>
            <w:r>
              <w:rPr>
                <w:position w:val="-4"/>
              </w:rPr>
              <w:t>一</w:t>
            </w:r>
          </w:p>
        </w:tc>
        <w:tc>
          <w:tcPr>
            <w:tcW w:w="2699" w:type="dxa"/>
            <w:vAlign w:val="top"/>
          </w:tcPr>
          <w:p>
            <w:pPr>
              <w:pStyle w:val="TableText"/>
              <w:ind w:left="1036"/>
              <w:spacing w:before="37" w:line="203" w:lineRule="auto"/>
              <w:rPr/>
            </w:pPr>
            <w:r>
              <w:rPr>
                <w:b/>
                <w:bCs/>
                <w:spacing w:val="-4"/>
              </w:rPr>
              <w:t>饲养区</w:t>
            </w:r>
          </w:p>
        </w:tc>
        <w:tc>
          <w:tcPr>
            <w:tcW w:w="1418" w:type="dxa"/>
            <w:vAlign w:val="top"/>
          </w:tcPr>
          <w:p>
            <w:pPr>
              <w:rPr>
                <w:rFonts w:ascii="Arial"/>
                <w:sz w:val="21"/>
              </w:rPr>
            </w:pPr>
            <w:r/>
          </w:p>
        </w:tc>
        <w:tc>
          <w:tcPr>
            <w:tcW w:w="1274" w:type="dxa"/>
            <w:vAlign w:val="top"/>
          </w:tcPr>
          <w:p>
            <w:pPr>
              <w:rPr>
                <w:rFonts w:ascii="Arial"/>
                <w:sz w:val="21"/>
              </w:rPr>
            </w:pPr>
            <w:r/>
          </w:p>
        </w:tc>
        <w:tc>
          <w:tcPr>
            <w:tcW w:w="1843" w:type="dxa"/>
            <w:vAlign w:val="top"/>
            <w:tcBorders>
              <w:right w:val="nil"/>
            </w:tcBorders>
          </w:tcPr>
          <w:p>
            <w:pPr>
              <w:rPr>
                <w:rFonts w:ascii="Arial"/>
                <w:sz w:val="21"/>
              </w:rPr>
            </w:pPr>
            <w:r/>
          </w:p>
        </w:tc>
      </w:tr>
      <w:tr>
        <w:trPr>
          <w:trHeight w:val="271" w:hRule="atLeast"/>
        </w:trPr>
        <w:tc>
          <w:tcPr>
            <w:tcW w:w="1501" w:type="dxa"/>
            <w:vAlign w:val="top"/>
            <w:tcBorders>
              <w:left w:val="nil"/>
            </w:tcBorders>
          </w:tcPr>
          <w:p>
            <w:pPr>
              <w:ind w:left="682"/>
              <w:spacing w:before="6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9" w:type="dxa"/>
            <w:vAlign w:val="top"/>
          </w:tcPr>
          <w:p>
            <w:pPr>
              <w:pStyle w:val="TableText"/>
              <w:ind w:left="991"/>
              <w:spacing w:before="40" w:line="194" w:lineRule="auto"/>
              <w:rPr/>
            </w:pPr>
            <w:r>
              <w:rPr>
                <w:spacing w:val="-2"/>
              </w:rPr>
              <w:t>运牛车</w:t>
            </w:r>
          </w:p>
        </w:tc>
        <w:tc>
          <w:tcPr>
            <w:tcW w:w="1418" w:type="dxa"/>
            <w:vAlign w:val="top"/>
          </w:tcPr>
          <w:p>
            <w:pPr>
              <w:pStyle w:val="TableText"/>
              <w:ind w:left="623"/>
              <w:spacing w:before="40" w:line="194" w:lineRule="auto"/>
              <w:rPr/>
            </w:pPr>
            <w:r>
              <w:rPr/>
              <w:t>台</w:t>
            </w:r>
          </w:p>
        </w:tc>
        <w:tc>
          <w:tcPr>
            <w:tcW w:w="1274" w:type="dxa"/>
            <w:vAlign w:val="top"/>
          </w:tcPr>
          <w:p>
            <w:pPr>
              <w:ind w:left="536"/>
              <w:spacing w:before="6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3" w:type="dxa"/>
            <w:vAlign w:val="top"/>
            <w:tcBorders>
              <w:right w:val="nil"/>
            </w:tcBorders>
          </w:tcPr>
          <w:p>
            <w:pPr>
              <w:rPr>
                <w:rFonts w:ascii="Arial"/>
                <w:sz w:val="21"/>
              </w:rPr>
            </w:pPr>
            <w:r/>
          </w:p>
        </w:tc>
      </w:tr>
      <w:tr>
        <w:trPr>
          <w:trHeight w:val="273" w:hRule="atLeast"/>
        </w:trPr>
        <w:tc>
          <w:tcPr>
            <w:tcW w:w="1501" w:type="dxa"/>
            <w:vAlign w:val="top"/>
            <w:tcBorders>
              <w:left w:val="nil"/>
            </w:tcBorders>
          </w:tcPr>
          <w:p>
            <w:pPr>
              <w:ind w:left="661"/>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9" w:type="dxa"/>
            <w:vAlign w:val="top"/>
          </w:tcPr>
          <w:p>
            <w:pPr>
              <w:pStyle w:val="TableText"/>
              <w:ind w:left="817"/>
              <w:spacing w:before="44" w:line="192" w:lineRule="auto"/>
              <w:rPr/>
            </w:pPr>
            <w:r>
              <w:rPr>
                <w:spacing w:val="-8"/>
              </w:rPr>
              <w:t>自卸翻斗车</w:t>
            </w:r>
          </w:p>
        </w:tc>
        <w:tc>
          <w:tcPr>
            <w:tcW w:w="1418" w:type="dxa"/>
            <w:vAlign w:val="top"/>
          </w:tcPr>
          <w:p>
            <w:pPr>
              <w:pStyle w:val="TableText"/>
              <w:ind w:left="623"/>
              <w:spacing w:before="44" w:line="192" w:lineRule="auto"/>
              <w:rPr/>
            </w:pPr>
            <w:r>
              <w:rPr/>
              <w:t>台</w:t>
            </w:r>
          </w:p>
        </w:tc>
        <w:tc>
          <w:tcPr>
            <w:tcW w:w="1274" w:type="dxa"/>
            <w:vAlign w:val="top"/>
          </w:tcPr>
          <w:p>
            <w:pPr>
              <w:ind w:left="556"/>
              <w:spacing w:before="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tcBorders>
          </w:tcPr>
          <w:p>
            <w:pPr>
              <w:rPr>
                <w:rFonts w:ascii="Arial"/>
                <w:sz w:val="21"/>
              </w:rPr>
            </w:pPr>
            <w:r/>
          </w:p>
        </w:tc>
      </w:tr>
      <w:tr>
        <w:trPr>
          <w:trHeight w:val="297" w:hRule="atLeast"/>
        </w:trPr>
        <w:tc>
          <w:tcPr>
            <w:tcW w:w="1501" w:type="dxa"/>
            <w:vAlign w:val="top"/>
            <w:tcBorders>
              <w:left w:val="nil"/>
              <w:bottom w:val="single" w:color="000000" w:sz="10" w:space="0"/>
            </w:tcBorders>
          </w:tcPr>
          <w:p>
            <w:pPr>
              <w:ind w:left="666"/>
              <w:spacing w:before="7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99" w:type="dxa"/>
            <w:vAlign w:val="top"/>
            <w:tcBorders>
              <w:bottom w:val="single" w:color="000000" w:sz="10" w:space="0"/>
            </w:tcBorders>
          </w:tcPr>
          <w:p>
            <w:pPr>
              <w:pStyle w:val="TableText"/>
              <w:ind w:left="678"/>
              <w:spacing w:before="50" w:line="208" w:lineRule="auto"/>
              <w:rPr/>
            </w:pPr>
            <w:r>
              <w:rPr>
                <w:spacing w:val="-1"/>
              </w:rPr>
              <w:t>移动式消毒车</w:t>
            </w:r>
          </w:p>
        </w:tc>
        <w:tc>
          <w:tcPr>
            <w:tcW w:w="1418" w:type="dxa"/>
            <w:vAlign w:val="top"/>
            <w:tcBorders>
              <w:bottom w:val="single" w:color="000000" w:sz="10" w:space="0"/>
            </w:tcBorders>
          </w:tcPr>
          <w:p>
            <w:pPr>
              <w:pStyle w:val="TableText"/>
              <w:ind w:left="623"/>
              <w:spacing w:before="50" w:line="208" w:lineRule="auto"/>
              <w:rPr/>
            </w:pPr>
            <w:r>
              <w:rPr/>
              <w:t>台</w:t>
            </w:r>
          </w:p>
        </w:tc>
        <w:tc>
          <w:tcPr>
            <w:tcW w:w="1274" w:type="dxa"/>
            <w:vAlign w:val="top"/>
            <w:tcBorders>
              <w:bottom w:val="single" w:color="000000" w:sz="10" w:space="0"/>
            </w:tcBorders>
          </w:tcPr>
          <w:p>
            <w:pPr>
              <w:ind w:left="556"/>
              <w:spacing w:before="7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bottom w:val="single" w:color="000000" w:sz="10" w:space="0"/>
            </w:tcBorders>
          </w:tcPr>
          <w:p>
            <w:pPr>
              <w:rPr>
                <w:rFonts w:ascii="Arial"/>
                <w:sz w:val="21"/>
              </w:rPr>
            </w:pPr>
            <w:r/>
          </w:p>
        </w:tc>
      </w:tr>
    </w:tbl>
    <w:p>
      <w:pPr>
        <w:pStyle w:val="BodyText"/>
        <w:rPr/>
      </w:pPr>
      <w:r/>
    </w:p>
    <w:p>
      <w:pPr>
        <w:sectPr>
          <w:headerReference w:type="default" r:id="rId71"/>
          <w:pgSz w:w="11907" w:h="16839"/>
          <w:pgMar w:top="1390" w:right="1591" w:bottom="400" w:left="1579" w:header="1054" w:footer="0" w:gutter="0"/>
        </w:sectPr>
        <w:rPr/>
      </w:pPr>
    </w:p>
    <w:p>
      <w:pPr>
        <w:spacing w:line="4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0"/>
        <w:gridCol w:w="2699"/>
        <w:gridCol w:w="1418"/>
        <w:gridCol w:w="1275"/>
        <w:gridCol w:w="1843"/>
      </w:tblGrid>
      <w:tr>
        <w:trPr>
          <w:trHeight w:val="281" w:hRule="atLeast"/>
        </w:trPr>
        <w:tc>
          <w:tcPr>
            <w:tcW w:w="1500" w:type="dxa"/>
            <w:vAlign w:val="top"/>
            <w:tcBorders>
              <w:left w:val="nil"/>
              <w:top w:val="single" w:color="000000" w:sz="10" w:space="0"/>
            </w:tcBorders>
          </w:tcPr>
          <w:p>
            <w:pPr>
              <w:ind w:left="660"/>
              <w:spacing w:before="63"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99" w:type="dxa"/>
            <w:vAlign w:val="top"/>
            <w:tcBorders>
              <w:top w:val="single" w:color="000000" w:sz="10" w:space="0"/>
            </w:tcBorders>
          </w:tcPr>
          <w:p>
            <w:pPr>
              <w:pStyle w:val="TableText"/>
              <w:ind w:left="702"/>
              <w:spacing w:before="35" w:line="207" w:lineRule="auto"/>
              <w:rPr/>
            </w:pPr>
            <w:r>
              <w:rPr>
                <w:spacing w:val="-5"/>
              </w:rPr>
              <w:t>电加热饮水槽</w:t>
            </w:r>
          </w:p>
        </w:tc>
        <w:tc>
          <w:tcPr>
            <w:tcW w:w="1418" w:type="dxa"/>
            <w:vAlign w:val="top"/>
            <w:tcBorders>
              <w:top w:val="single" w:color="000000" w:sz="10" w:space="0"/>
            </w:tcBorders>
          </w:tcPr>
          <w:p>
            <w:pPr>
              <w:pStyle w:val="TableText"/>
              <w:ind w:left="624"/>
              <w:spacing w:before="35" w:line="207" w:lineRule="auto"/>
              <w:rPr/>
            </w:pPr>
            <w:r>
              <w:rPr/>
              <w:t>台</w:t>
            </w:r>
          </w:p>
        </w:tc>
        <w:tc>
          <w:tcPr>
            <w:tcW w:w="1275" w:type="dxa"/>
            <w:vAlign w:val="top"/>
            <w:tcBorders>
              <w:top w:val="single" w:color="000000" w:sz="10" w:space="0"/>
            </w:tcBorders>
          </w:tcPr>
          <w:p>
            <w:pPr>
              <w:ind w:left="505"/>
              <w:spacing w:before="63"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843" w:type="dxa"/>
            <w:vAlign w:val="top"/>
            <w:tcBorders>
              <w:right w:val="nil"/>
              <w:top w:val="single" w:color="000000" w:sz="10" w:space="0"/>
            </w:tcBorders>
          </w:tcPr>
          <w:p>
            <w:pPr>
              <w:rPr>
                <w:rFonts w:ascii="Arial"/>
                <w:sz w:val="21"/>
              </w:rPr>
            </w:pPr>
            <w:r/>
          </w:p>
        </w:tc>
      </w:tr>
      <w:tr>
        <w:trPr>
          <w:trHeight w:val="277" w:hRule="atLeast"/>
        </w:trPr>
        <w:tc>
          <w:tcPr>
            <w:tcW w:w="1500" w:type="dxa"/>
            <w:vAlign w:val="top"/>
            <w:tcBorders>
              <w:left w:val="nil"/>
            </w:tcBorders>
          </w:tcPr>
          <w:p>
            <w:pPr>
              <w:ind w:left="667"/>
              <w:spacing w:before="6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99" w:type="dxa"/>
            <w:vAlign w:val="top"/>
          </w:tcPr>
          <w:p>
            <w:pPr>
              <w:pStyle w:val="TableText"/>
              <w:ind w:left="991"/>
              <w:spacing w:before="31" w:line="207" w:lineRule="auto"/>
              <w:rPr/>
            </w:pPr>
            <w:r>
              <w:rPr>
                <w:spacing w:val="-1"/>
              </w:rPr>
              <w:t>透风帽</w:t>
            </w:r>
          </w:p>
        </w:tc>
        <w:tc>
          <w:tcPr>
            <w:tcW w:w="1418" w:type="dxa"/>
            <w:vAlign w:val="top"/>
          </w:tcPr>
          <w:p>
            <w:pPr>
              <w:pStyle w:val="TableText"/>
              <w:ind w:left="607"/>
              <w:spacing w:before="31" w:line="207" w:lineRule="auto"/>
              <w:rPr/>
            </w:pPr>
            <w:r>
              <w:rPr/>
              <w:t>个</w:t>
            </w:r>
          </w:p>
        </w:tc>
        <w:tc>
          <w:tcPr>
            <w:tcW w:w="1275" w:type="dxa"/>
            <w:vAlign w:val="top"/>
          </w:tcPr>
          <w:p>
            <w:pPr>
              <w:ind w:left="484"/>
              <w:spacing w:before="61"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843" w:type="dxa"/>
            <w:vAlign w:val="top"/>
            <w:tcBorders>
              <w:right w:val="nil"/>
            </w:tcBorders>
          </w:tcPr>
          <w:p>
            <w:pPr>
              <w:rPr>
                <w:rFonts w:ascii="Arial"/>
                <w:sz w:val="21"/>
              </w:rPr>
            </w:pPr>
            <w:r/>
          </w:p>
        </w:tc>
      </w:tr>
      <w:tr>
        <w:trPr>
          <w:trHeight w:val="274" w:hRule="atLeast"/>
        </w:trPr>
        <w:tc>
          <w:tcPr>
            <w:tcW w:w="1500" w:type="dxa"/>
            <w:vAlign w:val="top"/>
            <w:tcBorders>
              <w:left w:val="nil"/>
            </w:tcBorders>
          </w:tcPr>
          <w:p>
            <w:pPr>
              <w:ind w:left="666"/>
              <w:spacing w:before="59"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699" w:type="dxa"/>
            <w:vAlign w:val="top"/>
          </w:tcPr>
          <w:p>
            <w:pPr>
              <w:pStyle w:val="TableText"/>
              <w:ind w:left="1100"/>
              <w:spacing w:before="31" w:line="204" w:lineRule="auto"/>
              <w:rPr/>
            </w:pPr>
            <w:r>
              <w:rPr>
                <w:spacing w:val="-3"/>
              </w:rPr>
              <w:t>水泵</w:t>
            </w:r>
          </w:p>
        </w:tc>
        <w:tc>
          <w:tcPr>
            <w:tcW w:w="1418" w:type="dxa"/>
            <w:vAlign w:val="top"/>
          </w:tcPr>
          <w:p>
            <w:pPr>
              <w:pStyle w:val="TableText"/>
              <w:ind w:left="624"/>
              <w:spacing w:before="31" w:line="204" w:lineRule="auto"/>
              <w:rPr/>
            </w:pPr>
            <w:r>
              <w:rPr/>
              <w:t>台</w:t>
            </w:r>
          </w:p>
        </w:tc>
        <w:tc>
          <w:tcPr>
            <w:tcW w:w="1275" w:type="dxa"/>
            <w:vAlign w:val="top"/>
          </w:tcPr>
          <w:p>
            <w:pPr>
              <w:ind w:left="537"/>
              <w:spacing w:before="59"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3" w:type="dxa"/>
            <w:vAlign w:val="top"/>
            <w:tcBorders>
              <w:right w:val="nil"/>
            </w:tcBorders>
          </w:tcPr>
          <w:p>
            <w:pPr>
              <w:rPr>
                <w:rFonts w:ascii="Arial"/>
                <w:sz w:val="21"/>
              </w:rPr>
            </w:pPr>
            <w:r/>
          </w:p>
        </w:tc>
      </w:tr>
      <w:tr>
        <w:trPr>
          <w:trHeight w:val="277" w:hRule="atLeast"/>
        </w:trPr>
        <w:tc>
          <w:tcPr>
            <w:tcW w:w="1500" w:type="dxa"/>
            <w:vAlign w:val="top"/>
            <w:tcBorders>
              <w:left w:val="nil"/>
            </w:tcBorders>
          </w:tcPr>
          <w:p>
            <w:pPr>
              <w:ind w:left="665"/>
              <w:spacing w:before="6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699" w:type="dxa"/>
            <w:vAlign w:val="top"/>
          </w:tcPr>
          <w:p>
            <w:pPr>
              <w:pStyle w:val="TableText"/>
              <w:ind w:left="1099"/>
              <w:spacing w:before="33" w:line="205" w:lineRule="auto"/>
              <w:rPr/>
            </w:pPr>
            <w:r>
              <w:rPr>
                <w:spacing w:val="-2"/>
              </w:rPr>
              <w:t>风机</w:t>
            </w:r>
          </w:p>
        </w:tc>
        <w:tc>
          <w:tcPr>
            <w:tcW w:w="1418" w:type="dxa"/>
            <w:vAlign w:val="top"/>
          </w:tcPr>
          <w:p>
            <w:pPr>
              <w:pStyle w:val="TableText"/>
              <w:ind w:left="624"/>
              <w:spacing w:before="33" w:line="205" w:lineRule="auto"/>
              <w:rPr/>
            </w:pPr>
            <w:r>
              <w:rPr/>
              <w:t>台</w:t>
            </w:r>
          </w:p>
        </w:tc>
        <w:tc>
          <w:tcPr>
            <w:tcW w:w="1275" w:type="dxa"/>
            <w:vAlign w:val="top"/>
          </w:tcPr>
          <w:p>
            <w:pPr>
              <w:ind w:left="505"/>
              <w:spacing w:before="6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843" w:type="dxa"/>
            <w:vAlign w:val="top"/>
            <w:tcBorders>
              <w:right w:val="nil"/>
            </w:tcBorders>
          </w:tcPr>
          <w:p>
            <w:pPr>
              <w:rPr>
                <w:rFonts w:ascii="Arial"/>
                <w:sz w:val="21"/>
              </w:rPr>
            </w:pPr>
            <w:r/>
          </w:p>
        </w:tc>
      </w:tr>
      <w:tr>
        <w:trPr>
          <w:trHeight w:val="277" w:hRule="atLeast"/>
        </w:trPr>
        <w:tc>
          <w:tcPr>
            <w:tcW w:w="1500" w:type="dxa"/>
            <w:vAlign w:val="top"/>
            <w:tcBorders>
              <w:left w:val="nil"/>
            </w:tcBorders>
          </w:tcPr>
          <w:p>
            <w:pPr>
              <w:ind w:left="670"/>
              <w:spacing w:before="65"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699" w:type="dxa"/>
            <w:vAlign w:val="top"/>
          </w:tcPr>
          <w:p>
            <w:pPr>
              <w:pStyle w:val="TableText"/>
              <w:ind w:left="991"/>
              <w:spacing w:before="34" w:line="204" w:lineRule="auto"/>
              <w:rPr/>
            </w:pPr>
            <w:r>
              <w:rPr>
                <w:spacing w:val="-1"/>
              </w:rPr>
              <w:t>撒料机</w:t>
            </w:r>
          </w:p>
        </w:tc>
        <w:tc>
          <w:tcPr>
            <w:tcW w:w="1418" w:type="dxa"/>
            <w:vAlign w:val="top"/>
          </w:tcPr>
          <w:p>
            <w:pPr>
              <w:pStyle w:val="TableText"/>
              <w:ind w:left="624"/>
              <w:spacing w:before="34" w:line="204" w:lineRule="auto"/>
              <w:rPr/>
            </w:pPr>
            <w:r>
              <w:rPr/>
              <w:t>台</w:t>
            </w:r>
          </w:p>
        </w:tc>
        <w:tc>
          <w:tcPr>
            <w:tcW w:w="1275" w:type="dxa"/>
            <w:vAlign w:val="top"/>
          </w:tcPr>
          <w:p>
            <w:pPr>
              <w:ind w:left="537"/>
              <w:spacing w:before="65"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3" w:type="dxa"/>
            <w:vAlign w:val="top"/>
            <w:tcBorders>
              <w:right w:val="nil"/>
            </w:tcBorders>
          </w:tcPr>
          <w:p>
            <w:pPr>
              <w:rPr>
                <w:rFonts w:ascii="Arial"/>
                <w:sz w:val="21"/>
              </w:rPr>
            </w:pPr>
            <w:r/>
          </w:p>
        </w:tc>
      </w:tr>
      <w:tr>
        <w:trPr>
          <w:trHeight w:val="274" w:hRule="atLeast"/>
        </w:trPr>
        <w:tc>
          <w:tcPr>
            <w:tcW w:w="1500" w:type="dxa"/>
            <w:vAlign w:val="top"/>
            <w:tcBorders>
              <w:left w:val="nil"/>
            </w:tcBorders>
          </w:tcPr>
          <w:p>
            <w:pPr>
              <w:ind w:left="665"/>
              <w:spacing w:before="6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699" w:type="dxa"/>
            <w:vAlign w:val="top"/>
          </w:tcPr>
          <w:p>
            <w:pPr>
              <w:pStyle w:val="TableText"/>
              <w:ind w:left="992"/>
              <w:spacing w:before="36" w:line="200" w:lineRule="auto"/>
              <w:rPr/>
            </w:pPr>
            <w:r>
              <w:rPr>
                <w:spacing w:val="-2"/>
              </w:rPr>
              <w:t>清粪车</w:t>
            </w:r>
          </w:p>
        </w:tc>
        <w:tc>
          <w:tcPr>
            <w:tcW w:w="1418" w:type="dxa"/>
            <w:vAlign w:val="top"/>
          </w:tcPr>
          <w:p>
            <w:pPr>
              <w:pStyle w:val="TableText"/>
              <w:ind w:left="624"/>
              <w:spacing w:before="36" w:line="200" w:lineRule="auto"/>
              <w:rPr/>
            </w:pPr>
            <w:r>
              <w:rPr/>
              <w:t>台</w:t>
            </w:r>
          </w:p>
        </w:tc>
        <w:tc>
          <w:tcPr>
            <w:tcW w:w="1275" w:type="dxa"/>
            <w:vAlign w:val="top"/>
          </w:tcPr>
          <w:p>
            <w:pPr>
              <w:ind w:left="557"/>
              <w:spacing w:before="64"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tcBorders>
          </w:tcPr>
          <w:p>
            <w:pPr>
              <w:rPr>
                <w:rFonts w:ascii="Arial"/>
                <w:sz w:val="21"/>
              </w:rPr>
            </w:pPr>
            <w:r/>
          </w:p>
        </w:tc>
      </w:tr>
      <w:tr>
        <w:trPr>
          <w:trHeight w:val="322" w:hRule="atLeast"/>
        </w:trPr>
        <w:tc>
          <w:tcPr>
            <w:tcW w:w="1500" w:type="dxa"/>
            <w:vAlign w:val="top"/>
            <w:tcBorders>
              <w:left w:val="nil"/>
            </w:tcBorders>
          </w:tcPr>
          <w:p>
            <w:pPr>
              <w:pStyle w:val="TableText"/>
              <w:ind w:left="616"/>
              <w:spacing w:before="101" w:line="179" w:lineRule="auto"/>
              <w:rPr/>
            </w:pPr>
            <w:r>
              <w:rPr/>
              <w:t>二</w:t>
            </w:r>
          </w:p>
        </w:tc>
        <w:tc>
          <w:tcPr>
            <w:tcW w:w="2699" w:type="dxa"/>
            <w:vAlign w:val="top"/>
          </w:tcPr>
          <w:p>
            <w:pPr>
              <w:pStyle w:val="TableText"/>
              <w:ind w:left="1037"/>
              <w:spacing w:before="62" w:line="219" w:lineRule="auto"/>
              <w:rPr/>
            </w:pPr>
            <w:r>
              <w:rPr>
                <w:b/>
                <w:bCs/>
                <w:spacing w:val="-4"/>
              </w:rPr>
              <w:t>饲料区</w:t>
            </w:r>
          </w:p>
        </w:tc>
        <w:tc>
          <w:tcPr>
            <w:tcW w:w="1418" w:type="dxa"/>
            <w:vAlign w:val="top"/>
          </w:tcPr>
          <w:p>
            <w:pPr>
              <w:rPr>
                <w:rFonts w:ascii="Arial"/>
                <w:sz w:val="21"/>
              </w:rPr>
            </w:pPr>
            <w:r/>
          </w:p>
        </w:tc>
        <w:tc>
          <w:tcPr>
            <w:tcW w:w="1275" w:type="dxa"/>
            <w:vAlign w:val="top"/>
          </w:tcPr>
          <w:p>
            <w:pPr>
              <w:rPr>
                <w:rFonts w:ascii="Arial"/>
                <w:sz w:val="21"/>
              </w:rPr>
            </w:pPr>
            <w:r/>
          </w:p>
        </w:tc>
        <w:tc>
          <w:tcPr>
            <w:tcW w:w="1843" w:type="dxa"/>
            <w:vAlign w:val="top"/>
            <w:tcBorders>
              <w:right w:val="nil"/>
            </w:tcBorders>
          </w:tcPr>
          <w:p>
            <w:pPr>
              <w:rPr>
                <w:rFonts w:ascii="Arial"/>
                <w:sz w:val="21"/>
              </w:rPr>
            </w:pPr>
            <w:r/>
          </w:p>
        </w:tc>
      </w:tr>
      <w:tr>
        <w:trPr>
          <w:trHeight w:val="277" w:hRule="atLeast"/>
        </w:trPr>
        <w:tc>
          <w:tcPr>
            <w:tcW w:w="1500" w:type="dxa"/>
            <w:vAlign w:val="top"/>
            <w:tcBorders>
              <w:left w:val="nil"/>
            </w:tcBorders>
          </w:tcPr>
          <w:p>
            <w:pPr>
              <w:ind w:left="682"/>
              <w:spacing w:before="67"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9" w:type="dxa"/>
            <w:vAlign w:val="top"/>
          </w:tcPr>
          <w:p>
            <w:pPr>
              <w:pStyle w:val="TableText"/>
              <w:ind w:left="572"/>
              <w:spacing w:before="40" w:line="199" w:lineRule="auto"/>
              <w:rPr/>
            </w:pPr>
            <w:r>
              <w:rPr>
                <w:spacing w:val="-1"/>
              </w:rPr>
              <w:t>滑移轮式装载机</w:t>
            </w:r>
          </w:p>
        </w:tc>
        <w:tc>
          <w:tcPr>
            <w:tcW w:w="1418" w:type="dxa"/>
            <w:vAlign w:val="top"/>
          </w:tcPr>
          <w:p>
            <w:pPr>
              <w:pStyle w:val="TableText"/>
              <w:ind w:left="492"/>
              <w:spacing w:before="40" w:line="199" w:lineRule="auto"/>
              <w:rPr/>
            </w:pPr>
            <w:r>
              <w:rPr>
                <w:spacing w:val="-8"/>
              </w:rPr>
              <w:t>台</w:t>
            </w:r>
            <w:r>
              <w:rPr>
                <w:rFonts w:ascii="Times New Roman" w:hAnsi="Times New Roman" w:eastAsia="Times New Roman" w:cs="Times New Roman"/>
                <w:spacing w:val="-8"/>
              </w:rPr>
              <w:t>/</w:t>
            </w:r>
            <w:r>
              <w:rPr>
                <w:spacing w:val="-8"/>
              </w:rPr>
              <w:t>套</w:t>
            </w:r>
          </w:p>
        </w:tc>
        <w:tc>
          <w:tcPr>
            <w:tcW w:w="1275" w:type="dxa"/>
            <w:vAlign w:val="top"/>
          </w:tcPr>
          <w:p>
            <w:pPr>
              <w:ind w:left="557"/>
              <w:spacing w:before="67"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tcBorders>
          </w:tcPr>
          <w:p>
            <w:pPr>
              <w:rPr>
                <w:rFonts w:ascii="Arial"/>
                <w:sz w:val="21"/>
              </w:rPr>
            </w:pPr>
            <w:r/>
          </w:p>
        </w:tc>
      </w:tr>
      <w:tr>
        <w:trPr>
          <w:trHeight w:val="274" w:hRule="atLeast"/>
        </w:trPr>
        <w:tc>
          <w:tcPr>
            <w:tcW w:w="1500" w:type="dxa"/>
            <w:vAlign w:val="top"/>
            <w:tcBorders>
              <w:left w:val="nil"/>
            </w:tcBorders>
          </w:tcPr>
          <w:p>
            <w:pPr>
              <w:ind w:left="661"/>
              <w:spacing w:before="68"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9" w:type="dxa"/>
            <w:vAlign w:val="top"/>
          </w:tcPr>
          <w:p>
            <w:pPr>
              <w:pStyle w:val="TableText"/>
              <w:ind w:left="991"/>
              <w:spacing w:before="41" w:line="196" w:lineRule="auto"/>
              <w:rPr/>
            </w:pPr>
            <w:r>
              <w:rPr>
                <w:spacing w:val="-1"/>
              </w:rPr>
              <w:t>输送机</w:t>
            </w:r>
          </w:p>
        </w:tc>
        <w:tc>
          <w:tcPr>
            <w:tcW w:w="1418" w:type="dxa"/>
            <w:vAlign w:val="top"/>
          </w:tcPr>
          <w:p>
            <w:pPr>
              <w:pStyle w:val="TableText"/>
              <w:ind w:left="624"/>
              <w:spacing w:before="41" w:line="196" w:lineRule="auto"/>
              <w:rPr/>
            </w:pPr>
            <w:r>
              <w:rPr/>
              <w:t>台</w:t>
            </w:r>
          </w:p>
        </w:tc>
        <w:tc>
          <w:tcPr>
            <w:tcW w:w="1275" w:type="dxa"/>
            <w:vAlign w:val="top"/>
          </w:tcPr>
          <w:p>
            <w:pPr>
              <w:ind w:left="537"/>
              <w:spacing w:before="68"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3" w:type="dxa"/>
            <w:vAlign w:val="top"/>
            <w:tcBorders>
              <w:right w:val="nil"/>
            </w:tcBorders>
          </w:tcPr>
          <w:p>
            <w:pPr>
              <w:rPr>
                <w:rFonts w:ascii="Arial"/>
                <w:sz w:val="21"/>
              </w:rPr>
            </w:pPr>
            <w:r/>
          </w:p>
        </w:tc>
      </w:tr>
      <w:tr>
        <w:trPr>
          <w:trHeight w:val="281" w:hRule="atLeast"/>
        </w:trPr>
        <w:tc>
          <w:tcPr>
            <w:tcW w:w="1500" w:type="dxa"/>
            <w:vAlign w:val="top"/>
            <w:tcBorders>
              <w:left w:val="nil"/>
            </w:tcBorders>
          </w:tcPr>
          <w:p>
            <w:pPr>
              <w:pStyle w:val="TableText"/>
              <w:ind w:left="632"/>
              <w:spacing w:before="45" w:line="198" w:lineRule="auto"/>
              <w:rPr/>
            </w:pPr>
            <w:r>
              <w:rPr>
                <w:b/>
                <w:bCs/>
                <w:spacing w:val="-3"/>
              </w:rPr>
              <w:t>四</w:t>
            </w:r>
          </w:p>
        </w:tc>
        <w:tc>
          <w:tcPr>
            <w:tcW w:w="2699" w:type="dxa"/>
            <w:vAlign w:val="top"/>
          </w:tcPr>
          <w:p>
            <w:pPr>
              <w:pStyle w:val="TableText"/>
              <w:ind w:left="785"/>
              <w:spacing w:before="45" w:line="198" w:lineRule="auto"/>
              <w:rPr/>
            </w:pPr>
            <w:r>
              <w:rPr>
                <w:b/>
                <w:bCs/>
                <w:spacing w:val="-4"/>
              </w:rPr>
              <w:t>办公管理区</w:t>
            </w:r>
          </w:p>
        </w:tc>
        <w:tc>
          <w:tcPr>
            <w:tcW w:w="1418" w:type="dxa"/>
            <w:vAlign w:val="top"/>
          </w:tcPr>
          <w:p>
            <w:pPr>
              <w:rPr>
                <w:rFonts w:ascii="Arial"/>
                <w:sz w:val="21"/>
              </w:rPr>
            </w:pPr>
            <w:r/>
          </w:p>
        </w:tc>
        <w:tc>
          <w:tcPr>
            <w:tcW w:w="1275" w:type="dxa"/>
            <w:vAlign w:val="top"/>
          </w:tcPr>
          <w:p>
            <w:pPr>
              <w:rPr>
                <w:rFonts w:ascii="Arial"/>
                <w:sz w:val="21"/>
              </w:rPr>
            </w:pPr>
            <w:r/>
          </w:p>
        </w:tc>
        <w:tc>
          <w:tcPr>
            <w:tcW w:w="1843" w:type="dxa"/>
            <w:vAlign w:val="top"/>
            <w:tcBorders>
              <w:right w:val="nil"/>
            </w:tcBorders>
          </w:tcPr>
          <w:p>
            <w:pPr>
              <w:rPr>
                <w:rFonts w:ascii="Arial"/>
                <w:sz w:val="21"/>
              </w:rPr>
            </w:pPr>
            <w:r/>
          </w:p>
        </w:tc>
      </w:tr>
      <w:tr>
        <w:trPr>
          <w:trHeight w:val="282" w:hRule="atLeast"/>
        </w:trPr>
        <w:tc>
          <w:tcPr>
            <w:tcW w:w="1500" w:type="dxa"/>
            <w:vAlign w:val="top"/>
            <w:tcBorders>
              <w:left w:val="nil"/>
            </w:tcBorders>
          </w:tcPr>
          <w:p>
            <w:pPr>
              <w:ind w:left="682"/>
              <w:spacing w:before="7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9" w:type="dxa"/>
            <w:vAlign w:val="top"/>
          </w:tcPr>
          <w:p>
            <w:pPr>
              <w:pStyle w:val="TableText"/>
              <w:ind w:left="787"/>
              <w:spacing w:before="47" w:line="197" w:lineRule="auto"/>
              <w:rPr/>
            </w:pPr>
            <w:r>
              <w:rPr>
                <w:spacing w:val="-2"/>
              </w:rPr>
              <w:t>油烟净化器</w:t>
            </w:r>
          </w:p>
        </w:tc>
        <w:tc>
          <w:tcPr>
            <w:tcW w:w="1418" w:type="dxa"/>
            <w:vAlign w:val="top"/>
          </w:tcPr>
          <w:p>
            <w:pPr>
              <w:pStyle w:val="TableText"/>
              <w:ind w:left="624"/>
              <w:spacing w:before="45" w:line="199" w:lineRule="auto"/>
              <w:rPr/>
            </w:pPr>
            <w:r>
              <w:rPr/>
              <w:t>台</w:t>
            </w:r>
          </w:p>
        </w:tc>
        <w:tc>
          <w:tcPr>
            <w:tcW w:w="1275" w:type="dxa"/>
            <w:vAlign w:val="top"/>
          </w:tcPr>
          <w:p>
            <w:pPr>
              <w:ind w:left="557"/>
              <w:spacing w:before="77"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tcBorders>
          </w:tcPr>
          <w:p>
            <w:pPr>
              <w:rPr>
                <w:rFonts w:ascii="Arial"/>
                <w:sz w:val="21"/>
              </w:rPr>
            </w:pPr>
            <w:r/>
          </w:p>
        </w:tc>
      </w:tr>
      <w:tr>
        <w:trPr>
          <w:trHeight w:val="281" w:hRule="atLeast"/>
        </w:trPr>
        <w:tc>
          <w:tcPr>
            <w:tcW w:w="1500" w:type="dxa"/>
            <w:vAlign w:val="top"/>
            <w:tcBorders>
              <w:left w:val="nil"/>
            </w:tcBorders>
          </w:tcPr>
          <w:p>
            <w:pPr>
              <w:ind w:left="661"/>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9" w:type="dxa"/>
            <w:vAlign w:val="top"/>
          </w:tcPr>
          <w:p>
            <w:pPr>
              <w:pStyle w:val="TableText"/>
              <w:ind w:left="889"/>
              <w:spacing w:before="48" w:line="196" w:lineRule="auto"/>
              <w:rPr/>
            </w:pPr>
            <w:r>
              <w:rPr>
                <w:spacing w:val="-2"/>
              </w:rPr>
              <w:t>配电设备</w:t>
            </w:r>
          </w:p>
        </w:tc>
        <w:tc>
          <w:tcPr>
            <w:tcW w:w="1418" w:type="dxa"/>
            <w:vAlign w:val="top"/>
          </w:tcPr>
          <w:p>
            <w:pPr>
              <w:pStyle w:val="TableText"/>
              <w:ind w:left="608"/>
              <w:spacing w:before="45" w:line="198" w:lineRule="auto"/>
              <w:rPr/>
            </w:pPr>
            <w:r>
              <w:rPr/>
              <w:t>套</w:t>
            </w:r>
          </w:p>
        </w:tc>
        <w:tc>
          <w:tcPr>
            <w:tcW w:w="1275" w:type="dxa"/>
            <w:vAlign w:val="top"/>
          </w:tcPr>
          <w:p>
            <w:pPr>
              <w:ind w:left="557"/>
              <w:spacing w:before="7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tcBorders>
          </w:tcPr>
          <w:p>
            <w:pPr>
              <w:rPr>
                <w:rFonts w:ascii="Arial"/>
                <w:sz w:val="21"/>
              </w:rPr>
            </w:pPr>
            <w:r/>
          </w:p>
        </w:tc>
      </w:tr>
      <w:tr>
        <w:trPr>
          <w:trHeight w:val="282" w:hRule="atLeast"/>
        </w:trPr>
        <w:tc>
          <w:tcPr>
            <w:tcW w:w="1500" w:type="dxa"/>
            <w:vAlign w:val="top"/>
            <w:tcBorders>
              <w:left w:val="nil"/>
            </w:tcBorders>
          </w:tcPr>
          <w:p>
            <w:pPr>
              <w:pStyle w:val="TableText"/>
              <w:ind w:left="616"/>
              <w:spacing w:before="50" w:line="195" w:lineRule="auto"/>
              <w:rPr/>
            </w:pPr>
            <w:r>
              <w:rPr/>
              <w:t>五</w:t>
            </w:r>
          </w:p>
        </w:tc>
        <w:tc>
          <w:tcPr>
            <w:tcW w:w="2699" w:type="dxa"/>
            <w:vAlign w:val="top"/>
          </w:tcPr>
          <w:p>
            <w:pPr>
              <w:pStyle w:val="TableText"/>
              <w:ind w:left="676"/>
              <w:spacing w:before="50" w:line="195" w:lineRule="auto"/>
              <w:rPr/>
            </w:pPr>
            <w:r>
              <w:rPr>
                <w:b/>
                <w:bCs/>
                <w:spacing w:val="-3"/>
              </w:rPr>
              <w:t>其他辅助设备</w:t>
            </w:r>
          </w:p>
        </w:tc>
        <w:tc>
          <w:tcPr>
            <w:tcW w:w="1418" w:type="dxa"/>
            <w:vAlign w:val="top"/>
          </w:tcPr>
          <w:p>
            <w:pPr>
              <w:rPr>
                <w:rFonts w:ascii="Arial"/>
                <w:sz w:val="21"/>
              </w:rPr>
            </w:pPr>
            <w:r/>
          </w:p>
        </w:tc>
        <w:tc>
          <w:tcPr>
            <w:tcW w:w="1275" w:type="dxa"/>
            <w:vAlign w:val="top"/>
          </w:tcPr>
          <w:p>
            <w:pPr>
              <w:rPr>
                <w:rFonts w:ascii="Arial"/>
                <w:sz w:val="21"/>
              </w:rPr>
            </w:pPr>
            <w:r/>
          </w:p>
        </w:tc>
        <w:tc>
          <w:tcPr>
            <w:tcW w:w="1843" w:type="dxa"/>
            <w:vAlign w:val="top"/>
            <w:tcBorders>
              <w:right w:val="nil"/>
            </w:tcBorders>
          </w:tcPr>
          <w:p>
            <w:pPr>
              <w:rPr>
                <w:rFonts w:ascii="Arial"/>
                <w:sz w:val="21"/>
              </w:rPr>
            </w:pPr>
            <w:r/>
          </w:p>
        </w:tc>
      </w:tr>
      <w:tr>
        <w:trPr>
          <w:trHeight w:val="277" w:hRule="atLeast"/>
        </w:trPr>
        <w:tc>
          <w:tcPr>
            <w:tcW w:w="1500" w:type="dxa"/>
            <w:vAlign w:val="top"/>
            <w:tcBorders>
              <w:left w:val="nil"/>
            </w:tcBorders>
          </w:tcPr>
          <w:p>
            <w:pPr>
              <w:ind w:left="682"/>
              <w:spacing w:before="7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99" w:type="dxa"/>
            <w:vAlign w:val="top"/>
          </w:tcPr>
          <w:p>
            <w:pPr>
              <w:pStyle w:val="TableText"/>
              <w:ind w:left="1098"/>
              <w:spacing w:before="49" w:line="191" w:lineRule="auto"/>
              <w:rPr/>
            </w:pPr>
            <w:r>
              <w:rPr>
                <w:spacing w:val="-2"/>
              </w:rPr>
              <w:t>地磅</w:t>
            </w:r>
          </w:p>
        </w:tc>
        <w:tc>
          <w:tcPr>
            <w:tcW w:w="1418" w:type="dxa"/>
            <w:vAlign w:val="top"/>
          </w:tcPr>
          <w:p>
            <w:pPr>
              <w:pStyle w:val="TableText"/>
              <w:ind w:left="624"/>
              <w:spacing w:before="49" w:line="191" w:lineRule="auto"/>
              <w:rPr/>
            </w:pPr>
            <w:r>
              <w:rPr/>
              <w:t>台</w:t>
            </w:r>
          </w:p>
        </w:tc>
        <w:tc>
          <w:tcPr>
            <w:tcW w:w="1275" w:type="dxa"/>
            <w:vAlign w:val="top"/>
          </w:tcPr>
          <w:p>
            <w:pPr>
              <w:ind w:left="557"/>
              <w:spacing w:before="7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3" w:type="dxa"/>
            <w:vAlign w:val="top"/>
            <w:tcBorders>
              <w:right w:val="nil"/>
            </w:tcBorders>
          </w:tcPr>
          <w:p>
            <w:pPr>
              <w:rPr>
                <w:rFonts w:ascii="Arial"/>
                <w:sz w:val="21"/>
              </w:rPr>
            </w:pPr>
            <w:r/>
          </w:p>
        </w:tc>
      </w:tr>
      <w:tr>
        <w:trPr>
          <w:trHeight w:val="281" w:hRule="atLeast"/>
        </w:trPr>
        <w:tc>
          <w:tcPr>
            <w:tcW w:w="1500" w:type="dxa"/>
            <w:vAlign w:val="top"/>
            <w:tcBorders>
              <w:left w:val="nil"/>
            </w:tcBorders>
          </w:tcPr>
          <w:p>
            <w:pPr>
              <w:ind w:left="661"/>
              <w:spacing w:before="8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99" w:type="dxa"/>
            <w:vAlign w:val="top"/>
          </w:tcPr>
          <w:p>
            <w:pPr>
              <w:pStyle w:val="TableText"/>
              <w:ind w:left="1100"/>
              <w:spacing w:before="53" w:line="191" w:lineRule="auto"/>
              <w:rPr/>
            </w:pPr>
            <w:r>
              <w:rPr>
                <w:spacing w:val="-3"/>
              </w:rPr>
              <w:t>水泵</w:t>
            </w:r>
          </w:p>
        </w:tc>
        <w:tc>
          <w:tcPr>
            <w:tcW w:w="1418" w:type="dxa"/>
            <w:vAlign w:val="top"/>
          </w:tcPr>
          <w:p>
            <w:pPr>
              <w:pStyle w:val="TableText"/>
              <w:ind w:left="624"/>
              <w:spacing w:before="51" w:line="193" w:lineRule="auto"/>
              <w:rPr/>
            </w:pPr>
            <w:r>
              <w:rPr/>
              <w:t>台</w:t>
            </w:r>
          </w:p>
        </w:tc>
        <w:tc>
          <w:tcPr>
            <w:tcW w:w="1275" w:type="dxa"/>
            <w:vAlign w:val="top"/>
          </w:tcPr>
          <w:p>
            <w:pPr>
              <w:ind w:left="537"/>
              <w:spacing w:before="8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3" w:type="dxa"/>
            <w:vAlign w:val="top"/>
            <w:tcBorders>
              <w:right w:val="nil"/>
            </w:tcBorders>
          </w:tcPr>
          <w:p>
            <w:pPr>
              <w:rPr>
                <w:rFonts w:ascii="Arial"/>
                <w:sz w:val="21"/>
              </w:rPr>
            </w:pPr>
            <w:r/>
          </w:p>
        </w:tc>
      </w:tr>
      <w:tr>
        <w:trPr>
          <w:trHeight w:val="305" w:hRule="atLeast"/>
        </w:trPr>
        <w:tc>
          <w:tcPr>
            <w:tcW w:w="1500" w:type="dxa"/>
            <w:vAlign w:val="top"/>
            <w:tcBorders>
              <w:left w:val="nil"/>
              <w:bottom w:val="single" w:color="000000" w:sz="10" w:space="0"/>
            </w:tcBorders>
          </w:tcPr>
          <w:p>
            <w:pPr>
              <w:ind w:left="666"/>
              <w:spacing w:before="8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99" w:type="dxa"/>
            <w:vAlign w:val="top"/>
            <w:tcBorders>
              <w:bottom w:val="single" w:color="000000" w:sz="10" w:space="0"/>
            </w:tcBorders>
          </w:tcPr>
          <w:p>
            <w:pPr>
              <w:pStyle w:val="TableText"/>
              <w:ind w:left="890"/>
              <w:spacing w:before="54" w:line="211" w:lineRule="auto"/>
              <w:rPr/>
            </w:pPr>
            <w:r>
              <w:rPr>
                <w:spacing w:val="-2"/>
              </w:rPr>
              <w:t>监控设备</w:t>
            </w:r>
          </w:p>
        </w:tc>
        <w:tc>
          <w:tcPr>
            <w:tcW w:w="1418" w:type="dxa"/>
            <w:vAlign w:val="top"/>
            <w:tcBorders>
              <w:bottom w:val="single" w:color="000000" w:sz="10" w:space="0"/>
            </w:tcBorders>
          </w:tcPr>
          <w:p>
            <w:pPr>
              <w:pStyle w:val="TableText"/>
              <w:ind w:left="608"/>
              <w:spacing w:before="52" w:line="213" w:lineRule="auto"/>
              <w:rPr/>
            </w:pPr>
            <w:r>
              <w:rPr/>
              <w:t>套</w:t>
            </w:r>
          </w:p>
        </w:tc>
        <w:tc>
          <w:tcPr>
            <w:tcW w:w="1275" w:type="dxa"/>
            <w:vAlign w:val="top"/>
            <w:tcBorders>
              <w:bottom w:val="single" w:color="000000" w:sz="10" w:space="0"/>
            </w:tcBorders>
          </w:tcPr>
          <w:p>
            <w:pPr>
              <w:ind w:left="546"/>
              <w:spacing w:before="8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843" w:type="dxa"/>
            <w:vAlign w:val="top"/>
            <w:tcBorders>
              <w:right w:val="nil"/>
              <w:bottom w:val="single" w:color="000000" w:sz="10" w:space="0"/>
            </w:tcBorders>
          </w:tcPr>
          <w:p>
            <w:pPr>
              <w:rPr>
                <w:rFonts w:ascii="Arial"/>
                <w:sz w:val="21"/>
              </w:rPr>
            </w:pPr>
            <w:r/>
          </w:p>
        </w:tc>
      </w:tr>
    </w:tbl>
    <w:p>
      <w:pPr>
        <w:ind w:left="126"/>
        <w:spacing w:before="295"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3.2.3 </w:t>
      </w:r>
      <w:r>
        <w:rPr>
          <w:rFonts w:ascii="SimSun" w:hAnsi="SimSun" w:eastAsia="SimSun" w:cs="SimSun"/>
          <w:sz w:val="24"/>
          <w:szCs w:val="24"/>
          <w:b/>
          <w:bCs/>
          <w:spacing w:val="-2"/>
        </w:rPr>
        <w:t>生产技术方案及工艺流程</w:t>
      </w:r>
    </w:p>
    <w:p>
      <w:pPr>
        <w:pStyle w:val="BodyText"/>
        <w:spacing w:line="360" w:lineRule="auto"/>
        <w:rPr/>
      </w:pPr>
      <w:r/>
    </w:p>
    <w:p>
      <w:pPr>
        <w:ind w:left="126"/>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1"/>
        </w:rPr>
        <w:t>3.2.3.1 </w:t>
      </w:r>
      <w:r>
        <w:rPr>
          <w:rFonts w:ascii="SimSun" w:hAnsi="SimSun" w:eastAsia="SimSun" w:cs="SimSun"/>
          <w:sz w:val="24"/>
          <w:szCs w:val="24"/>
          <w:b/>
          <w:bCs/>
          <w:spacing w:val="-1"/>
        </w:rPr>
        <w:t>养殖工艺流程</w:t>
      </w:r>
    </w:p>
    <w:p>
      <w:pPr>
        <w:pStyle w:val="BodyText"/>
        <w:spacing w:line="375" w:lineRule="auto"/>
        <w:rPr/>
      </w:pPr>
      <w:r/>
    </w:p>
    <w:p>
      <w:pPr>
        <w:ind w:left="618"/>
        <w:spacing w:before="78"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）饲养管理</w:t>
      </w:r>
    </w:p>
    <w:p>
      <w:pPr>
        <w:ind w:left="132" w:right="111" w:firstLine="479"/>
        <w:spacing w:before="165" w:line="359" w:lineRule="auto"/>
        <w:rPr>
          <w:rFonts w:ascii="SimSun" w:hAnsi="SimSun" w:eastAsia="SimSun" w:cs="SimSun"/>
          <w:sz w:val="24"/>
          <w:szCs w:val="24"/>
        </w:rPr>
      </w:pPr>
      <w:r>
        <w:rPr>
          <w:rFonts w:ascii="SimSun" w:hAnsi="SimSun" w:eastAsia="SimSun" w:cs="SimSun"/>
          <w:sz w:val="24"/>
          <w:szCs w:val="24"/>
          <w:spacing w:val="3"/>
        </w:rPr>
        <w:t>本项目采用精心饲养管理和技术密集型的集约化生产系</w:t>
      </w:r>
      <w:r>
        <w:rPr>
          <w:rFonts w:ascii="SimSun" w:hAnsi="SimSun" w:eastAsia="SimSun" w:cs="SimSun"/>
          <w:sz w:val="24"/>
          <w:szCs w:val="24"/>
          <w:spacing w:val="2"/>
        </w:rPr>
        <w:t>统，在应用先进生产</w:t>
      </w:r>
      <w:r>
        <w:rPr>
          <w:rFonts w:ascii="SimSun" w:hAnsi="SimSun" w:eastAsia="SimSun" w:cs="SimSun"/>
          <w:sz w:val="24"/>
          <w:szCs w:val="24"/>
          <w:spacing w:val="2"/>
        </w:rPr>
        <w:t>工艺的同时，通过降低肉牛生产的固定成本，充分发挥项目区的优势，实行标准</w:t>
      </w:r>
      <w:r>
        <w:rPr>
          <w:rFonts w:ascii="SimSun" w:hAnsi="SimSun" w:eastAsia="SimSun" w:cs="SimSun"/>
          <w:sz w:val="24"/>
          <w:szCs w:val="24"/>
          <w:spacing w:val="-1"/>
        </w:rPr>
        <w:t>化营养，加强肉牛育肥期的饲养管理，以加快肉牛生</w:t>
      </w:r>
      <w:r>
        <w:rPr>
          <w:rFonts w:ascii="SimSun" w:hAnsi="SimSun" w:eastAsia="SimSun" w:cs="SimSun"/>
          <w:sz w:val="24"/>
          <w:szCs w:val="24"/>
          <w:spacing w:val="-2"/>
        </w:rPr>
        <w:t>长速度，提高生产效率。</w:t>
      </w:r>
    </w:p>
    <w:p>
      <w:pPr>
        <w:ind w:left="558"/>
        <w:spacing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）肉牛饲养</w:t>
      </w:r>
    </w:p>
    <w:p>
      <w:pPr>
        <w:pStyle w:val="BodyText"/>
        <w:spacing w:line="410" w:lineRule="auto"/>
        <w:rPr/>
      </w:pPr>
      <w:r/>
    </w:p>
    <w:p>
      <w:pPr>
        <w:ind w:left="2932"/>
        <w:spacing w:before="65" w:line="226" w:lineRule="auto"/>
        <w:rPr>
          <w:rFonts w:ascii="SimSun" w:hAnsi="SimSun" w:eastAsia="SimSun" w:cs="SimSun"/>
          <w:sz w:val="20"/>
          <w:szCs w:val="20"/>
        </w:rPr>
      </w:pPr>
      <w:r>
        <w:rPr>
          <w:rFonts w:ascii="SimSun" w:hAnsi="SimSun" w:eastAsia="SimSun" w:cs="SimSun"/>
          <w:sz w:val="20"/>
          <w:szCs w:val="20"/>
          <w:spacing w:val="-25"/>
          <w:w w:val="96"/>
        </w:rPr>
        <w:t>噪声、废气、固废</w:t>
      </w:r>
      <w:r>
        <w:rPr>
          <w:rFonts w:ascii="SimSun" w:hAnsi="SimSun" w:eastAsia="SimSun" w:cs="SimSun"/>
          <w:sz w:val="20"/>
          <w:szCs w:val="20"/>
          <w:spacing w:val="3"/>
        </w:rPr>
        <w:t xml:space="preserve">       </w:t>
      </w:r>
      <w:r>
        <w:rPr>
          <w:rFonts w:ascii="SimSun" w:hAnsi="SimSun" w:eastAsia="SimSun" w:cs="SimSun"/>
          <w:sz w:val="20"/>
          <w:szCs w:val="20"/>
          <w:spacing w:val="-25"/>
          <w:w w:val="96"/>
        </w:rPr>
        <w:t>噪声、废气、固废</w:t>
      </w:r>
    </w:p>
    <w:p>
      <w:pPr>
        <w:pStyle w:val="BodyText"/>
        <w:spacing w:line="381" w:lineRule="auto"/>
        <w:rPr/>
      </w:pPr>
      <w:r>
        <w:pict>
          <v:group id="_x0000_s164" style="position:absolute;margin-left:40.7107pt;margin-top:4.04681pt;mso-position-vertical-relative:text;mso-position-horizontal-relative:text;width:352.1pt;height:33.15pt;z-index:-251594752;" filled="false" stroked="false" coordsize="7042,663" coordorigin="0,0">
            <v:shape id="_x0000_s166" style="position:absolute;left:4320;top:291;width:2721;height:370;" filled="false" strokecolor="#000000" strokeweight="0.28pt" coordsize="2721,370" coordorigin="0,0" path="m1829,367l2718,367l2718,3l1829,3l1829,367xm1088,185l1829,185m1771,256l1829,185l1771,114m2,367l1088,367l1088,3l2,3l2,367xe">
              <v:stroke endcap="round" miterlimit="10"/>
            </v:shape>
            <v:shape id="_x0000_s168" style="position:absolute;left:4873;top:0;width:6;height:297;" filled="false" strokecolor="#000000" strokeweight="0.28pt" coordsize="6,297" coordorigin="0,0" path="m2,294l2,3e">
              <v:stroke dashstyle="dash" endcap="round" miterlimit="10"/>
            </v:shape>
            <v:shape id="_x0000_s170" style="position:absolute;left:0;top:0;width:4937;height:663;" filled="false" strokecolor="#000000" strokeweight="0.28pt" coordsize="4937,663" coordorigin="0,0" path="m4934,74l4876,3l4818,74m2,659l1039,659l1039,294l2,294l2,659xm1775,659l3543,659l3543,294l1775,294l1775,659xe">
              <v:stroke endcap="round" miterlimit="10"/>
            </v:shape>
            <v:shape id="_x0000_s172" style="position:absolute;left:2740;top:0;width:6;height:297;" filled="false" strokecolor="#000000" strokeweight="0.28pt" coordsize="6,297" coordorigin="0,0" path="m2,294l2,3e">
              <v:stroke dashstyle="dash" endcap="round" miterlimit="10"/>
            </v:shape>
            <v:shape id="_x0000_s174" style="position:absolute;left:1031;top:0;width:3255;height:552;" filled="false" strokecolor="#000000" strokeweight="0.28pt" coordsize="3255,552" coordorigin="0,0" path="m1768,74l1711,3l1653,74m2511,477l3251,477m3194,548l3251,477l3194,406m2,477l743,477m685,548l743,477l685,406e">
              <v:stroke endcap="round" miterlimit="10"/>
            </v:shape>
          </v:group>
        </w:pict>
      </w:r>
      <w:r/>
    </w:p>
    <w:p>
      <w:pPr>
        <w:ind w:left="924"/>
        <w:spacing w:before="66" w:line="238" w:lineRule="auto"/>
        <w:rPr>
          <w:rFonts w:ascii="SimSun" w:hAnsi="SimSun" w:eastAsia="SimSun" w:cs="SimSun"/>
          <w:sz w:val="20"/>
          <w:szCs w:val="20"/>
        </w:rPr>
      </w:pPr>
      <w:r>
        <w:rPr>
          <w:rFonts w:ascii="SimSun" w:hAnsi="SimSun" w:eastAsia="SimSun" w:cs="SimSun"/>
          <w:sz w:val="20"/>
          <w:szCs w:val="20"/>
          <w:spacing w:val="-22"/>
        </w:rPr>
        <w:t>待育架子牛</w:t>
      </w:r>
      <w:r>
        <w:rPr>
          <w:rFonts w:ascii="SimSun" w:hAnsi="SimSun" w:eastAsia="SimSun" w:cs="SimSun"/>
          <w:sz w:val="20"/>
          <w:szCs w:val="20"/>
          <w:spacing w:val="1"/>
        </w:rPr>
        <w:t xml:space="preserve">         </w:t>
      </w:r>
      <w:r>
        <w:rPr>
          <w:rFonts w:ascii="SimSun" w:hAnsi="SimSun" w:eastAsia="SimSun" w:cs="SimSun"/>
          <w:sz w:val="20"/>
          <w:szCs w:val="20"/>
          <w:spacing w:val="-22"/>
        </w:rPr>
        <w:t>隔离适应期（</w:t>
      </w:r>
      <w:r>
        <w:rPr>
          <w:rFonts w:ascii="Times New Roman" w:hAnsi="Times New Roman" w:eastAsia="Times New Roman" w:cs="Times New Roman"/>
          <w:sz w:val="20"/>
          <w:szCs w:val="20"/>
          <w:spacing w:val="-22"/>
        </w:rPr>
        <w:t>15-30d</w:t>
      </w:r>
      <w:r>
        <w:rPr>
          <w:rFonts w:ascii="SimSun" w:hAnsi="SimSun" w:eastAsia="SimSun" w:cs="SimSun"/>
          <w:sz w:val="20"/>
          <w:szCs w:val="20"/>
          <w:spacing w:val="-22"/>
        </w:rPr>
        <w:t>）           育肥、饲养              出售</w:t>
      </w:r>
    </w:p>
    <w:p>
      <w:pPr>
        <w:pStyle w:val="BodyText"/>
        <w:spacing w:line="256" w:lineRule="auto"/>
        <w:rPr/>
      </w:pPr>
      <w:r/>
    </w:p>
    <w:p>
      <w:pPr>
        <w:pStyle w:val="BodyText"/>
        <w:spacing w:line="256" w:lineRule="auto"/>
        <w:rPr/>
      </w:pPr>
      <w:r/>
    </w:p>
    <w:p>
      <w:pPr>
        <w:ind w:left="2529"/>
        <w:spacing w:before="79" w:line="233" w:lineRule="auto"/>
        <w:rPr>
          <w:rFonts w:ascii="SimSun" w:hAnsi="SimSun" w:eastAsia="SimSun" w:cs="SimSun"/>
          <w:sz w:val="24"/>
          <w:szCs w:val="24"/>
        </w:rPr>
      </w:pPr>
      <w:r>
        <w:rPr>
          <w:rFonts w:ascii="SimSun" w:hAnsi="SimSun" w:eastAsia="SimSun" w:cs="SimSun"/>
          <w:sz w:val="24"/>
          <w:szCs w:val="24"/>
          <w:b/>
          <w:bCs/>
          <w:spacing w:val="-3"/>
        </w:rPr>
        <w:t>图</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3"/>
        </w:rPr>
        <w:t>3-4    </w:t>
      </w:r>
      <w:r>
        <w:rPr>
          <w:rFonts w:ascii="SimSun" w:hAnsi="SimSun" w:eastAsia="SimSun" w:cs="SimSun"/>
          <w:sz w:val="24"/>
          <w:szCs w:val="24"/>
          <w:b/>
          <w:bCs/>
          <w:spacing w:val="-3"/>
        </w:rPr>
        <w:t>养殖工艺流程及产污节点图</w:t>
      </w:r>
    </w:p>
    <w:p>
      <w:pPr>
        <w:ind w:left="610"/>
        <w:spacing w:before="162" w:line="217" w:lineRule="auto"/>
        <w:rPr>
          <w:rFonts w:ascii="SimSun" w:hAnsi="SimSun" w:eastAsia="SimSun" w:cs="SimSun"/>
          <w:sz w:val="24"/>
          <w:szCs w:val="24"/>
        </w:rPr>
      </w:pPr>
      <w:r>
        <w:rPr>
          <w:rFonts w:ascii="SimSun" w:hAnsi="SimSun" w:eastAsia="SimSun" w:cs="SimSun"/>
          <w:sz w:val="24"/>
          <w:szCs w:val="24"/>
          <w:spacing w:val="-2"/>
        </w:rPr>
        <w:t>①过渡期</w:t>
      </w:r>
    </w:p>
    <w:p>
      <w:pPr>
        <w:ind w:left="129" w:right="109" w:firstLine="484"/>
        <w:spacing w:before="187" w:line="353" w:lineRule="auto"/>
        <w:rPr>
          <w:rFonts w:ascii="SimSun" w:hAnsi="SimSun" w:eastAsia="SimSun" w:cs="SimSun"/>
          <w:sz w:val="24"/>
          <w:szCs w:val="24"/>
        </w:rPr>
      </w:pPr>
      <w:r>
        <w:rPr>
          <w:rFonts w:ascii="SimSun" w:hAnsi="SimSun" w:eastAsia="SimSun" w:cs="SimSun"/>
          <w:sz w:val="24"/>
          <w:szCs w:val="24"/>
          <w:spacing w:val="-4"/>
        </w:rPr>
        <w:t>从养殖农户收购</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4"/>
        </w:rPr>
        <w:t>200-250kg</w:t>
      </w:r>
      <w:r>
        <w:rPr>
          <w:rFonts w:ascii="Times New Roman" w:hAnsi="Times New Roman" w:eastAsia="Times New Roman" w:cs="Times New Roman"/>
          <w:sz w:val="24"/>
          <w:szCs w:val="24"/>
          <w:spacing w:val="26"/>
          <w:w w:val="101"/>
        </w:rPr>
        <w:t xml:space="preserve"> </w:t>
      </w:r>
      <w:r>
        <w:rPr>
          <w:rFonts w:ascii="SimSun" w:hAnsi="SimSun" w:eastAsia="SimSun" w:cs="SimSun"/>
          <w:sz w:val="24"/>
          <w:szCs w:val="24"/>
          <w:spacing w:val="-4"/>
        </w:rPr>
        <w:t>的架子牛（约</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月龄</w:t>
      </w:r>
      <w:r>
        <w:rPr>
          <w:rFonts w:ascii="SimSun" w:hAnsi="SimSun" w:eastAsia="SimSun" w:cs="SimSun"/>
          <w:sz w:val="24"/>
          <w:szCs w:val="24"/>
          <w:spacing w:val="-25"/>
        </w:rPr>
        <w:t>），</w:t>
      </w:r>
      <w:r>
        <w:rPr>
          <w:rFonts w:ascii="SimSun" w:hAnsi="SimSun" w:eastAsia="SimSun" w:cs="SimSun"/>
          <w:sz w:val="24"/>
          <w:szCs w:val="24"/>
          <w:spacing w:val="-4"/>
        </w:rPr>
        <w:t>新购入的架子牛在牛舍内</w:t>
      </w:r>
      <w:r>
        <w:rPr>
          <w:rFonts w:ascii="SimSun" w:hAnsi="SimSun" w:eastAsia="SimSun" w:cs="SimSun"/>
          <w:sz w:val="24"/>
          <w:szCs w:val="24"/>
        </w:rPr>
        <w:t>进行隔离适应期 </w:t>
      </w:r>
      <w:r>
        <w:rPr>
          <w:rFonts w:ascii="Times New Roman" w:hAnsi="Times New Roman" w:eastAsia="Times New Roman" w:cs="Times New Roman"/>
          <w:sz w:val="24"/>
          <w:szCs w:val="24"/>
        </w:rPr>
        <w:t>15-30d</w:t>
      </w:r>
      <w:r>
        <w:rPr>
          <w:rFonts w:ascii="SimSun" w:hAnsi="SimSun" w:eastAsia="SimSun" w:cs="SimSun"/>
          <w:sz w:val="24"/>
          <w:szCs w:val="24"/>
        </w:rPr>
        <w:t>，此阶段主要是让牛熟悉新的环境，适应饲料、消除应急</w:t>
      </w:r>
      <w:r>
        <w:rPr>
          <w:rFonts w:ascii="SimSun" w:hAnsi="SimSun" w:eastAsia="SimSun" w:cs="SimSun"/>
          <w:sz w:val="24"/>
          <w:szCs w:val="24"/>
          <w:spacing w:val="-4"/>
        </w:rPr>
        <w:t>反应，观察牛的健康。</w:t>
      </w:r>
    </w:p>
    <w:p>
      <w:pPr>
        <w:spacing w:line="353" w:lineRule="auto"/>
        <w:sectPr>
          <w:footerReference w:type="default" r:id="rId74"/>
          <w:pgSz w:w="11907" w:h="16839"/>
          <w:pgMar w:top="1390" w:right="1591" w:bottom="2426" w:left="1579" w:header="1054" w:footer="2143" w:gutter="0"/>
        </w:sectPr>
        <w:rPr>
          <w:rFonts w:ascii="SimSun" w:hAnsi="SimSun" w:eastAsia="SimSun" w:cs="SimSun"/>
          <w:sz w:val="24"/>
          <w:szCs w:val="24"/>
        </w:rPr>
      </w:pPr>
    </w:p>
    <w:p>
      <w:pPr>
        <w:ind w:left="57" w:right="82" w:firstLine="465"/>
        <w:spacing w:before="82" w:line="352" w:lineRule="auto"/>
        <w:rPr>
          <w:rFonts w:ascii="SimSun" w:hAnsi="SimSun" w:eastAsia="SimSun" w:cs="SimSun"/>
          <w:sz w:val="24"/>
          <w:szCs w:val="24"/>
        </w:rPr>
      </w:pPr>
      <w:r>
        <w:rPr>
          <w:rFonts w:ascii="SimSun" w:hAnsi="SimSun" w:eastAsia="SimSun" w:cs="SimSun"/>
          <w:sz w:val="24"/>
          <w:szCs w:val="24"/>
          <w:spacing w:val="-3"/>
        </w:rPr>
        <w:t>继续对肉牛进行喂养，活重达</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600kg</w:t>
      </w:r>
      <w:r>
        <w:rPr>
          <w:rFonts w:ascii="SimSun" w:hAnsi="SimSun" w:eastAsia="SimSun" w:cs="SimSun"/>
          <w:sz w:val="24"/>
          <w:szCs w:val="24"/>
          <w:spacing w:val="-3"/>
        </w:rPr>
        <w:t>。本项目采用固定床位饲</w:t>
      </w:r>
      <w:r>
        <w:rPr>
          <w:rFonts w:ascii="SimSun" w:hAnsi="SimSun" w:eastAsia="SimSun" w:cs="SimSun"/>
          <w:sz w:val="24"/>
          <w:szCs w:val="24"/>
          <w:spacing w:val="-4"/>
        </w:rPr>
        <w:t>养，经过过渡期</w:t>
      </w:r>
      <w:r>
        <w:rPr>
          <w:rFonts w:ascii="SimSun" w:hAnsi="SimSun" w:eastAsia="SimSun" w:cs="SimSun"/>
          <w:sz w:val="24"/>
          <w:szCs w:val="24"/>
          <w:spacing w:val="-3"/>
        </w:rPr>
        <w:t>的架子牛在牛舍内育肥，牛舍建设要求采光充分、通风良好。</w:t>
      </w:r>
    </w:p>
    <w:p>
      <w:pPr>
        <w:ind w:left="524"/>
        <w:spacing w:before="19"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）育肥模式</w:t>
      </w:r>
    </w:p>
    <w:p>
      <w:pPr>
        <w:ind w:left="42" w:right="78" w:firstLine="477"/>
        <w:spacing w:before="166" w:line="360" w:lineRule="auto"/>
        <w:rPr>
          <w:rFonts w:ascii="SimSun" w:hAnsi="SimSun" w:eastAsia="SimSun" w:cs="SimSun"/>
          <w:sz w:val="24"/>
          <w:szCs w:val="24"/>
        </w:rPr>
      </w:pPr>
      <w:r>
        <w:rPr>
          <w:rFonts w:ascii="SimSun" w:hAnsi="SimSun" w:eastAsia="SimSun" w:cs="SimSun"/>
          <w:sz w:val="24"/>
          <w:szCs w:val="24"/>
          <w:spacing w:val="2"/>
        </w:rPr>
        <w:t>本项目外购架子牛入场进行全价料育肥工序，不涉及繁育，育肥牛全部采购</w:t>
      </w:r>
      <w:r>
        <w:rPr>
          <w:rFonts w:ascii="SimSun" w:hAnsi="SimSun" w:eastAsia="SimSun" w:cs="SimSun"/>
          <w:sz w:val="24"/>
          <w:szCs w:val="24"/>
          <w:spacing w:val="-7"/>
        </w:rPr>
        <w:t>于内蒙肉牛。</w:t>
      </w:r>
    </w:p>
    <w:p>
      <w:pPr>
        <w:ind w:left="32"/>
        <w:spacing w:before="2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3.2.3.2 </w:t>
      </w:r>
      <w:r>
        <w:rPr>
          <w:rFonts w:ascii="SimSun" w:hAnsi="SimSun" w:eastAsia="SimSun" w:cs="SimSun"/>
          <w:sz w:val="24"/>
          <w:szCs w:val="24"/>
          <w:b/>
          <w:bCs/>
          <w:spacing w:val="-2"/>
        </w:rPr>
        <w:t>粪污处理、厂区除臭及消毒</w:t>
      </w:r>
    </w:p>
    <w:p>
      <w:pPr>
        <w:pStyle w:val="BodyText"/>
        <w:spacing w:line="372" w:lineRule="auto"/>
        <w:rPr/>
      </w:pPr>
      <w:r/>
    </w:p>
    <w:p>
      <w:pPr>
        <w:ind w:left="524"/>
        <w:spacing w:before="78"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）粪污处理</w:t>
      </w:r>
    </w:p>
    <w:p>
      <w:pPr>
        <w:ind w:left="40" w:firstLine="478"/>
        <w:spacing w:before="163" w:line="359" w:lineRule="auto"/>
        <w:rPr>
          <w:rFonts w:ascii="SimSun" w:hAnsi="SimSun" w:eastAsia="SimSun" w:cs="SimSun"/>
          <w:sz w:val="24"/>
          <w:szCs w:val="24"/>
        </w:rPr>
      </w:pPr>
      <w:r>
        <w:rPr>
          <w:rFonts w:ascii="SimSun" w:hAnsi="SimSun" w:eastAsia="SimSun" w:cs="SimSun"/>
          <w:sz w:val="24"/>
          <w:szCs w:val="24"/>
          <w:spacing w:val="2"/>
        </w:rPr>
        <w:t>本项目采用微生物原位发酵床技术。微生物原位发酵床的制作不需要添置任</w:t>
      </w:r>
      <w:r>
        <w:rPr>
          <w:rFonts w:ascii="SimSun" w:hAnsi="SimSun" w:eastAsia="SimSun" w:cs="SimSun"/>
          <w:sz w:val="24"/>
          <w:szCs w:val="24"/>
          <w:spacing w:val="-4"/>
        </w:rPr>
        <w:t>何机器设备。首先在牛舍地面上铺设一层垫料（锯</w:t>
      </w:r>
      <w:r>
        <w:rPr>
          <w:rFonts w:ascii="SimSun" w:hAnsi="SimSun" w:eastAsia="SimSun" w:cs="SimSun"/>
          <w:sz w:val="24"/>
          <w:szCs w:val="24"/>
          <w:spacing w:val="-5"/>
        </w:rPr>
        <w:t>末或稻壳等</w:t>
      </w:r>
      <w:r>
        <w:rPr>
          <w:rFonts w:ascii="SimSun" w:hAnsi="SimSun" w:eastAsia="SimSun" w:cs="SimSun"/>
          <w:sz w:val="24"/>
          <w:szCs w:val="24"/>
          <w:spacing w:val="-23"/>
        </w:rPr>
        <w:t>），</w:t>
      </w:r>
      <w:r>
        <w:rPr>
          <w:rFonts w:ascii="SimSun" w:hAnsi="SimSun" w:eastAsia="SimSun" w:cs="SimSun"/>
          <w:sz w:val="24"/>
          <w:szCs w:val="24"/>
          <w:spacing w:val="-5"/>
        </w:rPr>
        <w:t>厚度约为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5"/>
        </w:rPr>
        <w:t>50cm</w:t>
      </w:r>
      <w:r>
        <w:rPr>
          <w:rFonts w:ascii="SimSun" w:hAnsi="SimSun" w:eastAsia="SimSun" w:cs="SimSun"/>
          <w:sz w:val="24"/>
          <w:szCs w:val="24"/>
          <w:spacing w:val="-5"/>
        </w:rPr>
        <w:t>，</w:t>
      </w:r>
      <w:r>
        <w:rPr>
          <w:rFonts w:ascii="SimSun" w:hAnsi="SimSun" w:eastAsia="SimSun" w:cs="SimSun"/>
          <w:sz w:val="24"/>
          <w:szCs w:val="24"/>
          <w:spacing w:val="2"/>
        </w:rPr>
        <w:t>再在垫料上均匀铺洒专用发酵床菌种，并调制好适合的湿度，即制作完成。牛在</w:t>
      </w:r>
      <w:r>
        <w:rPr>
          <w:rFonts w:ascii="SimSun" w:hAnsi="SimSun" w:eastAsia="SimSun" w:cs="SimSun"/>
          <w:sz w:val="24"/>
          <w:szCs w:val="24"/>
          <w:spacing w:val="3"/>
        </w:rPr>
        <w:t>菌床上自由生活，牛将粪尿直接排泄到垫料上，</w:t>
      </w:r>
      <w:r>
        <w:rPr>
          <w:rFonts w:ascii="SimSun" w:hAnsi="SimSun" w:eastAsia="SimSun" w:cs="SimSun"/>
          <w:sz w:val="24"/>
          <w:szCs w:val="24"/>
          <w:spacing w:val="2"/>
        </w:rPr>
        <w:t>通过牛的踩踏，使粪尿和垫料充</w:t>
      </w:r>
      <w:r>
        <w:rPr>
          <w:rFonts w:ascii="SimSun" w:hAnsi="SimSun" w:eastAsia="SimSun" w:cs="SimSun"/>
          <w:sz w:val="24"/>
          <w:szCs w:val="24"/>
          <w:spacing w:val="2"/>
        </w:rPr>
        <w:t>分混合，让有益微生物菌种发酵，使粪、尿有机物质分解和转化。发酵床的宜含</w:t>
      </w:r>
      <w:r>
        <w:rPr>
          <w:rFonts w:ascii="SimSun" w:hAnsi="SimSun" w:eastAsia="SimSun" w:cs="SimSun"/>
          <w:sz w:val="24"/>
          <w:szCs w:val="24"/>
          <w:spacing w:val="-1"/>
        </w:rPr>
        <w:t>水量为</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1"/>
        </w:rPr>
        <w:t>40%</w:t>
      </w:r>
      <w:r>
        <w:rPr>
          <w:rFonts w:ascii="SimSun" w:hAnsi="SimSun" w:eastAsia="SimSun" w:cs="SimSun"/>
          <w:sz w:val="24"/>
          <w:szCs w:val="24"/>
          <w:spacing w:val="-1"/>
        </w:rPr>
        <w:t>～</w:t>
      </w:r>
      <w:r>
        <w:rPr>
          <w:rFonts w:ascii="Times New Roman" w:hAnsi="Times New Roman" w:eastAsia="Times New Roman" w:cs="Times New Roman"/>
          <w:sz w:val="24"/>
          <w:szCs w:val="24"/>
          <w:spacing w:val="-1"/>
        </w:rPr>
        <w:t>55%</w:t>
      </w:r>
      <w:r>
        <w:rPr>
          <w:rFonts w:ascii="SimSun" w:hAnsi="SimSun" w:eastAsia="SimSun" w:cs="SimSun"/>
          <w:sz w:val="24"/>
          <w:szCs w:val="24"/>
          <w:spacing w:val="-1"/>
        </w:rPr>
        <w:t>。水分过高时及时更换垫料，以保持发酵床的</w:t>
      </w:r>
      <w:r>
        <w:rPr>
          <w:rFonts w:ascii="SimSun" w:hAnsi="SimSun" w:eastAsia="SimSun" w:cs="SimSun"/>
          <w:sz w:val="24"/>
          <w:szCs w:val="24"/>
          <w:spacing w:val="-2"/>
        </w:rPr>
        <w:t>有效分解能力。</w:t>
      </w:r>
    </w:p>
    <w:p>
      <w:pPr>
        <w:ind w:left="42" w:right="69" w:firstLine="476"/>
        <w:spacing w:before="3" w:line="359" w:lineRule="auto"/>
        <w:rPr>
          <w:rFonts w:ascii="SimSun" w:hAnsi="SimSun" w:eastAsia="SimSun" w:cs="SimSun"/>
          <w:sz w:val="24"/>
          <w:szCs w:val="24"/>
        </w:rPr>
      </w:pPr>
      <w:r>
        <w:rPr>
          <w:rFonts w:ascii="SimSun" w:hAnsi="SimSun" w:eastAsia="SimSun" w:cs="SimSun"/>
          <w:sz w:val="24"/>
          <w:szCs w:val="24"/>
          <w:spacing w:val="-1"/>
        </w:rPr>
        <w:t>使用本工艺养殖无需冲洗牛舍，定期更换废垫料（每月 </w:t>
      </w:r>
      <w:r>
        <w:rPr>
          <w:rFonts w:ascii="Times New Roman" w:hAnsi="Times New Roman" w:eastAsia="Times New Roman" w:cs="Times New Roman"/>
          <w:sz w:val="24"/>
          <w:szCs w:val="24"/>
          <w:spacing w:val="-1"/>
        </w:rPr>
        <w:t>1  </w:t>
      </w:r>
      <w:r>
        <w:rPr>
          <w:rFonts w:ascii="SimSun" w:hAnsi="SimSun" w:eastAsia="SimSun" w:cs="SimSun"/>
          <w:sz w:val="24"/>
          <w:szCs w:val="24"/>
          <w:spacing w:val="-1"/>
        </w:rPr>
        <w:t>次</w:t>
      </w:r>
      <w:r>
        <w:rPr>
          <w:rFonts w:ascii="SimSun" w:hAnsi="SimSun" w:eastAsia="SimSun" w:cs="SimSun"/>
          <w:sz w:val="24"/>
          <w:szCs w:val="24"/>
          <w:spacing w:val="3"/>
        </w:rPr>
        <w:t>），</w:t>
      </w:r>
      <w:r>
        <w:rPr>
          <w:rFonts w:ascii="SimSun" w:hAnsi="SimSun" w:eastAsia="SimSun" w:cs="SimSun"/>
          <w:sz w:val="24"/>
          <w:szCs w:val="24"/>
          <w:spacing w:val="-1"/>
        </w:rPr>
        <w:t>分区清理分</w:t>
      </w:r>
      <w:r>
        <w:rPr>
          <w:rFonts w:ascii="SimSun" w:hAnsi="SimSun" w:eastAsia="SimSun" w:cs="SimSun"/>
          <w:sz w:val="24"/>
          <w:szCs w:val="24"/>
          <w:spacing w:val="2"/>
        </w:rPr>
        <w:t>区铺设，根据企业经验，牛舍采取交错更换垫料，通过铲车将定期清理的废垫料</w:t>
      </w:r>
      <w:r>
        <w:rPr>
          <w:rFonts w:ascii="SimSun" w:hAnsi="SimSun" w:eastAsia="SimSun" w:cs="SimSun"/>
          <w:sz w:val="24"/>
          <w:szCs w:val="24"/>
          <w:spacing w:val="2"/>
        </w:rPr>
        <w:t>（牛粪、牛尿、垫料）由牛舍运至储粪库临时贮存，外卖有机肥厂家生产有机肥</w:t>
      </w:r>
      <w:r>
        <w:rPr>
          <w:rFonts w:ascii="SimSun" w:hAnsi="SimSun" w:eastAsia="SimSun" w:cs="SimSun"/>
          <w:sz w:val="24"/>
          <w:szCs w:val="24"/>
          <w:spacing w:val="-5"/>
        </w:rPr>
        <w:t>处理。</w:t>
      </w:r>
    </w:p>
    <w:p>
      <w:pPr>
        <w:ind w:left="524"/>
        <w:spacing w:before="1"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）厂区除臭及消毒</w:t>
      </w:r>
    </w:p>
    <w:p>
      <w:pPr>
        <w:ind w:left="39" w:right="69" w:firstLine="481"/>
        <w:spacing w:before="162" w:line="359" w:lineRule="auto"/>
        <w:rPr>
          <w:rFonts w:ascii="SimSun" w:hAnsi="SimSun" w:eastAsia="SimSun" w:cs="SimSun"/>
          <w:sz w:val="24"/>
          <w:szCs w:val="24"/>
        </w:rPr>
      </w:pPr>
      <w:r>
        <w:rPr>
          <w:rFonts w:ascii="SimSun" w:hAnsi="SimSun" w:eastAsia="SimSun" w:cs="SimSun"/>
          <w:sz w:val="24"/>
          <w:szCs w:val="24"/>
          <w:spacing w:val="-1"/>
        </w:rPr>
        <w:t>厂区除臭采用植物液提取的除臭剂，每天喷洒 </w:t>
      </w:r>
      <w:r>
        <w:rPr>
          <w:rFonts w:ascii="Times New Roman" w:hAnsi="Times New Roman" w:eastAsia="Times New Roman" w:cs="Times New Roman"/>
          <w:sz w:val="24"/>
          <w:szCs w:val="24"/>
          <w:spacing w:val="-1"/>
        </w:rPr>
        <w:t>2  </w:t>
      </w:r>
      <w:r>
        <w:rPr>
          <w:rFonts w:ascii="SimSun" w:hAnsi="SimSun" w:eastAsia="SimSun" w:cs="SimSun"/>
          <w:sz w:val="24"/>
          <w:szCs w:val="24"/>
          <w:spacing w:val="-1"/>
        </w:rPr>
        <w:t>次，主要喷洒范围为牛舍四</w:t>
      </w:r>
      <w:r>
        <w:rPr>
          <w:rFonts w:ascii="SimSun" w:hAnsi="SimSun" w:eastAsia="SimSun" w:cs="SimSun"/>
          <w:sz w:val="24"/>
          <w:szCs w:val="24"/>
          <w:spacing w:val="-1"/>
        </w:rPr>
        <w:t>周；同时在牛舍及储粪区域内投加生物菌剂</w:t>
      </w:r>
      <w:r>
        <w:rPr>
          <w:rFonts w:ascii="SimSun" w:hAnsi="SimSun" w:eastAsia="SimSun" w:cs="SimSun"/>
          <w:sz w:val="24"/>
          <w:szCs w:val="24"/>
          <w:spacing w:val="-2"/>
        </w:rPr>
        <w:t>除臭剂，每天投加</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2"/>
        </w:rPr>
        <w:t>次。</w:t>
      </w:r>
    </w:p>
    <w:p>
      <w:pPr>
        <w:ind w:left="39" w:right="74" w:firstLine="481"/>
        <w:spacing w:before="1" w:line="362" w:lineRule="auto"/>
        <w:rPr>
          <w:rFonts w:ascii="SimSun" w:hAnsi="SimSun" w:eastAsia="SimSun" w:cs="SimSun"/>
          <w:sz w:val="24"/>
          <w:szCs w:val="24"/>
        </w:rPr>
      </w:pPr>
      <w:r>
        <w:rPr>
          <w:rFonts w:ascii="SimSun" w:hAnsi="SimSun" w:eastAsia="SimSun" w:cs="SimSun"/>
          <w:sz w:val="24"/>
          <w:szCs w:val="24"/>
          <w:spacing w:val="3"/>
        </w:rPr>
        <w:t>厂区消毒采用高锰酸钾消毒剂，厂区及牛舍每</w:t>
      </w:r>
      <w:r>
        <w:rPr>
          <w:rFonts w:ascii="SimSun" w:hAnsi="SimSun" w:eastAsia="SimSun" w:cs="SimSun"/>
          <w:sz w:val="24"/>
          <w:szCs w:val="24"/>
          <w:spacing w:val="2"/>
        </w:rPr>
        <w:t>个月进行彻底消毒一次，停放</w:t>
      </w:r>
      <w:r>
        <w:rPr>
          <w:rFonts w:ascii="SimSun" w:hAnsi="SimSun" w:eastAsia="SimSun" w:cs="SimSun"/>
          <w:sz w:val="24"/>
          <w:szCs w:val="24"/>
          <w:spacing w:val="-4"/>
        </w:rPr>
        <w:t>过病牛的场所加倍消毒。</w:t>
      </w:r>
    </w:p>
    <w:p>
      <w:pPr>
        <w:ind w:left="32"/>
        <w:spacing w:before="273" w:line="234" w:lineRule="auto"/>
        <w:rPr>
          <w:rFonts w:ascii="SimSun" w:hAnsi="SimSun" w:eastAsia="SimSun" w:cs="SimSun"/>
          <w:sz w:val="24"/>
          <w:szCs w:val="24"/>
        </w:rPr>
      </w:pPr>
      <w:r>
        <w:rPr>
          <w:rFonts w:ascii="Times New Roman" w:hAnsi="Times New Roman" w:eastAsia="Times New Roman" w:cs="Times New Roman"/>
          <w:sz w:val="24"/>
          <w:szCs w:val="24"/>
          <w:b/>
          <w:bCs/>
          <w:spacing w:val="-1"/>
        </w:rPr>
        <w:t>3.2.3.3 </w:t>
      </w:r>
      <w:r>
        <w:rPr>
          <w:rFonts w:ascii="SimSun" w:hAnsi="SimSun" w:eastAsia="SimSun" w:cs="SimSun"/>
          <w:sz w:val="24"/>
          <w:szCs w:val="24"/>
          <w:b/>
          <w:bCs/>
          <w:spacing w:val="-1"/>
        </w:rPr>
        <w:t>饲料加工工艺</w:t>
      </w:r>
    </w:p>
    <w:p>
      <w:pPr>
        <w:pStyle w:val="BodyText"/>
        <w:spacing w:line="371" w:lineRule="auto"/>
        <w:rPr/>
      </w:pPr>
      <w:r/>
    </w:p>
    <w:p>
      <w:pPr>
        <w:ind w:left="37" w:firstLine="481"/>
        <w:spacing w:before="79" w:line="362" w:lineRule="auto"/>
        <w:rPr>
          <w:rFonts w:ascii="SimSun" w:hAnsi="SimSun" w:eastAsia="SimSun" w:cs="SimSun"/>
          <w:sz w:val="24"/>
          <w:szCs w:val="24"/>
        </w:rPr>
      </w:pPr>
      <w:r>
        <w:rPr>
          <w:rFonts w:ascii="SimSun" w:hAnsi="SimSun" w:eastAsia="SimSun" w:cs="SimSun"/>
          <w:sz w:val="24"/>
          <w:szCs w:val="24"/>
          <w:spacing w:val="-2"/>
        </w:rPr>
        <w:t>养殖场设置有饲料库，外购全价料进行育肥，定期喂养</w:t>
      </w:r>
      <w:r>
        <w:rPr>
          <w:rFonts w:ascii="SimSun" w:hAnsi="SimSun" w:eastAsia="SimSun" w:cs="SimSun"/>
          <w:sz w:val="24"/>
          <w:szCs w:val="24"/>
          <w:spacing w:val="-3"/>
        </w:rPr>
        <w:t>少量青储料及混合料，</w:t>
      </w:r>
      <w:r>
        <w:rPr>
          <w:rFonts w:ascii="SimSun" w:hAnsi="SimSun" w:eastAsia="SimSun" w:cs="SimSun"/>
          <w:sz w:val="24"/>
          <w:szCs w:val="24"/>
          <w:spacing w:val="-1"/>
        </w:rPr>
        <w:t>场区内不进行饲料搅拌及加工。</w:t>
      </w:r>
    </w:p>
    <w:p>
      <w:pPr>
        <w:spacing w:line="362" w:lineRule="auto"/>
        <w:sectPr>
          <w:headerReference w:type="default" r:id="rId75"/>
          <w:footerReference w:type="default" r:id="rId2"/>
          <w:pgSz w:w="11907" w:h="16839"/>
          <w:pgMar w:top="1390" w:right="1630" w:bottom="400" w:left="1673" w:header="1054" w:footer="0" w:gutter="0"/>
        </w:sectPr>
        <w:rPr>
          <w:rFonts w:ascii="SimSun" w:hAnsi="SimSun" w:eastAsia="SimSun" w:cs="SimSun"/>
          <w:sz w:val="24"/>
          <w:szCs w:val="24"/>
        </w:rPr>
      </w:pPr>
    </w:p>
    <w:p>
      <w:pPr>
        <w:ind w:left="241"/>
        <w:spacing w:before="85" w:line="233" w:lineRule="auto"/>
        <w:outlineLvl w:val="1"/>
        <w:rPr>
          <w:rFonts w:ascii="SimSun" w:hAnsi="SimSun" w:eastAsia="SimSun" w:cs="SimSun"/>
          <w:sz w:val="24"/>
          <w:szCs w:val="24"/>
        </w:rPr>
      </w:pPr>
      <w:bookmarkStart w:name="bookmark20" w:id="24"/>
      <w:bookmarkEnd w:id="24"/>
      <w:r>
        <w:rPr>
          <w:rFonts w:ascii="Times New Roman" w:hAnsi="Times New Roman" w:eastAsia="Times New Roman" w:cs="Times New Roman"/>
          <w:sz w:val="24"/>
          <w:szCs w:val="24"/>
          <w:b/>
          <w:bCs/>
          <w:spacing w:val="-2"/>
        </w:rPr>
        <w:t>3.3 </w:t>
      </w:r>
      <w:r>
        <w:rPr>
          <w:rFonts w:ascii="SimSun" w:hAnsi="SimSun" w:eastAsia="SimSun" w:cs="SimSun"/>
          <w:sz w:val="24"/>
          <w:szCs w:val="24"/>
          <w:b/>
          <w:bCs/>
          <w:spacing w:val="-2"/>
        </w:rPr>
        <w:t>污染因素分析及采取的治理措施</w:t>
      </w:r>
    </w:p>
    <w:p>
      <w:pPr>
        <w:pStyle w:val="BodyText"/>
        <w:spacing w:line="414" w:lineRule="auto"/>
        <w:rPr/>
      </w:pPr>
      <w:r/>
    </w:p>
    <w:p>
      <w:pPr>
        <w:ind w:left="241"/>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1"/>
        </w:rPr>
        <w:t>3.3.1 </w:t>
      </w:r>
      <w:r>
        <w:rPr>
          <w:rFonts w:ascii="SimSun" w:hAnsi="SimSun" w:eastAsia="SimSun" w:cs="SimSun"/>
          <w:sz w:val="24"/>
          <w:szCs w:val="24"/>
          <w:b/>
          <w:bCs/>
          <w:spacing w:val="-1"/>
        </w:rPr>
        <w:t>废水</w:t>
      </w:r>
    </w:p>
    <w:p>
      <w:pPr>
        <w:pStyle w:val="BodyText"/>
        <w:spacing w:line="343" w:lineRule="auto"/>
        <w:rPr/>
      </w:pPr>
      <w:r/>
    </w:p>
    <w:p>
      <w:pPr>
        <w:ind w:left="727"/>
        <w:spacing w:before="78" w:line="233" w:lineRule="auto"/>
        <w:rPr>
          <w:rFonts w:ascii="SimSun" w:hAnsi="SimSun" w:eastAsia="SimSun" w:cs="SimSun"/>
          <w:sz w:val="24"/>
          <w:szCs w:val="24"/>
        </w:rPr>
      </w:pPr>
      <w:r>
        <w:rPr>
          <w:rFonts w:ascii="SimSun" w:hAnsi="SimSun" w:eastAsia="SimSun" w:cs="SimSun"/>
          <w:sz w:val="24"/>
          <w:szCs w:val="24"/>
          <w:spacing w:val="-1"/>
        </w:rPr>
        <w:t>本项目废水主要为生活污水和牛尿，产生总量为</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1"/>
        </w:rPr>
        <w:t>6005.345t/a</w:t>
      </w:r>
      <w:r>
        <w:rPr>
          <w:rFonts w:ascii="SimSun" w:hAnsi="SimSun" w:eastAsia="SimSun" w:cs="SimSun"/>
          <w:sz w:val="24"/>
          <w:szCs w:val="24"/>
          <w:spacing w:val="-1"/>
        </w:rPr>
        <w:t>。</w:t>
      </w:r>
    </w:p>
    <w:p>
      <w:pPr>
        <w:ind w:left="733"/>
        <w:spacing w:before="166"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）生活污水</w:t>
      </w:r>
    </w:p>
    <w:p>
      <w:pPr>
        <w:ind w:left="234" w:right="218" w:firstLine="493"/>
        <w:spacing w:before="160" w:line="353" w:lineRule="auto"/>
        <w:rPr>
          <w:rFonts w:ascii="SimSun" w:hAnsi="SimSun" w:eastAsia="SimSun" w:cs="SimSun"/>
          <w:sz w:val="24"/>
          <w:szCs w:val="24"/>
        </w:rPr>
      </w:pPr>
      <w:r>
        <w:rPr>
          <w:rFonts w:ascii="SimSun" w:hAnsi="SimSun" w:eastAsia="SimSun" w:cs="SimSun"/>
          <w:sz w:val="24"/>
          <w:szCs w:val="24"/>
          <w:spacing w:val="-3"/>
        </w:rPr>
        <w:t>本项目生活污水产生量为 </w:t>
      </w:r>
      <w:r>
        <w:rPr>
          <w:rFonts w:ascii="Times New Roman" w:hAnsi="Times New Roman" w:eastAsia="Times New Roman" w:cs="Times New Roman"/>
          <w:sz w:val="24"/>
          <w:szCs w:val="24"/>
          <w:spacing w:val="-3"/>
        </w:rPr>
        <w:t>0.48t/d</w:t>
      </w:r>
      <w:r>
        <w:rPr>
          <w:rFonts w:ascii="SimSun" w:hAnsi="SimSun" w:eastAsia="SimSun" w:cs="SimSun"/>
          <w:sz w:val="24"/>
          <w:szCs w:val="24"/>
          <w:spacing w:val="-3"/>
        </w:rPr>
        <w:t>（</w:t>
      </w:r>
      <w:r>
        <w:rPr>
          <w:rFonts w:ascii="Times New Roman" w:hAnsi="Times New Roman" w:eastAsia="Times New Roman" w:cs="Times New Roman"/>
          <w:sz w:val="24"/>
          <w:szCs w:val="24"/>
          <w:spacing w:val="-3"/>
        </w:rPr>
        <w:t>175.2t/a</w:t>
      </w:r>
      <w:r>
        <w:rPr>
          <w:rFonts w:ascii="SimSun" w:hAnsi="SimSun" w:eastAsia="SimSun" w:cs="SimSun"/>
          <w:sz w:val="24"/>
          <w:szCs w:val="24"/>
          <w:spacing w:val="14"/>
        </w:rPr>
        <w:t>），</w:t>
      </w:r>
      <w:r>
        <w:rPr>
          <w:rFonts w:ascii="SimSun" w:hAnsi="SimSun" w:eastAsia="SimSun" w:cs="SimSun"/>
          <w:sz w:val="24"/>
          <w:szCs w:val="24"/>
          <w:spacing w:val="-3"/>
        </w:rPr>
        <w:t>污染物主要为 </w:t>
      </w:r>
      <w:r>
        <w:rPr>
          <w:rFonts w:ascii="Times New Roman" w:hAnsi="Times New Roman" w:eastAsia="Times New Roman" w:cs="Times New Roman"/>
          <w:sz w:val="24"/>
          <w:szCs w:val="24"/>
          <w:spacing w:val="-3"/>
        </w:rPr>
        <w:t>COD</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BOD</w:t>
      </w:r>
      <w:r>
        <w:rPr>
          <w:rFonts w:ascii="Times New Roman" w:hAnsi="Times New Roman" w:eastAsia="Times New Roman" w:cs="Times New Roman"/>
          <w:sz w:val="16"/>
          <w:szCs w:val="16"/>
          <w:spacing w:val="-3"/>
          <w:position w:val="-3"/>
        </w:rPr>
        <w:t>5</w:t>
      </w:r>
      <w:r>
        <w:rPr>
          <w:rFonts w:ascii="Times New Roman" w:hAnsi="Times New Roman" w:eastAsia="Times New Roman" w:cs="Times New Roman"/>
          <w:sz w:val="16"/>
          <w:szCs w:val="16"/>
          <w:spacing w:val="-12"/>
          <w:position w:val="-3"/>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Times New Roman" w:hAnsi="Times New Roman" w:eastAsia="Times New Roman" w:cs="Times New Roman"/>
          <w:sz w:val="24"/>
          <w:szCs w:val="24"/>
          <w:spacing w:val="-4"/>
        </w:rPr>
        <w:t>NH</w:t>
      </w:r>
      <w:r>
        <w:rPr>
          <w:rFonts w:ascii="Times New Roman" w:hAnsi="Times New Roman" w:eastAsia="Times New Roman" w:cs="Times New Roman"/>
          <w:sz w:val="16"/>
          <w:szCs w:val="16"/>
          <w:spacing w:val="-4"/>
          <w:position w:val="-3"/>
        </w:rPr>
        <w:t>3</w:t>
      </w: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SS</w:t>
      </w:r>
      <w:r>
        <w:rPr>
          <w:rFonts w:ascii="SimSun" w:hAnsi="SimSun" w:eastAsia="SimSun" w:cs="SimSun"/>
          <w:sz w:val="24"/>
          <w:szCs w:val="24"/>
          <w:spacing w:val="-4"/>
        </w:rPr>
        <w:t>、动植物油等。本环评参考《城市污水处理厂处理设施设计计算》（化</w:t>
      </w:r>
      <w:r>
        <w:rPr>
          <w:rFonts w:ascii="SimSun" w:hAnsi="SimSun" w:eastAsia="SimSun" w:cs="SimSun"/>
          <w:sz w:val="24"/>
          <w:szCs w:val="24"/>
        </w:rPr>
        <w:t>学工业出版社</w:t>
      </w:r>
      <w:r>
        <w:rPr>
          <w:rFonts w:ascii="SimSun" w:hAnsi="SimSun" w:eastAsia="SimSun" w:cs="SimSun"/>
          <w:sz w:val="24"/>
          <w:szCs w:val="24"/>
          <w:spacing w:val="-55"/>
        </w:rPr>
        <w:t xml:space="preserve"> </w:t>
      </w:r>
      <w:r>
        <w:rPr>
          <w:rFonts w:ascii="Times New Roman" w:hAnsi="Times New Roman" w:eastAsia="Times New Roman" w:cs="Times New Roman"/>
          <w:sz w:val="24"/>
          <w:szCs w:val="24"/>
        </w:rPr>
        <w:t>2004 </w:t>
      </w:r>
      <w:r>
        <w:rPr>
          <w:rFonts w:ascii="SimSun" w:hAnsi="SimSun" w:eastAsia="SimSun" w:cs="SimSun"/>
          <w:sz w:val="24"/>
          <w:szCs w:val="24"/>
        </w:rPr>
        <w:t>年第一版）中生活污水水</w:t>
      </w:r>
      <w:r>
        <w:rPr>
          <w:rFonts w:ascii="SimSun" w:hAnsi="SimSun" w:eastAsia="SimSun" w:cs="SimSun"/>
          <w:sz w:val="24"/>
          <w:szCs w:val="24"/>
          <w:spacing w:val="-1"/>
        </w:rPr>
        <w:t>质指标给出了源强，本项目职工生活</w:t>
      </w:r>
      <w:r>
        <w:rPr>
          <w:rFonts w:ascii="SimSun" w:hAnsi="SimSun" w:eastAsia="SimSun" w:cs="SimSun"/>
          <w:sz w:val="24"/>
          <w:szCs w:val="24"/>
          <w:spacing w:val="-4"/>
        </w:rPr>
        <w:t>污水数值详见下表。</w:t>
      </w:r>
    </w:p>
    <w:p>
      <w:pPr>
        <w:ind w:left="1071"/>
        <w:spacing w:before="34" w:line="212" w:lineRule="auto"/>
        <w:rPr>
          <w:rFonts w:ascii="SimSun" w:hAnsi="SimSun" w:eastAsia="SimSun" w:cs="SimSun"/>
          <w:sz w:val="24"/>
          <w:szCs w:val="24"/>
        </w:rPr>
      </w:pPr>
      <w:r>
        <w:rPr>
          <w:rFonts w:ascii="SimSun" w:hAnsi="SimSun" w:eastAsia="SimSun" w:cs="SimSun"/>
          <w:sz w:val="24"/>
          <w:szCs w:val="24"/>
          <w:b/>
          <w:bCs/>
          <w:spacing w:val="-1"/>
        </w:rPr>
        <w:t>表</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1"/>
        </w:rPr>
        <w:t>3-8    </w:t>
      </w:r>
      <w:r>
        <w:rPr>
          <w:rFonts w:ascii="SimSun" w:hAnsi="SimSun" w:eastAsia="SimSun" w:cs="SimSun"/>
          <w:sz w:val="24"/>
          <w:szCs w:val="24"/>
          <w:b/>
          <w:bCs/>
          <w:spacing w:val="-1"/>
        </w:rPr>
        <w:t>本项目职工生活产生情况表</w:t>
      </w:r>
      <w:r>
        <w:rPr>
          <w:rFonts w:ascii="SimSun" w:hAnsi="SimSun" w:eastAsia="SimSun" w:cs="SimSun"/>
          <w:sz w:val="24"/>
          <w:szCs w:val="24"/>
          <w:spacing w:val="-1"/>
        </w:rPr>
        <w:t xml:space="preserve">  </w:t>
      </w:r>
      <w:r>
        <w:rPr>
          <w:rFonts w:ascii="SimSun" w:hAnsi="SimSun" w:eastAsia="SimSun" w:cs="SimSun"/>
          <w:sz w:val="24"/>
          <w:szCs w:val="24"/>
          <w:b/>
          <w:bCs/>
          <w:spacing w:val="-1"/>
        </w:rPr>
        <w:t>单位：</w:t>
      </w:r>
      <w:r>
        <w:rPr>
          <w:rFonts w:ascii="Times New Roman" w:hAnsi="Times New Roman" w:eastAsia="Times New Roman" w:cs="Times New Roman"/>
          <w:sz w:val="24"/>
          <w:szCs w:val="24"/>
          <w:b/>
          <w:bCs/>
          <w:spacing w:val="-1"/>
        </w:rPr>
        <w:t>mg/L</w:t>
      </w:r>
      <w:r>
        <w:rPr>
          <w:rFonts w:ascii="SimSun" w:hAnsi="SimSun" w:eastAsia="SimSun" w:cs="SimSun"/>
          <w:sz w:val="24"/>
          <w:szCs w:val="24"/>
          <w:b/>
          <w:bCs/>
          <w:spacing w:val="-2"/>
        </w:rPr>
        <w:t>（</w:t>
      </w:r>
      <w:r>
        <w:rPr>
          <w:rFonts w:ascii="Times New Roman" w:hAnsi="Times New Roman" w:eastAsia="Times New Roman" w:cs="Times New Roman"/>
          <w:sz w:val="24"/>
          <w:szCs w:val="24"/>
          <w:b/>
          <w:bCs/>
          <w:spacing w:val="-2"/>
        </w:rPr>
        <w:t>pH </w:t>
      </w:r>
      <w:r>
        <w:rPr>
          <w:rFonts w:ascii="SimSun" w:hAnsi="SimSun" w:eastAsia="SimSun" w:cs="SimSun"/>
          <w:sz w:val="24"/>
          <w:szCs w:val="24"/>
          <w:b/>
          <w:bCs/>
          <w:spacing w:val="-2"/>
        </w:rPr>
        <w:t>值除外）</w:t>
      </w:r>
    </w:p>
    <w:p>
      <w:pPr>
        <w:spacing w:line="27" w:lineRule="auto"/>
        <w:rPr>
          <w:rFonts w:ascii="Arial"/>
          <w:sz w:val="2"/>
        </w:rPr>
      </w:pPr>
      <w:r>
        <w:rPr>
          <w:rFonts w:ascii="Arial"/>
          <w:sz w:val="2"/>
        </w:rPr>
      </w:r>
    </w:p>
    <w:tbl>
      <w:tblPr>
        <w:tblStyle w:val="TableNormal"/>
        <w:tblW w:w="896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3"/>
        <w:gridCol w:w="1841"/>
        <w:gridCol w:w="1217"/>
        <w:gridCol w:w="1097"/>
        <w:gridCol w:w="1097"/>
        <w:gridCol w:w="1013"/>
        <w:gridCol w:w="1015"/>
        <w:gridCol w:w="1030"/>
      </w:tblGrid>
      <w:tr>
        <w:trPr>
          <w:trHeight w:val="456" w:hRule="atLeast"/>
        </w:trPr>
        <w:tc>
          <w:tcPr>
            <w:tcW w:w="653" w:type="dxa"/>
            <w:vAlign w:val="top"/>
            <w:tcBorders>
              <w:top w:val="single" w:color="000000" w:sz="10" w:space="0"/>
              <w:left w:val="nil"/>
            </w:tcBorders>
          </w:tcPr>
          <w:p>
            <w:pPr>
              <w:pStyle w:val="TableText"/>
              <w:ind w:left="124"/>
              <w:spacing w:before="124" w:line="222" w:lineRule="auto"/>
              <w:rPr/>
            </w:pPr>
            <w:r>
              <w:rPr>
                <w:b/>
                <w:bCs/>
                <w:spacing w:val="-4"/>
              </w:rPr>
              <w:t>序号</w:t>
            </w:r>
          </w:p>
        </w:tc>
        <w:tc>
          <w:tcPr>
            <w:tcW w:w="1841" w:type="dxa"/>
            <w:vAlign w:val="top"/>
            <w:tcBorders>
              <w:top w:val="single" w:color="000000" w:sz="10" w:space="0"/>
            </w:tcBorders>
          </w:tcPr>
          <w:p>
            <w:pPr>
              <w:pStyle w:val="TableText"/>
              <w:ind w:left="506"/>
              <w:spacing w:before="125" w:line="221" w:lineRule="auto"/>
              <w:rPr/>
            </w:pPr>
            <w:r>
              <w:rPr>
                <w:b/>
                <w:bCs/>
                <w:spacing w:val="-4"/>
              </w:rPr>
              <w:t>污染指标</w:t>
            </w:r>
          </w:p>
        </w:tc>
        <w:tc>
          <w:tcPr>
            <w:tcW w:w="1217" w:type="dxa"/>
            <w:vAlign w:val="top"/>
            <w:tcBorders>
              <w:top w:val="single" w:color="000000" w:sz="10" w:space="0"/>
            </w:tcBorders>
          </w:tcPr>
          <w:p>
            <w:pPr>
              <w:ind w:left="380"/>
              <w:spacing w:before="1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COD</w:t>
            </w:r>
          </w:p>
        </w:tc>
        <w:tc>
          <w:tcPr>
            <w:tcW w:w="1097" w:type="dxa"/>
            <w:vAlign w:val="top"/>
            <w:tcBorders>
              <w:top w:val="single" w:color="000000" w:sz="10" w:space="0"/>
            </w:tcBorders>
          </w:tcPr>
          <w:p>
            <w:pPr>
              <w:ind w:left="287"/>
              <w:spacing w:before="163"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b/>
                <w:bCs/>
              </w:rPr>
              <w:t>BOD</w:t>
            </w:r>
            <w:r>
              <w:rPr>
                <w:rFonts w:ascii="Times New Roman" w:hAnsi="Times New Roman" w:eastAsia="Times New Roman" w:cs="Times New Roman"/>
                <w:sz w:val="13"/>
                <w:szCs w:val="13"/>
                <w:b/>
                <w:bCs/>
                <w:spacing w:val="3"/>
                <w:position w:val="-2"/>
              </w:rPr>
              <w:t>5</w:t>
            </w:r>
          </w:p>
        </w:tc>
        <w:tc>
          <w:tcPr>
            <w:tcW w:w="1097" w:type="dxa"/>
            <w:vAlign w:val="top"/>
            <w:tcBorders>
              <w:top w:val="single" w:color="000000" w:sz="10" w:space="0"/>
            </w:tcBorders>
          </w:tcPr>
          <w:p>
            <w:pPr>
              <w:ind w:left="440"/>
              <w:spacing w:before="16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3"/>
              </w:rPr>
              <w:t>SS</w:t>
            </w:r>
          </w:p>
        </w:tc>
        <w:tc>
          <w:tcPr>
            <w:tcW w:w="1013" w:type="dxa"/>
            <w:vAlign w:val="top"/>
            <w:tcBorders>
              <w:top w:val="single" w:color="000000" w:sz="10" w:space="0"/>
            </w:tcBorders>
          </w:tcPr>
          <w:p>
            <w:pPr>
              <w:pStyle w:val="TableText"/>
              <w:ind w:left="301"/>
              <w:spacing w:before="124" w:line="220" w:lineRule="auto"/>
              <w:rPr/>
            </w:pPr>
            <w:r>
              <w:rPr>
                <w:b/>
                <w:bCs/>
                <w:spacing w:val="-4"/>
              </w:rPr>
              <w:t>氨氮</w:t>
            </w:r>
          </w:p>
        </w:tc>
        <w:tc>
          <w:tcPr>
            <w:tcW w:w="1015" w:type="dxa"/>
            <w:vAlign w:val="top"/>
            <w:tcBorders>
              <w:top w:val="single" w:color="000000" w:sz="10" w:space="0"/>
            </w:tcBorders>
          </w:tcPr>
          <w:p>
            <w:pPr>
              <w:pStyle w:val="TableText"/>
              <w:ind w:left="90"/>
              <w:spacing w:before="124" w:line="221" w:lineRule="auto"/>
              <w:rPr/>
            </w:pPr>
            <w:r>
              <w:rPr>
                <w:b/>
                <w:bCs/>
                <w:spacing w:val="-4"/>
              </w:rPr>
              <w:t>动植物油</w:t>
            </w:r>
          </w:p>
        </w:tc>
        <w:tc>
          <w:tcPr>
            <w:tcW w:w="1030" w:type="dxa"/>
            <w:vAlign w:val="top"/>
            <w:tcBorders>
              <w:top w:val="single" w:color="000000" w:sz="10" w:space="0"/>
              <w:right w:val="nil"/>
            </w:tcBorders>
          </w:tcPr>
          <w:p>
            <w:pPr>
              <w:ind w:left="379"/>
              <w:spacing w:before="16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pH</w:t>
            </w:r>
          </w:p>
        </w:tc>
      </w:tr>
      <w:tr>
        <w:trPr>
          <w:trHeight w:val="450" w:hRule="atLeast"/>
        </w:trPr>
        <w:tc>
          <w:tcPr>
            <w:tcW w:w="653" w:type="dxa"/>
            <w:vAlign w:val="top"/>
            <w:tcBorders>
              <w:left w:val="nil"/>
            </w:tcBorders>
          </w:tcPr>
          <w:p>
            <w:pPr>
              <w:ind w:left="300"/>
              <w:spacing w:before="15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841" w:type="dxa"/>
            <w:vAlign w:val="top"/>
          </w:tcPr>
          <w:p>
            <w:pPr>
              <w:pStyle w:val="TableText"/>
              <w:ind w:left="276"/>
              <w:spacing w:before="129" w:line="213" w:lineRule="auto"/>
              <w:rPr/>
            </w:pPr>
            <w:r>
              <w:rPr>
                <w:spacing w:val="-1"/>
              </w:rPr>
              <w:t>浓度（</w:t>
            </w:r>
            <w:r>
              <w:rPr>
                <w:rFonts w:ascii="Times New Roman" w:hAnsi="Times New Roman" w:eastAsia="Times New Roman" w:cs="Times New Roman"/>
                <w:spacing w:val="-1"/>
              </w:rPr>
              <w:t>mg/L</w:t>
            </w:r>
            <w:r>
              <w:rPr>
                <w:spacing w:val="-1"/>
              </w:rPr>
              <w:t>）</w:t>
            </w:r>
          </w:p>
        </w:tc>
        <w:tc>
          <w:tcPr>
            <w:tcW w:w="1217" w:type="dxa"/>
            <w:vAlign w:val="top"/>
          </w:tcPr>
          <w:p>
            <w:pPr>
              <w:ind w:left="455"/>
              <w:spacing w:before="15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350</w:t>
            </w:r>
          </w:p>
        </w:tc>
        <w:tc>
          <w:tcPr>
            <w:tcW w:w="1097" w:type="dxa"/>
            <w:vAlign w:val="top"/>
          </w:tcPr>
          <w:p>
            <w:pPr>
              <w:ind w:left="413"/>
              <w:spacing w:before="15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180</w:t>
            </w:r>
          </w:p>
        </w:tc>
        <w:tc>
          <w:tcPr>
            <w:tcW w:w="1097" w:type="dxa"/>
            <w:vAlign w:val="top"/>
          </w:tcPr>
          <w:p>
            <w:pPr>
              <w:ind w:left="393"/>
              <w:spacing w:before="15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1013" w:type="dxa"/>
            <w:vAlign w:val="top"/>
          </w:tcPr>
          <w:p>
            <w:pPr>
              <w:ind w:left="407"/>
              <w:spacing w:before="15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015" w:type="dxa"/>
            <w:vAlign w:val="top"/>
          </w:tcPr>
          <w:p>
            <w:pPr>
              <w:ind w:left="401"/>
              <w:spacing w:before="15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30" w:type="dxa"/>
            <w:vAlign w:val="top"/>
            <w:tcBorders>
              <w:right w:val="nil"/>
            </w:tcBorders>
          </w:tcPr>
          <w:p>
            <w:pPr>
              <w:pStyle w:val="TableText"/>
              <w:ind w:left="158"/>
              <w:spacing w:before="129" w:line="285" w:lineRule="exact"/>
              <w:rPr>
                <w:rFonts w:ascii="Times New Roman" w:hAnsi="Times New Roman" w:eastAsia="Times New Roman" w:cs="Times New Roman"/>
              </w:rPr>
            </w:pPr>
            <w:r>
              <w:rPr>
                <w:rFonts w:ascii="Times New Roman" w:hAnsi="Times New Roman" w:eastAsia="Times New Roman" w:cs="Times New Roman"/>
                <w:spacing w:val="-1"/>
                <w:position w:val="2"/>
              </w:rPr>
              <w:t>6.5</w:t>
            </w:r>
            <w:r>
              <w:rPr>
                <w:spacing w:val="-1"/>
                <w:position w:val="2"/>
              </w:rPr>
              <w:t>～</w:t>
            </w:r>
            <w:r>
              <w:rPr>
                <w:rFonts w:ascii="Times New Roman" w:hAnsi="Times New Roman" w:eastAsia="Times New Roman" w:cs="Times New Roman"/>
                <w:spacing w:val="-1"/>
                <w:position w:val="2"/>
              </w:rPr>
              <w:t>7.5</w:t>
            </w:r>
          </w:p>
        </w:tc>
      </w:tr>
      <w:tr>
        <w:trPr>
          <w:trHeight w:val="476" w:hRule="atLeast"/>
        </w:trPr>
        <w:tc>
          <w:tcPr>
            <w:tcW w:w="653" w:type="dxa"/>
            <w:vAlign w:val="top"/>
            <w:tcBorders>
              <w:bottom w:val="single" w:color="000000" w:sz="10" w:space="0"/>
              <w:left w:val="nil"/>
            </w:tcBorders>
          </w:tcPr>
          <w:p>
            <w:pPr>
              <w:ind w:left="280"/>
              <w:spacing w:before="165"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41" w:type="dxa"/>
            <w:vAlign w:val="top"/>
            <w:tcBorders>
              <w:bottom w:val="single" w:color="000000" w:sz="10" w:space="0"/>
            </w:tcBorders>
          </w:tcPr>
          <w:p>
            <w:pPr>
              <w:pStyle w:val="TableText"/>
              <w:ind w:left="295"/>
              <w:spacing w:before="137" w:line="236" w:lineRule="auto"/>
              <w:rPr/>
            </w:pPr>
            <w:r>
              <w:rPr>
                <w:spacing w:val="-1"/>
              </w:rPr>
              <w:t>排放量（</w:t>
            </w:r>
            <w:r>
              <w:rPr>
                <w:rFonts w:ascii="Times New Roman" w:hAnsi="Times New Roman" w:eastAsia="Times New Roman" w:cs="Times New Roman"/>
                <w:spacing w:val="-1"/>
              </w:rPr>
              <w:t>t/a</w:t>
            </w:r>
            <w:r>
              <w:rPr>
                <w:spacing w:val="-1"/>
              </w:rPr>
              <w:t>）</w:t>
            </w:r>
          </w:p>
        </w:tc>
        <w:tc>
          <w:tcPr>
            <w:tcW w:w="1217" w:type="dxa"/>
            <w:vAlign w:val="top"/>
            <w:tcBorders>
              <w:bottom w:val="single" w:color="000000" w:sz="10" w:space="0"/>
            </w:tcBorders>
          </w:tcPr>
          <w:p>
            <w:pPr>
              <w:ind w:left="374"/>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0.061</w:t>
            </w:r>
          </w:p>
        </w:tc>
        <w:tc>
          <w:tcPr>
            <w:tcW w:w="1097" w:type="dxa"/>
            <w:vAlign w:val="top"/>
            <w:tcBorders>
              <w:bottom w:val="single" w:color="000000" w:sz="10" w:space="0"/>
            </w:tcBorders>
          </w:tcPr>
          <w:p>
            <w:pPr>
              <w:ind w:left="317"/>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0.032</w:t>
            </w:r>
          </w:p>
        </w:tc>
        <w:tc>
          <w:tcPr>
            <w:tcW w:w="1097" w:type="dxa"/>
            <w:vAlign w:val="top"/>
            <w:tcBorders>
              <w:bottom w:val="single" w:color="000000" w:sz="10" w:space="0"/>
            </w:tcBorders>
          </w:tcPr>
          <w:p>
            <w:pPr>
              <w:ind w:left="317"/>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0.044</w:t>
            </w:r>
          </w:p>
        </w:tc>
        <w:tc>
          <w:tcPr>
            <w:tcW w:w="1013" w:type="dxa"/>
            <w:vAlign w:val="top"/>
            <w:tcBorders>
              <w:bottom w:val="single" w:color="000000" w:sz="10" w:space="0"/>
            </w:tcBorders>
          </w:tcPr>
          <w:p>
            <w:pPr>
              <w:ind w:left="274"/>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0.005</w:t>
            </w:r>
          </w:p>
        </w:tc>
        <w:tc>
          <w:tcPr>
            <w:tcW w:w="1015" w:type="dxa"/>
            <w:vAlign w:val="top"/>
            <w:tcBorders>
              <w:bottom w:val="single" w:color="000000" w:sz="10" w:space="0"/>
            </w:tcBorders>
          </w:tcPr>
          <w:p>
            <w:pPr>
              <w:ind w:left="274"/>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0.007</w:t>
            </w:r>
          </w:p>
        </w:tc>
        <w:tc>
          <w:tcPr>
            <w:tcW w:w="1030" w:type="dxa"/>
            <w:vAlign w:val="top"/>
            <w:tcBorders>
              <w:bottom w:val="single" w:color="000000" w:sz="10" w:space="0"/>
              <w:right w:val="nil"/>
            </w:tcBorders>
          </w:tcPr>
          <w:p>
            <w:pPr>
              <w:ind w:left="488"/>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ind w:left="246" w:right="230" w:firstLine="509"/>
        <w:spacing w:before="34" w:line="359" w:lineRule="auto"/>
        <w:rPr>
          <w:rFonts w:ascii="SimSun" w:hAnsi="SimSun" w:eastAsia="SimSun" w:cs="SimSun"/>
          <w:sz w:val="24"/>
          <w:szCs w:val="24"/>
        </w:rPr>
      </w:pPr>
      <w:r>
        <w:rPr>
          <w:rFonts w:ascii="SimSun" w:hAnsi="SimSun" w:eastAsia="SimSun" w:cs="SimSun"/>
          <w:sz w:val="24"/>
          <w:szCs w:val="24"/>
          <w:spacing w:val="2"/>
        </w:rPr>
        <w:t>由于项目区域无污水管网，本项目生活污水排入防渗</w:t>
      </w:r>
      <w:r>
        <w:rPr>
          <w:rFonts w:ascii="SimSun" w:hAnsi="SimSun" w:eastAsia="SimSun" w:cs="SimSun"/>
          <w:sz w:val="24"/>
          <w:szCs w:val="24"/>
          <w:spacing w:val="1"/>
        </w:rPr>
        <w:t>池，定期由环卫部门清</w:t>
      </w:r>
      <w:r>
        <w:rPr>
          <w:rFonts w:ascii="SimSun" w:hAnsi="SimSun" w:eastAsia="SimSun" w:cs="SimSun"/>
          <w:sz w:val="24"/>
          <w:szCs w:val="24"/>
          <w:spacing w:val="-9"/>
        </w:rPr>
        <w:t>抽处理。</w:t>
      </w:r>
    </w:p>
    <w:p>
      <w:pPr>
        <w:ind w:left="733"/>
        <w:spacing w:before="1"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）牛尿</w:t>
      </w:r>
    </w:p>
    <w:p>
      <w:pPr>
        <w:ind w:left="246" w:right="184" w:firstLine="481"/>
        <w:spacing w:before="161" w:line="357" w:lineRule="auto"/>
        <w:rPr>
          <w:rFonts w:ascii="SimSun" w:hAnsi="SimSun" w:eastAsia="SimSun" w:cs="SimSun"/>
          <w:sz w:val="24"/>
          <w:szCs w:val="24"/>
        </w:rPr>
      </w:pPr>
      <w:r>
        <w:rPr>
          <w:rFonts w:ascii="SimSun" w:hAnsi="SimSun" w:eastAsia="SimSun" w:cs="SimSun"/>
          <w:sz w:val="24"/>
          <w:szCs w:val="24"/>
          <w:spacing w:val="-2"/>
        </w:rPr>
        <w:t>本项目牛尿产生量为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15.973t/d</w:t>
      </w:r>
      <w:r>
        <w:rPr>
          <w:rFonts w:ascii="SimSun" w:hAnsi="SimSun" w:eastAsia="SimSun" w:cs="SimSun"/>
          <w:sz w:val="24"/>
          <w:szCs w:val="24"/>
          <w:spacing w:val="-2"/>
        </w:rPr>
        <w:t>（</w:t>
      </w:r>
      <w:r>
        <w:rPr>
          <w:rFonts w:ascii="Times New Roman" w:hAnsi="Times New Roman" w:eastAsia="Times New Roman" w:cs="Times New Roman"/>
          <w:sz w:val="24"/>
          <w:szCs w:val="24"/>
          <w:spacing w:val="-2"/>
        </w:rPr>
        <w:t>5830.145t/a</w:t>
      </w:r>
      <w:r>
        <w:rPr>
          <w:rFonts w:ascii="SimSun" w:hAnsi="SimSun" w:eastAsia="SimSun" w:cs="SimSun"/>
          <w:sz w:val="24"/>
          <w:szCs w:val="24"/>
          <w:spacing w:val="-3"/>
        </w:rPr>
        <w:t>），</w:t>
      </w:r>
      <w:r>
        <w:rPr>
          <w:rFonts w:ascii="SimSun" w:hAnsi="SimSun" w:eastAsia="SimSun" w:cs="SimSun"/>
          <w:sz w:val="24"/>
          <w:szCs w:val="24"/>
          <w:spacing w:val="-2"/>
        </w:rPr>
        <w:t>部分蒸发，其余进入垫料中，</w:t>
      </w:r>
      <w:r>
        <w:rPr>
          <w:rFonts w:ascii="SimSun" w:hAnsi="SimSun" w:eastAsia="SimSun" w:cs="SimSun"/>
          <w:sz w:val="24"/>
          <w:szCs w:val="24"/>
          <w:spacing w:val="2"/>
        </w:rPr>
        <w:t>废垫料用清粪车转运至储粪库，定期卖与锡林郭勒盟青禾吉兴有机肥业有限责任</w:t>
      </w:r>
      <w:r>
        <w:rPr>
          <w:rFonts w:ascii="SimSun" w:hAnsi="SimSun" w:eastAsia="SimSun" w:cs="SimSun"/>
          <w:sz w:val="24"/>
          <w:szCs w:val="24"/>
          <w:spacing w:val="-2"/>
        </w:rPr>
        <w:t>公司生产有机肥，资源化综合利用，不作为废水外排。</w:t>
      </w:r>
    </w:p>
    <w:p>
      <w:pPr>
        <w:ind w:left="241"/>
        <w:spacing w:before="270" w:line="234" w:lineRule="auto"/>
        <w:rPr>
          <w:rFonts w:ascii="SimSun" w:hAnsi="SimSun" w:eastAsia="SimSun" w:cs="SimSun"/>
          <w:sz w:val="24"/>
          <w:szCs w:val="24"/>
        </w:rPr>
      </w:pPr>
      <w:r>
        <w:rPr>
          <w:rFonts w:ascii="Times New Roman" w:hAnsi="Times New Roman" w:eastAsia="Times New Roman" w:cs="Times New Roman"/>
          <w:sz w:val="24"/>
          <w:szCs w:val="24"/>
          <w:b/>
          <w:bCs/>
          <w:spacing w:val="-1"/>
        </w:rPr>
        <w:t>3.3.2 </w:t>
      </w:r>
      <w:r>
        <w:rPr>
          <w:rFonts w:ascii="SimSun" w:hAnsi="SimSun" w:eastAsia="SimSun" w:cs="SimSun"/>
          <w:sz w:val="24"/>
          <w:szCs w:val="24"/>
          <w:b/>
          <w:bCs/>
          <w:spacing w:val="-1"/>
        </w:rPr>
        <w:t>废气</w:t>
      </w:r>
    </w:p>
    <w:p>
      <w:pPr>
        <w:pStyle w:val="BodyText"/>
        <w:spacing w:line="341" w:lineRule="auto"/>
        <w:rPr/>
      </w:pPr>
      <w:r/>
    </w:p>
    <w:p>
      <w:pPr>
        <w:ind w:left="246" w:right="236" w:firstLine="508"/>
        <w:spacing w:before="79" w:line="359" w:lineRule="auto"/>
        <w:rPr>
          <w:rFonts w:ascii="SimSun" w:hAnsi="SimSun" w:eastAsia="SimSun" w:cs="SimSun"/>
          <w:sz w:val="24"/>
          <w:szCs w:val="24"/>
        </w:rPr>
      </w:pPr>
      <w:r>
        <w:rPr>
          <w:rFonts w:ascii="SimSun" w:hAnsi="SimSun" w:eastAsia="SimSun" w:cs="SimSun"/>
          <w:sz w:val="24"/>
          <w:szCs w:val="24"/>
          <w:spacing w:val="1"/>
        </w:rPr>
        <w:t>由于项目饲料全部外购成品料，养殖场内不进行饲料的任何加工工序，不会</w:t>
      </w:r>
      <w:r>
        <w:rPr>
          <w:rFonts w:ascii="SimSun" w:hAnsi="SimSun" w:eastAsia="SimSun" w:cs="SimSun"/>
          <w:sz w:val="24"/>
          <w:szCs w:val="24"/>
          <w:spacing w:val="-1"/>
        </w:rPr>
        <w:t>产生粉尘等污染物，供暖采用电供给，故废气主要为恶</w:t>
      </w:r>
      <w:r>
        <w:rPr>
          <w:rFonts w:ascii="SimSun" w:hAnsi="SimSun" w:eastAsia="SimSun" w:cs="SimSun"/>
          <w:sz w:val="24"/>
          <w:szCs w:val="24"/>
          <w:spacing w:val="-2"/>
        </w:rPr>
        <w:t>臭气体以及食堂油烟。</w:t>
      </w:r>
    </w:p>
    <w:p>
      <w:pPr>
        <w:ind w:left="727"/>
        <w:spacing w:line="233" w:lineRule="auto"/>
        <w:rPr>
          <w:rFonts w:ascii="SimSun" w:hAnsi="SimSun" w:eastAsia="SimSun" w:cs="SimSun"/>
          <w:sz w:val="24"/>
          <w:szCs w:val="24"/>
        </w:rPr>
      </w:pPr>
      <w:r>
        <w:rPr>
          <w:rFonts w:ascii="Times New Roman" w:hAnsi="Times New Roman" w:eastAsia="Times New Roman" w:cs="Times New Roman"/>
          <w:sz w:val="24"/>
          <w:szCs w:val="24"/>
          <w:spacing w:val="-1"/>
        </w:rPr>
        <w:t>3.3.2.1 </w:t>
      </w:r>
      <w:r>
        <w:rPr>
          <w:rFonts w:ascii="SimSun" w:hAnsi="SimSun" w:eastAsia="SimSun" w:cs="SimSun"/>
          <w:sz w:val="24"/>
          <w:szCs w:val="24"/>
          <w:spacing w:val="-1"/>
        </w:rPr>
        <w:t>恶臭气体</w:t>
      </w:r>
    </w:p>
    <w:p>
      <w:pPr>
        <w:ind w:left="246" w:right="242" w:firstLine="503"/>
        <w:spacing w:before="165" w:line="359" w:lineRule="auto"/>
        <w:rPr>
          <w:rFonts w:ascii="SimSun" w:hAnsi="SimSun" w:eastAsia="SimSun" w:cs="SimSun"/>
          <w:sz w:val="24"/>
          <w:szCs w:val="24"/>
        </w:rPr>
      </w:pPr>
      <w:r>
        <w:rPr>
          <w:rFonts w:ascii="SimSun" w:hAnsi="SimSun" w:eastAsia="SimSun" w:cs="SimSun"/>
          <w:sz w:val="24"/>
          <w:szCs w:val="24"/>
          <w:spacing w:val="1"/>
        </w:rPr>
        <w:t>肉牛养殖过程废气主要为恶臭气体，养殖恶臭源主要为牛舍及储粪库等，恶</w:t>
      </w:r>
      <w:r>
        <w:rPr>
          <w:rFonts w:ascii="SimSun" w:hAnsi="SimSun" w:eastAsia="SimSun" w:cs="SimSun"/>
          <w:sz w:val="24"/>
          <w:szCs w:val="24"/>
          <w:spacing w:val="-1"/>
        </w:rPr>
        <w:t>臭气体主要成分为氨、硫化氢等，主要恶臭物质的理化性质见表</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1"/>
        </w:rPr>
        <w:t>3-9</w:t>
      </w:r>
      <w:r>
        <w:rPr>
          <w:rFonts w:ascii="SimSun" w:hAnsi="SimSun" w:eastAsia="SimSun" w:cs="SimSun"/>
          <w:sz w:val="24"/>
          <w:szCs w:val="24"/>
          <w:spacing w:val="-1"/>
        </w:rPr>
        <w:t>。</w:t>
      </w:r>
    </w:p>
    <w:p>
      <w:pPr>
        <w:ind w:left="2490"/>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3-9      </w:t>
      </w:r>
      <w:r>
        <w:rPr>
          <w:rFonts w:ascii="SimSun" w:hAnsi="SimSun" w:eastAsia="SimSun" w:cs="SimSun"/>
          <w:sz w:val="24"/>
          <w:szCs w:val="24"/>
          <w:b/>
          <w:bCs/>
          <w:spacing w:val="-2"/>
        </w:rPr>
        <w:t>无组织恶臭气体排放情况一览表</w:t>
      </w:r>
    </w:p>
    <w:p>
      <w:pPr>
        <w:spacing w:line="129" w:lineRule="exact"/>
        <w:rPr/>
      </w:pPr>
      <w:r/>
    </w:p>
    <w:tbl>
      <w:tblPr>
        <w:tblStyle w:val="TableNormal"/>
        <w:tblW w:w="8735" w:type="dxa"/>
        <w:tblInd w:w="11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35"/>
        <w:gridCol w:w="2263"/>
        <w:gridCol w:w="2265"/>
        <w:gridCol w:w="1472"/>
      </w:tblGrid>
      <w:tr>
        <w:trPr>
          <w:trHeight w:val="274" w:hRule="atLeast"/>
        </w:trPr>
        <w:tc>
          <w:tcPr>
            <w:tcW w:w="2735" w:type="dxa"/>
            <w:vAlign w:val="top"/>
            <w:tcBorders>
              <w:top w:val="single" w:color="000000" w:sz="10" w:space="0"/>
              <w:left w:val="nil"/>
            </w:tcBorders>
          </w:tcPr>
          <w:p>
            <w:pPr>
              <w:pStyle w:val="TableText"/>
              <w:ind w:left="959"/>
              <w:spacing w:before="36" w:line="200" w:lineRule="auto"/>
              <w:rPr/>
            </w:pPr>
            <w:r>
              <w:rPr>
                <w:b/>
                <w:bCs/>
                <w:spacing w:val="-4"/>
              </w:rPr>
              <w:t>恶臭物质</w:t>
            </w:r>
          </w:p>
        </w:tc>
        <w:tc>
          <w:tcPr>
            <w:tcW w:w="2263" w:type="dxa"/>
            <w:vAlign w:val="top"/>
            <w:tcBorders>
              <w:top w:val="single" w:color="000000" w:sz="10" w:space="0"/>
            </w:tcBorders>
          </w:tcPr>
          <w:p>
            <w:pPr>
              <w:pStyle w:val="TableText"/>
              <w:ind w:left="818"/>
              <w:spacing w:before="36" w:line="200" w:lineRule="auto"/>
              <w:rPr/>
            </w:pPr>
            <w:r>
              <w:rPr>
                <w:b/>
                <w:bCs/>
                <w:spacing w:val="-4"/>
              </w:rPr>
              <w:t>分子式</w:t>
            </w:r>
          </w:p>
        </w:tc>
        <w:tc>
          <w:tcPr>
            <w:tcW w:w="2265" w:type="dxa"/>
            <w:vAlign w:val="top"/>
            <w:tcBorders>
              <w:top w:val="single" w:color="000000" w:sz="10" w:space="0"/>
            </w:tcBorders>
          </w:tcPr>
          <w:p>
            <w:pPr>
              <w:pStyle w:val="TableText"/>
              <w:ind w:left="414"/>
              <w:spacing w:before="36" w:line="200" w:lineRule="auto"/>
              <w:rPr/>
            </w:pPr>
            <w:r>
              <w:rPr>
                <w:b/>
                <w:bCs/>
                <w:spacing w:val="-3"/>
              </w:rPr>
              <w:t>嗅阀值（</w:t>
            </w:r>
            <w:r>
              <w:rPr>
                <w:rFonts w:ascii="Times New Roman" w:hAnsi="Times New Roman" w:eastAsia="Times New Roman" w:cs="Times New Roman"/>
                <w:b/>
                <w:bCs/>
                <w:spacing w:val="-3"/>
              </w:rPr>
              <w:t>ppm</w:t>
            </w:r>
            <w:r>
              <w:rPr>
                <w:b/>
                <w:bCs/>
                <w:spacing w:val="-3"/>
              </w:rPr>
              <w:t>）</w:t>
            </w:r>
          </w:p>
        </w:tc>
        <w:tc>
          <w:tcPr>
            <w:tcW w:w="1472" w:type="dxa"/>
            <w:vAlign w:val="top"/>
            <w:tcBorders>
              <w:top w:val="single" w:color="000000" w:sz="10" w:space="0"/>
              <w:right w:val="nil"/>
            </w:tcBorders>
          </w:tcPr>
          <w:p>
            <w:pPr>
              <w:pStyle w:val="TableText"/>
              <w:ind w:left="318"/>
              <w:spacing w:before="36" w:line="200" w:lineRule="auto"/>
              <w:rPr/>
            </w:pPr>
            <w:r>
              <w:rPr>
                <w:b/>
                <w:bCs/>
                <w:spacing w:val="-3"/>
              </w:rPr>
              <w:t>臭气特征</w:t>
            </w:r>
          </w:p>
        </w:tc>
      </w:tr>
      <w:tr>
        <w:trPr>
          <w:trHeight w:val="270" w:hRule="atLeast"/>
        </w:trPr>
        <w:tc>
          <w:tcPr>
            <w:tcW w:w="2735" w:type="dxa"/>
            <w:vAlign w:val="top"/>
            <w:tcBorders>
              <w:left w:val="nil"/>
            </w:tcBorders>
          </w:tcPr>
          <w:p>
            <w:pPr>
              <w:pStyle w:val="TableText"/>
              <w:ind w:left="1275"/>
              <w:spacing w:before="38" w:line="195" w:lineRule="auto"/>
              <w:rPr/>
            </w:pPr>
            <w:r>
              <w:rPr/>
              <w:t>氨</w:t>
            </w:r>
          </w:p>
        </w:tc>
        <w:tc>
          <w:tcPr>
            <w:tcW w:w="2263" w:type="dxa"/>
            <w:vAlign w:val="top"/>
          </w:tcPr>
          <w:p>
            <w:pPr>
              <w:ind w:left="934"/>
              <w:spacing w:before="74" w:line="182"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9"/>
                <w:position w:val="-2"/>
              </w:rPr>
              <w:t>3</w:t>
            </w:r>
          </w:p>
        </w:tc>
        <w:tc>
          <w:tcPr>
            <w:tcW w:w="2265" w:type="dxa"/>
            <w:vAlign w:val="top"/>
          </w:tcPr>
          <w:p>
            <w:pPr>
              <w:ind w:left="967"/>
              <w:spacing w:before="6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1.54</w:t>
            </w:r>
          </w:p>
        </w:tc>
        <w:tc>
          <w:tcPr>
            <w:tcW w:w="1472" w:type="dxa"/>
            <w:vAlign w:val="top"/>
            <w:tcBorders>
              <w:right w:val="nil"/>
            </w:tcBorders>
          </w:tcPr>
          <w:p>
            <w:pPr>
              <w:pStyle w:val="TableText"/>
              <w:ind w:left="423"/>
              <w:spacing w:before="38" w:line="195" w:lineRule="auto"/>
              <w:rPr/>
            </w:pPr>
            <w:r>
              <w:rPr>
                <w:spacing w:val="-1"/>
              </w:rPr>
              <w:t>刺激味</w:t>
            </w:r>
          </w:p>
        </w:tc>
      </w:tr>
      <w:tr>
        <w:trPr>
          <w:trHeight w:val="293" w:hRule="atLeast"/>
        </w:trPr>
        <w:tc>
          <w:tcPr>
            <w:tcW w:w="2735" w:type="dxa"/>
            <w:vAlign w:val="top"/>
            <w:tcBorders>
              <w:bottom w:val="single" w:color="000000" w:sz="10" w:space="0"/>
              <w:left w:val="nil"/>
            </w:tcBorders>
          </w:tcPr>
          <w:p>
            <w:pPr>
              <w:pStyle w:val="TableText"/>
              <w:ind w:left="1063"/>
              <w:spacing w:before="46" w:line="208" w:lineRule="auto"/>
              <w:rPr/>
            </w:pPr>
            <w:r>
              <w:rPr>
                <w:spacing w:val="-1"/>
              </w:rPr>
              <w:t>硫化氢</w:t>
            </w:r>
          </w:p>
        </w:tc>
        <w:tc>
          <w:tcPr>
            <w:tcW w:w="2263" w:type="dxa"/>
            <w:vAlign w:val="top"/>
            <w:tcBorders>
              <w:bottom w:val="single" w:color="000000" w:sz="10" w:space="0"/>
            </w:tcBorders>
          </w:tcPr>
          <w:p>
            <w:pPr>
              <w:ind w:left="960"/>
              <w:spacing w:before="77"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2265" w:type="dxa"/>
            <w:vAlign w:val="top"/>
            <w:tcBorders>
              <w:bottom w:val="single" w:color="000000" w:sz="10" w:space="0"/>
            </w:tcBorders>
          </w:tcPr>
          <w:p>
            <w:pPr>
              <w:ind w:left="844"/>
              <w:spacing w:before="73"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0.0041</w:t>
            </w:r>
          </w:p>
        </w:tc>
        <w:tc>
          <w:tcPr>
            <w:tcW w:w="1472" w:type="dxa"/>
            <w:vAlign w:val="top"/>
            <w:tcBorders>
              <w:bottom w:val="single" w:color="000000" w:sz="10" w:space="0"/>
              <w:right w:val="nil"/>
            </w:tcBorders>
          </w:tcPr>
          <w:p>
            <w:pPr>
              <w:pStyle w:val="TableText"/>
              <w:ind w:left="424"/>
              <w:spacing w:before="46" w:line="208" w:lineRule="auto"/>
              <w:rPr/>
            </w:pPr>
            <w:r>
              <w:rPr>
                <w:spacing w:val="-2"/>
              </w:rPr>
              <w:t>臭蛋味</w:t>
            </w:r>
          </w:p>
        </w:tc>
      </w:tr>
    </w:tbl>
    <w:p>
      <w:pPr>
        <w:pStyle w:val="BodyText"/>
        <w:rPr/>
      </w:pPr>
      <w:r/>
    </w:p>
    <w:p>
      <w:pPr>
        <w:sectPr>
          <w:headerReference w:type="default" r:id="rId76"/>
          <w:pgSz w:w="11907" w:h="16839"/>
          <w:pgMar w:top="1390" w:right="1478" w:bottom="400" w:left="1464" w:header="1054" w:footer="0" w:gutter="0"/>
        </w:sectPr>
        <w:rPr/>
      </w:pPr>
    </w:p>
    <w:p>
      <w:pPr>
        <w:ind w:left="603"/>
        <w:spacing w:before="83"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）牛舍恶臭气体</w:t>
      </w:r>
    </w:p>
    <w:p>
      <w:pPr>
        <w:ind w:left="115" w:right="105" w:firstLine="505"/>
        <w:spacing w:before="165" w:line="354" w:lineRule="auto"/>
        <w:rPr>
          <w:rFonts w:ascii="SimSun" w:hAnsi="SimSun" w:eastAsia="SimSun" w:cs="SimSun"/>
          <w:sz w:val="24"/>
          <w:szCs w:val="24"/>
        </w:rPr>
      </w:pPr>
      <w:r>
        <w:rPr>
          <w:rFonts w:ascii="SimSun" w:hAnsi="SimSun" w:eastAsia="SimSun" w:cs="SimSun"/>
          <w:sz w:val="24"/>
          <w:szCs w:val="24"/>
          <w:spacing w:val="2"/>
        </w:rPr>
        <w:t>肉牛养殖项目恶臭污染物的产生与清粪方式、粪污处理及气象因</w:t>
      </w:r>
      <w:r>
        <w:rPr>
          <w:rFonts w:ascii="SimSun" w:hAnsi="SimSun" w:eastAsia="SimSun" w:cs="SimSun"/>
          <w:sz w:val="24"/>
          <w:szCs w:val="24"/>
          <w:spacing w:val="1"/>
        </w:rPr>
        <w:t>素等均有密</w:t>
      </w:r>
      <w:r>
        <w:rPr>
          <w:rFonts w:ascii="SimSun" w:hAnsi="SimSun" w:eastAsia="SimSun" w:cs="SimSun"/>
          <w:sz w:val="24"/>
          <w:szCs w:val="24"/>
          <w:spacing w:val="2"/>
        </w:rPr>
        <w:t>切关系。本次评价参照《中国环境科学学会学术年会论文集》（</w:t>
      </w:r>
      <w:r>
        <w:rPr>
          <w:rFonts w:ascii="Times New Roman" w:hAnsi="Times New Roman" w:eastAsia="Times New Roman" w:cs="Times New Roman"/>
          <w:sz w:val="24"/>
          <w:szCs w:val="24"/>
          <w:spacing w:val="2"/>
        </w:rPr>
        <w:t>2010</w:t>
      </w:r>
      <w:r>
        <w:rPr>
          <w:rFonts w:ascii="SimSun" w:hAnsi="SimSun" w:eastAsia="SimSun" w:cs="SimSun"/>
          <w:sz w:val="24"/>
          <w:szCs w:val="24"/>
          <w:spacing w:val="2"/>
        </w:rPr>
        <w:t>）中的数据</w:t>
      </w:r>
      <w:r>
        <w:rPr>
          <w:rFonts w:ascii="SimSun" w:hAnsi="SimSun" w:eastAsia="SimSun" w:cs="SimSun"/>
          <w:sz w:val="24"/>
          <w:szCs w:val="24"/>
          <w:spacing w:val="-2"/>
        </w:rPr>
        <w:t>进行核算主要臭气污染物源强，每头育肥牛</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NH</w:t>
      </w:r>
      <w:r>
        <w:rPr>
          <w:rFonts w:ascii="Times New Roman" w:hAnsi="Times New Roman" w:eastAsia="Times New Roman" w:cs="Times New Roman"/>
          <w:sz w:val="16"/>
          <w:szCs w:val="16"/>
          <w:spacing w:val="-2"/>
          <w:position w:val="-3"/>
        </w:rPr>
        <w:t>3</w:t>
      </w:r>
      <w:r>
        <w:rPr>
          <w:rFonts w:ascii="Times New Roman" w:hAnsi="Times New Roman" w:eastAsia="Times New Roman" w:cs="Times New Roman"/>
          <w:sz w:val="16"/>
          <w:szCs w:val="16"/>
          <w:spacing w:val="12"/>
          <w:w w:val="101"/>
          <w:position w:val="-3"/>
        </w:rPr>
        <w:t xml:space="preserve"> </w:t>
      </w:r>
      <w:r>
        <w:rPr>
          <w:rFonts w:ascii="SimSun" w:hAnsi="SimSun" w:eastAsia="SimSun" w:cs="SimSun"/>
          <w:sz w:val="24"/>
          <w:szCs w:val="24"/>
          <w:spacing w:val="-2"/>
        </w:rPr>
        <w:t>和</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H</w:t>
      </w:r>
      <w:r>
        <w:rPr>
          <w:rFonts w:ascii="Times New Roman" w:hAnsi="Times New Roman" w:eastAsia="Times New Roman" w:cs="Times New Roman"/>
          <w:sz w:val="16"/>
          <w:szCs w:val="16"/>
          <w:spacing w:val="-2"/>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2"/>
        </w:rPr>
        <w:t>S</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2"/>
        </w:rPr>
        <w:t>产生源强分别为</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2"/>
        </w:rPr>
        <w:t>2.0g/d</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和</w:t>
      </w:r>
      <w:r>
        <w:rPr>
          <w:rFonts w:ascii="Times New Roman" w:hAnsi="Times New Roman" w:eastAsia="Times New Roman" w:cs="Times New Roman"/>
          <w:sz w:val="24"/>
          <w:szCs w:val="24"/>
        </w:rPr>
        <w:t>0.1g/d</w:t>
      </w:r>
      <w:r>
        <w:rPr>
          <w:rFonts w:ascii="SimSun" w:hAnsi="SimSun" w:eastAsia="SimSun" w:cs="SimSun"/>
          <w:sz w:val="24"/>
          <w:szCs w:val="24"/>
        </w:rPr>
        <w:t>，根据本项目养牛规模，计算</w:t>
      </w:r>
      <w:r>
        <w:rPr>
          <w:rFonts w:ascii="SimSun" w:hAnsi="SimSun" w:eastAsia="SimSun" w:cs="SimSun"/>
          <w:sz w:val="24"/>
          <w:szCs w:val="24"/>
          <w:spacing w:val="-1"/>
        </w:rPr>
        <w:t>项目场区恶臭气体产生量详见表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3-10</w:t>
      </w:r>
      <w:r>
        <w:rPr>
          <w:rFonts w:ascii="SimSun" w:hAnsi="SimSun" w:eastAsia="SimSun" w:cs="SimSun"/>
          <w:sz w:val="24"/>
          <w:szCs w:val="24"/>
          <w:spacing w:val="-1"/>
        </w:rPr>
        <w:t>。</w:t>
      </w:r>
    </w:p>
    <w:p>
      <w:pPr>
        <w:ind w:left="3083"/>
        <w:spacing w:before="27"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2"/>
        </w:rPr>
        <w:t>3-10    </w:t>
      </w:r>
      <w:r>
        <w:rPr>
          <w:rFonts w:ascii="SimSun" w:hAnsi="SimSun" w:eastAsia="SimSun" w:cs="SimSun"/>
          <w:sz w:val="24"/>
          <w:szCs w:val="24"/>
          <w:b/>
          <w:bCs/>
          <w:spacing w:val="-2"/>
        </w:rPr>
        <w:t>恶臭气体产生量</w:t>
      </w:r>
    </w:p>
    <w:p>
      <w:pPr>
        <w:spacing w:line="128" w:lineRule="exact"/>
        <w:rPr/>
      </w:pPr>
      <w:r/>
    </w:p>
    <w:tbl>
      <w:tblPr>
        <w:tblStyle w:val="TableNormal"/>
        <w:tblW w:w="87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26"/>
        <w:gridCol w:w="1937"/>
        <w:gridCol w:w="1938"/>
        <w:gridCol w:w="1258"/>
        <w:gridCol w:w="1259"/>
      </w:tblGrid>
      <w:tr>
        <w:trPr>
          <w:trHeight w:val="277" w:hRule="atLeast"/>
        </w:trPr>
        <w:tc>
          <w:tcPr>
            <w:tcW w:w="2326" w:type="dxa"/>
            <w:vAlign w:val="top"/>
            <w:vMerge w:val="restart"/>
            <w:tcBorders>
              <w:top w:val="single" w:color="000000" w:sz="10" w:space="0"/>
              <w:left w:val="nil"/>
              <w:bottom w:val="nil"/>
            </w:tcBorders>
          </w:tcPr>
          <w:p>
            <w:pPr>
              <w:pStyle w:val="TableText"/>
              <w:ind w:left="750"/>
              <w:spacing w:before="160" w:line="221" w:lineRule="auto"/>
              <w:rPr/>
            </w:pPr>
            <w:r>
              <w:rPr>
                <w:b/>
                <w:bCs/>
                <w:spacing w:val="-4"/>
              </w:rPr>
              <w:t>恶臭产生</w:t>
            </w:r>
          </w:p>
        </w:tc>
        <w:tc>
          <w:tcPr>
            <w:tcW w:w="1937" w:type="dxa"/>
            <w:vAlign w:val="top"/>
            <w:vMerge w:val="restart"/>
            <w:tcBorders>
              <w:top w:val="single" w:color="000000" w:sz="10" w:space="0"/>
              <w:bottom w:val="nil"/>
            </w:tcBorders>
          </w:tcPr>
          <w:p>
            <w:pPr>
              <w:pStyle w:val="TableText"/>
              <w:ind w:left="135"/>
              <w:spacing w:before="160" w:line="221" w:lineRule="auto"/>
              <w:rPr/>
            </w:pPr>
            <w:r>
              <w:rPr>
                <w:b/>
                <w:bCs/>
                <w:spacing w:val="-5"/>
              </w:rPr>
              <w:t>常年存栏量（头）</w:t>
            </w:r>
          </w:p>
        </w:tc>
        <w:tc>
          <w:tcPr>
            <w:tcW w:w="1938" w:type="dxa"/>
            <w:vAlign w:val="top"/>
            <w:vMerge w:val="restart"/>
            <w:tcBorders>
              <w:top w:val="single" w:color="000000" w:sz="10" w:space="0"/>
              <w:bottom w:val="nil"/>
            </w:tcBorders>
          </w:tcPr>
          <w:p>
            <w:pPr>
              <w:pStyle w:val="TableText"/>
              <w:ind w:left="764"/>
              <w:spacing w:before="161" w:line="221" w:lineRule="auto"/>
              <w:rPr/>
            </w:pPr>
            <w:r>
              <w:rPr>
                <w:b/>
                <w:bCs/>
                <w:spacing w:val="-5"/>
              </w:rPr>
              <w:t>指标</w:t>
            </w:r>
          </w:p>
        </w:tc>
        <w:tc>
          <w:tcPr>
            <w:tcW w:w="2517" w:type="dxa"/>
            <w:vAlign w:val="top"/>
            <w:gridSpan w:val="2"/>
            <w:tcBorders>
              <w:top w:val="single" w:color="000000" w:sz="10" w:space="0"/>
              <w:right w:val="nil"/>
            </w:tcBorders>
          </w:tcPr>
          <w:p>
            <w:pPr>
              <w:pStyle w:val="TableText"/>
              <w:ind w:left="739"/>
              <w:spacing w:before="36" w:line="203" w:lineRule="auto"/>
              <w:rPr/>
            </w:pPr>
            <w:r>
              <w:rPr>
                <w:b/>
                <w:bCs/>
                <w:spacing w:val="-3"/>
              </w:rPr>
              <w:t>污染物名称</w:t>
            </w:r>
          </w:p>
        </w:tc>
      </w:tr>
      <w:tr>
        <w:trPr>
          <w:trHeight w:val="243" w:hRule="atLeast"/>
        </w:trPr>
        <w:tc>
          <w:tcPr>
            <w:tcW w:w="2326" w:type="dxa"/>
            <w:vAlign w:val="top"/>
            <w:vMerge w:val="continue"/>
            <w:tcBorders>
              <w:top w:val="nil"/>
              <w:left w:val="nil"/>
            </w:tcBorders>
          </w:tcPr>
          <w:p>
            <w:pPr>
              <w:rPr>
                <w:rFonts w:ascii="Arial"/>
                <w:sz w:val="21"/>
              </w:rPr>
            </w:pPr>
            <w:r/>
          </w:p>
        </w:tc>
        <w:tc>
          <w:tcPr>
            <w:tcW w:w="1937" w:type="dxa"/>
            <w:vAlign w:val="top"/>
            <w:vMerge w:val="continue"/>
            <w:tcBorders>
              <w:top w:val="nil"/>
            </w:tcBorders>
          </w:tcPr>
          <w:p>
            <w:pPr>
              <w:rPr>
                <w:rFonts w:ascii="Arial"/>
                <w:sz w:val="21"/>
              </w:rPr>
            </w:pPr>
            <w:r/>
          </w:p>
        </w:tc>
        <w:tc>
          <w:tcPr>
            <w:tcW w:w="1938" w:type="dxa"/>
            <w:vAlign w:val="top"/>
            <w:vMerge w:val="continue"/>
            <w:tcBorders>
              <w:top w:val="nil"/>
            </w:tcBorders>
          </w:tcPr>
          <w:p>
            <w:pPr>
              <w:rPr>
                <w:rFonts w:ascii="Arial"/>
                <w:sz w:val="21"/>
              </w:rPr>
            </w:pPr>
            <w:r/>
          </w:p>
        </w:tc>
        <w:tc>
          <w:tcPr>
            <w:tcW w:w="1258" w:type="dxa"/>
            <w:vAlign w:val="top"/>
          </w:tcPr>
          <w:p>
            <w:pPr>
              <w:ind w:left="436"/>
              <w:spacing w:before="59" w:line="17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b/>
                <w:bCs/>
              </w:rPr>
              <w:t>NH</w:t>
            </w:r>
            <w:r>
              <w:rPr>
                <w:rFonts w:ascii="Times New Roman" w:hAnsi="Times New Roman" w:eastAsia="Times New Roman" w:cs="Times New Roman"/>
                <w:sz w:val="13"/>
                <w:szCs w:val="13"/>
                <w:b/>
                <w:bCs/>
                <w:spacing w:val="3"/>
                <w:position w:val="-2"/>
              </w:rPr>
              <w:t>3</w:t>
            </w:r>
          </w:p>
        </w:tc>
        <w:tc>
          <w:tcPr>
            <w:tcW w:w="1259" w:type="dxa"/>
            <w:vAlign w:val="top"/>
            <w:tcBorders>
              <w:right w:val="nil"/>
            </w:tcBorders>
          </w:tcPr>
          <w:p>
            <w:pPr>
              <w:ind w:left="454"/>
              <w:spacing w:before="56" w:line="17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H</w:t>
            </w:r>
            <w:r>
              <w:rPr>
                <w:rFonts w:ascii="Times New Roman" w:hAnsi="Times New Roman" w:eastAsia="Times New Roman" w:cs="Times New Roman"/>
                <w:sz w:val="13"/>
                <w:szCs w:val="13"/>
                <w:b/>
                <w:bCs/>
                <w:position w:val="-2"/>
              </w:rPr>
              <w:t>2</w:t>
            </w:r>
            <w:r>
              <w:rPr>
                <w:rFonts w:ascii="Times New Roman" w:hAnsi="Times New Roman" w:eastAsia="Times New Roman" w:cs="Times New Roman"/>
                <w:sz w:val="21"/>
                <w:szCs w:val="21"/>
                <w:b/>
                <w:bCs/>
              </w:rPr>
              <w:t>S</w:t>
            </w:r>
          </w:p>
        </w:tc>
      </w:tr>
      <w:tr>
        <w:trPr>
          <w:trHeight w:val="273" w:hRule="atLeast"/>
        </w:trPr>
        <w:tc>
          <w:tcPr>
            <w:tcW w:w="2326" w:type="dxa"/>
            <w:vAlign w:val="top"/>
            <w:vMerge w:val="restart"/>
            <w:tcBorders>
              <w:bottom w:val="nil"/>
              <w:left w:val="nil"/>
            </w:tcBorders>
          </w:tcPr>
          <w:p>
            <w:pPr>
              <w:spacing w:line="252" w:lineRule="auto"/>
              <w:rPr>
                <w:rFonts w:ascii="Arial"/>
                <w:sz w:val="21"/>
              </w:rPr>
            </w:pPr>
            <w:r/>
          </w:p>
          <w:p>
            <w:pPr>
              <w:pStyle w:val="TableText"/>
              <w:ind w:left="962"/>
              <w:spacing w:before="69" w:line="222" w:lineRule="auto"/>
              <w:rPr/>
            </w:pPr>
            <w:r>
              <w:rPr>
                <w:spacing w:val="-2"/>
              </w:rPr>
              <w:t>成牛</w:t>
            </w:r>
          </w:p>
        </w:tc>
        <w:tc>
          <w:tcPr>
            <w:tcW w:w="1937" w:type="dxa"/>
            <w:vAlign w:val="top"/>
            <w:vMerge w:val="restart"/>
            <w:tcBorders>
              <w:bottom w:val="nil"/>
            </w:tcBorders>
          </w:tcPr>
          <w:p>
            <w:pPr>
              <w:spacing w:line="287" w:lineRule="auto"/>
              <w:rPr>
                <w:rFonts w:ascii="Arial"/>
                <w:sz w:val="21"/>
              </w:rPr>
            </w:pPr>
            <w:r/>
          </w:p>
          <w:p>
            <w:pPr>
              <w:ind w:left="817"/>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600</w:t>
            </w:r>
          </w:p>
        </w:tc>
        <w:tc>
          <w:tcPr>
            <w:tcW w:w="1938" w:type="dxa"/>
            <w:vAlign w:val="top"/>
          </w:tcPr>
          <w:p>
            <w:pPr>
              <w:pStyle w:val="TableText"/>
              <w:ind w:left="602"/>
              <w:spacing w:before="38" w:line="197" w:lineRule="auto"/>
              <w:rPr>
                <w:rFonts w:ascii="Times New Roman" w:hAnsi="Times New Roman" w:eastAsia="Times New Roman" w:cs="Times New Roman"/>
              </w:rPr>
            </w:pPr>
            <w:r>
              <w:rPr>
                <w:spacing w:val="-2"/>
              </w:rPr>
              <w:t>源强</w:t>
            </w:r>
            <w:r>
              <w:rPr>
                <w:spacing w:val="-46"/>
              </w:rPr>
              <w:t xml:space="preserve"> </w:t>
            </w:r>
            <w:r>
              <w:rPr>
                <w:rFonts w:ascii="Times New Roman" w:hAnsi="Times New Roman" w:eastAsia="Times New Roman" w:cs="Times New Roman"/>
                <w:spacing w:val="-2"/>
              </w:rPr>
              <w:t>g/d</w:t>
            </w:r>
          </w:p>
        </w:tc>
        <w:tc>
          <w:tcPr>
            <w:tcW w:w="1258" w:type="dxa"/>
            <w:vAlign w:val="top"/>
          </w:tcPr>
          <w:p>
            <w:pPr>
              <w:ind w:left="500"/>
              <w:spacing w:before="68"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259" w:type="dxa"/>
            <w:vAlign w:val="top"/>
            <w:tcBorders>
              <w:right w:val="nil"/>
            </w:tcBorders>
          </w:tcPr>
          <w:p>
            <w:pPr>
              <w:ind w:left="503"/>
              <w:spacing w:before="68"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p>
        </w:tc>
      </w:tr>
      <w:tr>
        <w:trPr>
          <w:trHeight w:val="271" w:hRule="atLeast"/>
        </w:trPr>
        <w:tc>
          <w:tcPr>
            <w:tcW w:w="2326" w:type="dxa"/>
            <w:vAlign w:val="top"/>
            <w:vMerge w:val="continue"/>
            <w:tcBorders>
              <w:bottom w:val="nil"/>
              <w:left w:val="nil"/>
              <w:top w:val="nil"/>
            </w:tcBorders>
          </w:tcPr>
          <w:p>
            <w:pPr>
              <w:rPr>
                <w:rFonts w:ascii="Arial"/>
                <w:sz w:val="21"/>
              </w:rPr>
            </w:pPr>
            <w:r/>
          </w:p>
        </w:tc>
        <w:tc>
          <w:tcPr>
            <w:tcW w:w="1937" w:type="dxa"/>
            <w:vAlign w:val="top"/>
            <w:vMerge w:val="continue"/>
            <w:tcBorders>
              <w:bottom w:val="nil"/>
              <w:top w:val="nil"/>
            </w:tcBorders>
          </w:tcPr>
          <w:p>
            <w:pPr>
              <w:rPr>
                <w:rFonts w:ascii="Arial"/>
                <w:sz w:val="21"/>
              </w:rPr>
            </w:pPr>
            <w:r/>
          </w:p>
        </w:tc>
        <w:tc>
          <w:tcPr>
            <w:tcW w:w="1938" w:type="dxa"/>
            <w:vAlign w:val="top"/>
          </w:tcPr>
          <w:p>
            <w:pPr>
              <w:pStyle w:val="TableText"/>
              <w:ind w:left="498"/>
              <w:spacing w:before="44" w:line="190" w:lineRule="auto"/>
              <w:rPr>
                <w:rFonts w:ascii="Times New Roman" w:hAnsi="Times New Roman" w:eastAsia="Times New Roman" w:cs="Times New Roman"/>
              </w:rPr>
            </w:pPr>
            <w:r>
              <w:rPr>
                <w:spacing w:val="-2"/>
              </w:rPr>
              <w:t>产生量</w:t>
            </w:r>
            <w:r>
              <w:rPr>
                <w:spacing w:val="-46"/>
              </w:rPr>
              <w:t xml:space="preserve"> </w:t>
            </w:r>
            <w:r>
              <w:rPr>
                <w:rFonts w:ascii="Times New Roman" w:hAnsi="Times New Roman" w:eastAsia="Times New Roman" w:cs="Times New Roman"/>
                <w:spacing w:val="-2"/>
              </w:rPr>
              <w:t>g/d</w:t>
            </w:r>
          </w:p>
        </w:tc>
        <w:tc>
          <w:tcPr>
            <w:tcW w:w="1258" w:type="dxa"/>
            <w:vAlign w:val="top"/>
          </w:tcPr>
          <w:p>
            <w:pPr>
              <w:ind w:left="420"/>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4000</w:t>
            </w:r>
          </w:p>
        </w:tc>
        <w:tc>
          <w:tcPr>
            <w:tcW w:w="1259" w:type="dxa"/>
            <w:vAlign w:val="top"/>
            <w:tcBorders>
              <w:right w:val="nil"/>
            </w:tcBorders>
          </w:tcPr>
          <w:p>
            <w:pPr>
              <w:ind w:left="474"/>
              <w:spacing w:before="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r>
      <w:tr>
        <w:trPr>
          <w:trHeight w:val="297" w:hRule="atLeast"/>
        </w:trPr>
        <w:tc>
          <w:tcPr>
            <w:tcW w:w="2326" w:type="dxa"/>
            <w:vAlign w:val="top"/>
            <w:vMerge w:val="continue"/>
            <w:tcBorders>
              <w:bottom w:val="single" w:color="000000" w:sz="10" w:space="0"/>
              <w:left w:val="nil"/>
              <w:top w:val="nil"/>
            </w:tcBorders>
          </w:tcPr>
          <w:p>
            <w:pPr>
              <w:rPr>
                <w:rFonts w:ascii="Arial"/>
                <w:sz w:val="21"/>
              </w:rPr>
            </w:pPr>
            <w:r/>
          </w:p>
        </w:tc>
        <w:tc>
          <w:tcPr>
            <w:tcW w:w="1937" w:type="dxa"/>
            <w:vAlign w:val="top"/>
            <w:vMerge w:val="continue"/>
            <w:tcBorders>
              <w:bottom w:val="single" w:color="000000" w:sz="10" w:space="0"/>
              <w:top w:val="nil"/>
            </w:tcBorders>
          </w:tcPr>
          <w:p>
            <w:pPr>
              <w:rPr>
                <w:rFonts w:ascii="Arial"/>
                <w:sz w:val="21"/>
              </w:rPr>
            </w:pPr>
            <w:r/>
          </w:p>
        </w:tc>
        <w:tc>
          <w:tcPr>
            <w:tcW w:w="1938" w:type="dxa"/>
            <w:vAlign w:val="top"/>
            <w:tcBorders>
              <w:bottom w:val="single" w:color="000000" w:sz="10" w:space="0"/>
            </w:tcBorders>
          </w:tcPr>
          <w:p>
            <w:pPr>
              <w:pStyle w:val="TableText"/>
              <w:ind w:left="526"/>
              <w:spacing w:before="49" w:line="209" w:lineRule="auto"/>
              <w:rPr>
                <w:rFonts w:ascii="Times New Roman" w:hAnsi="Times New Roman" w:eastAsia="Times New Roman" w:cs="Times New Roman"/>
              </w:rPr>
            </w:pPr>
            <w:r>
              <w:rPr>
                <w:spacing w:val="-2"/>
              </w:rPr>
              <w:t>产生量</w:t>
            </w:r>
            <w:r>
              <w:rPr>
                <w:spacing w:val="-48"/>
              </w:rPr>
              <w:t xml:space="preserve"> </w:t>
            </w:r>
            <w:r>
              <w:rPr>
                <w:rFonts w:ascii="Times New Roman" w:hAnsi="Times New Roman" w:eastAsia="Times New Roman" w:cs="Times New Roman"/>
                <w:spacing w:val="-2"/>
              </w:rPr>
              <w:t>t/a</w:t>
            </w:r>
          </w:p>
        </w:tc>
        <w:tc>
          <w:tcPr>
            <w:tcW w:w="1258" w:type="dxa"/>
            <w:vAlign w:val="top"/>
            <w:tcBorders>
              <w:bottom w:val="single" w:color="000000" w:sz="10" w:space="0"/>
            </w:tcBorders>
          </w:tcPr>
          <w:p>
            <w:pPr>
              <w:ind w:left="398"/>
              <w:spacing w:before="7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0.438</w:t>
            </w:r>
          </w:p>
        </w:tc>
        <w:tc>
          <w:tcPr>
            <w:tcW w:w="1259" w:type="dxa"/>
            <w:vAlign w:val="top"/>
            <w:tcBorders>
              <w:bottom w:val="single" w:color="000000" w:sz="10" w:space="0"/>
              <w:right w:val="nil"/>
            </w:tcBorders>
          </w:tcPr>
          <w:p>
            <w:pPr>
              <w:ind w:left="398"/>
              <w:spacing w:before="7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r>
    </w:tbl>
    <w:p>
      <w:pPr>
        <w:ind w:left="117" w:right="110" w:firstLine="480"/>
        <w:spacing w:before="35" w:line="359" w:lineRule="auto"/>
        <w:jc w:val="both"/>
        <w:rPr>
          <w:rFonts w:ascii="SimSun" w:hAnsi="SimSun" w:eastAsia="SimSun" w:cs="SimSun"/>
          <w:sz w:val="24"/>
          <w:szCs w:val="24"/>
        </w:rPr>
      </w:pPr>
      <w:r>
        <w:rPr>
          <w:rFonts w:ascii="SimSun" w:hAnsi="SimSun" w:eastAsia="SimSun" w:cs="SimSun"/>
          <w:sz w:val="24"/>
          <w:szCs w:val="24"/>
          <w:spacing w:val="3"/>
        </w:rPr>
        <w:t>本项目垫料内加入发酵床菌种，可将牛粪及牛尿分解</w:t>
      </w:r>
      <w:r>
        <w:rPr>
          <w:rFonts w:ascii="SimSun" w:hAnsi="SimSun" w:eastAsia="SimSun" w:cs="SimSun"/>
          <w:sz w:val="24"/>
          <w:szCs w:val="24"/>
          <w:spacing w:val="2"/>
        </w:rPr>
        <w:t>成菌体蛋白，减少牛舍</w:t>
      </w:r>
      <w:r>
        <w:rPr>
          <w:rFonts w:ascii="SimSun" w:hAnsi="SimSun" w:eastAsia="SimSun" w:cs="SimSun"/>
          <w:sz w:val="24"/>
          <w:szCs w:val="24"/>
          <w:spacing w:val="2"/>
        </w:rPr>
        <w:t>恶臭气体排放量，并定期喷洒植物型除臭剂，加强牛舍四周场地的绿化，可有效</w:t>
      </w:r>
      <w:r>
        <w:rPr>
          <w:rFonts w:ascii="SimSun" w:hAnsi="SimSun" w:eastAsia="SimSun" w:cs="SimSun"/>
          <w:sz w:val="24"/>
          <w:szCs w:val="24"/>
          <w:spacing w:val="-1"/>
        </w:rPr>
        <w:t>减小恶臭气体的排放量，去除效率为</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
        </w:rPr>
        <w:t>75%</w:t>
      </w:r>
      <w:r>
        <w:rPr>
          <w:rFonts w:ascii="SimSun" w:hAnsi="SimSun" w:eastAsia="SimSun" w:cs="SimSun"/>
          <w:sz w:val="24"/>
          <w:szCs w:val="24"/>
          <w:spacing w:val="-1"/>
        </w:rPr>
        <w:t>，根据类比，臭气浓度＜</w:t>
      </w:r>
      <w:r>
        <w:rPr>
          <w:rFonts w:ascii="Times New Roman" w:hAnsi="Times New Roman" w:eastAsia="Times New Roman" w:cs="Times New Roman"/>
          <w:sz w:val="24"/>
          <w:szCs w:val="24"/>
          <w:spacing w:val="-1"/>
        </w:rPr>
        <w:t>10</w:t>
      </w:r>
      <w:r>
        <w:rPr>
          <w:rFonts w:ascii="SimSun" w:hAnsi="SimSun" w:eastAsia="SimSun" w:cs="SimSun"/>
          <w:sz w:val="24"/>
          <w:szCs w:val="24"/>
          <w:spacing w:val="-1"/>
        </w:rPr>
        <w:t>。</w:t>
      </w:r>
    </w:p>
    <w:p>
      <w:pPr>
        <w:ind w:left="2360"/>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2"/>
        </w:rPr>
        <w:t>3-11    </w:t>
      </w:r>
      <w:r>
        <w:rPr>
          <w:rFonts w:ascii="SimSun" w:hAnsi="SimSun" w:eastAsia="SimSun" w:cs="SimSun"/>
          <w:sz w:val="24"/>
          <w:szCs w:val="24"/>
          <w:b/>
          <w:bCs/>
          <w:spacing w:val="-2"/>
        </w:rPr>
        <w:t>牛舍无组织恶臭气体排</w:t>
      </w:r>
      <w:r>
        <w:rPr>
          <w:rFonts w:ascii="SimSun" w:hAnsi="SimSun" w:eastAsia="SimSun" w:cs="SimSun"/>
          <w:sz w:val="24"/>
          <w:szCs w:val="24"/>
          <w:b/>
          <w:bCs/>
          <w:spacing w:val="-3"/>
        </w:rPr>
        <w:t>放情况一览表</w:t>
      </w:r>
    </w:p>
    <w:p>
      <w:pPr>
        <w:spacing w:line="131" w:lineRule="exact"/>
        <w:rPr/>
      </w:pPr>
      <w:r/>
    </w:p>
    <w:tbl>
      <w:tblPr>
        <w:tblStyle w:val="TableNormal"/>
        <w:tblW w:w="87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780"/>
        <w:gridCol w:w="1064"/>
        <w:gridCol w:w="787"/>
        <w:gridCol w:w="764"/>
        <w:gridCol w:w="1082"/>
        <w:gridCol w:w="1210"/>
        <w:gridCol w:w="967"/>
        <w:gridCol w:w="763"/>
        <w:gridCol w:w="764"/>
      </w:tblGrid>
      <w:tr>
        <w:trPr>
          <w:trHeight w:val="1088" w:hRule="atLeast"/>
        </w:trPr>
        <w:tc>
          <w:tcPr>
            <w:tcW w:w="1315" w:type="dxa"/>
            <w:vAlign w:val="top"/>
            <w:gridSpan w:val="2"/>
            <w:tcBorders>
              <w:top w:val="single" w:color="000000" w:sz="10" w:space="0"/>
              <w:left w:val="nil"/>
            </w:tcBorders>
          </w:tcPr>
          <w:p>
            <w:pPr>
              <w:spacing w:line="371" w:lineRule="auto"/>
              <w:rPr>
                <w:rFonts w:ascii="Arial"/>
                <w:sz w:val="21"/>
              </w:rPr>
            </w:pPr>
            <w:r/>
          </w:p>
          <w:p>
            <w:pPr>
              <w:pStyle w:val="TableText"/>
              <w:ind w:left="348"/>
              <w:spacing w:before="68" w:line="221" w:lineRule="auto"/>
              <w:rPr/>
            </w:pPr>
            <w:r>
              <w:rPr>
                <w:b/>
                <w:bCs/>
                <w:spacing w:val="-4"/>
              </w:rPr>
              <w:t>污染源</w:t>
            </w:r>
          </w:p>
        </w:tc>
        <w:tc>
          <w:tcPr>
            <w:tcW w:w="1064" w:type="dxa"/>
            <w:vAlign w:val="top"/>
            <w:tcBorders>
              <w:top w:val="single" w:color="000000" w:sz="10" w:space="0"/>
            </w:tcBorders>
          </w:tcPr>
          <w:p>
            <w:pPr>
              <w:pStyle w:val="TableText"/>
              <w:ind w:left="114"/>
              <w:spacing w:before="170" w:line="220" w:lineRule="auto"/>
              <w:rPr/>
            </w:pPr>
            <w:r>
              <w:rPr>
                <w:b/>
                <w:bCs/>
                <w:spacing w:val="-4"/>
              </w:rPr>
              <w:t>本项目产</w:t>
            </w:r>
          </w:p>
          <w:p>
            <w:pPr>
              <w:pStyle w:val="TableText"/>
              <w:ind w:left="324"/>
              <w:spacing w:before="21" w:line="226" w:lineRule="auto"/>
              <w:rPr/>
            </w:pPr>
            <w:r>
              <w:rPr>
                <w:b/>
                <w:bCs/>
                <w:spacing w:val="-5"/>
              </w:rPr>
              <w:t>生量</w:t>
            </w:r>
          </w:p>
          <w:p>
            <w:pPr>
              <w:pStyle w:val="TableText"/>
              <w:ind w:left="213"/>
              <w:spacing w:before="16" w:line="280" w:lineRule="exact"/>
              <w:rPr/>
            </w:pPr>
            <w:r>
              <w:rPr>
                <w:b/>
                <w:bCs/>
                <w:spacing w:val="-4"/>
                <w:position w:val="1"/>
              </w:rPr>
              <w:t>（</w:t>
            </w:r>
            <w:r>
              <w:rPr>
                <w:rFonts w:ascii="Times New Roman" w:hAnsi="Times New Roman" w:eastAsia="Times New Roman" w:cs="Times New Roman"/>
                <w:b/>
                <w:bCs/>
                <w:spacing w:val="-4"/>
                <w:position w:val="1"/>
              </w:rPr>
              <w:t>t/a</w:t>
            </w:r>
            <w:r>
              <w:rPr>
                <w:b/>
                <w:bCs/>
                <w:spacing w:val="-4"/>
                <w:position w:val="1"/>
              </w:rPr>
              <w:t>）</w:t>
            </w:r>
          </w:p>
        </w:tc>
        <w:tc>
          <w:tcPr>
            <w:tcW w:w="787" w:type="dxa"/>
            <w:vAlign w:val="top"/>
            <w:tcBorders>
              <w:top w:val="single" w:color="000000" w:sz="10" w:space="0"/>
            </w:tcBorders>
          </w:tcPr>
          <w:p>
            <w:pPr>
              <w:pStyle w:val="TableText"/>
              <w:ind w:left="187" w:right="179"/>
              <w:spacing w:before="304" w:line="243" w:lineRule="auto"/>
              <w:rPr/>
            </w:pPr>
            <w:r>
              <w:rPr>
                <w:b/>
                <w:bCs/>
                <w:spacing w:val="-5"/>
              </w:rPr>
              <w:t>采取</w:t>
            </w:r>
            <w:r>
              <w:rPr>
                <w:b/>
                <w:bCs/>
                <w:spacing w:val="-6"/>
              </w:rPr>
              <w:t>措施</w:t>
            </w:r>
          </w:p>
        </w:tc>
        <w:tc>
          <w:tcPr>
            <w:tcW w:w="764" w:type="dxa"/>
            <w:vAlign w:val="top"/>
            <w:tcBorders>
              <w:top w:val="single" w:color="000000" w:sz="10" w:space="0"/>
            </w:tcBorders>
          </w:tcPr>
          <w:p>
            <w:pPr>
              <w:pStyle w:val="TableText"/>
              <w:ind w:left="282" w:right="168" w:hanging="103"/>
              <w:spacing w:before="303" w:line="243" w:lineRule="auto"/>
              <w:rPr/>
            </w:pPr>
            <w:r>
              <w:rPr>
                <w:b/>
                <w:bCs/>
                <w:spacing w:val="-7"/>
              </w:rPr>
              <w:t>去除</w:t>
            </w:r>
            <w:r>
              <w:rPr>
                <w:b/>
                <w:bCs/>
                <w:spacing w:val="-3"/>
              </w:rPr>
              <w:t>率</w:t>
            </w:r>
          </w:p>
        </w:tc>
        <w:tc>
          <w:tcPr>
            <w:tcW w:w="1082" w:type="dxa"/>
            <w:vAlign w:val="top"/>
            <w:tcBorders>
              <w:top w:val="single" w:color="000000" w:sz="10" w:space="0"/>
            </w:tcBorders>
          </w:tcPr>
          <w:p>
            <w:pPr>
              <w:pStyle w:val="TableText"/>
              <w:ind w:left="123"/>
              <w:spacing w:before="170" w:line="220" w:lineRule="auto"/>
              <w:rPr/>
            </w:pPr>
            <w:r>
              <w:rPr>
                <w:b/>
                <w:bCs/>
                <w:spacing w:val="-4"/>
              </w:rPr>
              <w:t>本项目排</w:t>
            </w:r>
          </w:p>
          <w:p>
            <w:pPr>
              <w:pStyle w:val="TableText"/>
              <w:ind w:left="334"/>
              <w:spacing w:before="21" w:line="222" w:lineRule="auto"/>
              <w:rPr/>
            </w:pPr>
            <w:r>
              <w:rPr>
                <w:b/>
                <w:bCs/>
                <w:spacing w:val="-4"/>
              </w:rPr>
              <w:t>放量</w:t>
            </w:r>
          </w:p>
          <w:p>
            <w:pPr>
              <w:pStyle w:val="TableText"/>
              <w:ind w:left="222"/>
              <w:spacing w:before="21" w:line="280" w:lineRule="exact"/>
              <w:rPr/>
            </w:pPr>
            <w:r>
              <w:rPr>
                <w:b/>
                <w:bCs/>
                <w:spacing w:val="-4"/>
                <w:position w:val="1"/>
              </w:rPr>
              <w:t>（</w:t>
            </w:r>
            <w:r>
              <w:rPr>
                <w:rFonts w:ascii="Times New Roman" w:hAnsi="Times New Roman" w:eastAsia="Times New Roman" w:cs="Times New Roman"/>
                <w:b/>
                <w:bCs/>
                <w:spacing w:val="-4"/>
                <w:position w:val="1"/>
              </w:rPr>
              <w:t>t/a</w:t>
            </w:r>
            <w:r>
              <w:rPr>
                <w:b/>
                <w:bCs/>
                <w:spacing w:val="-4"/>
                <w:position w:val="1"/>
              </w:rPr>
              <w:t>）</w:t>
            </w:r>
          </w:p>
        </w:tc>
        <w:tc>
          <w:tcPr>
            <w:tcW w:w="1210" w:type="dxa"/>
            <w:vAlign w:val="top"/>
            <w:tcBorders>
              <w:top w:val="single" w:color="000000" w:sz="10" w:space="0"/>
            </w:tcBorders>
          </w:tcPr>
          <w:p>
            <w:pPr>
              <w:pStyle w:val="TableText"/>
              <w:ind w:left="203" w:right="182" w:hanging="18"/>
              <w:spacing w:before="305" w:line="237" w:lineRule="auto"/>
              <w:rPr/>
            </w:pPr>
            <w:r>
              <w:rPr>
                <w:b/>
                <w:bCs/>
                <w:spacing w:val="-4"/>
              </w:rPr>
              <w:t>排放速率</w:t>
            </w:r>
            <w:r>
              <w:rPr>
                <w:b/>
                <w:bCs/>
                <w:spacing w:val="-4"/>
              </w:rPr>
              <w:t>（</w:t>
            </w:r>
            <w:r>
              <w:rPr>
                <w:rFonts w:ascii="Times New Roman" w:hAnsi="Times New Roman" w:eastAsia="Times New Roman" w:cs="Times New Roman"/>
                <w:b/>
                <w:bCs/>
                <w:spacing w:val="-4"/>
              </w:rPr>
              <w:t>kg/h</w:t>
            </w:r>
            <w:r>
              <w:rPr>
                <w:b/>
                <w:bCs/>
                <w:spacing w:val="-4"/>
              </w:rPr>
              <w:t>）</w:t>
            </w:r>
          </w:p>
        </w:tc>
        <w:tc>
          <w:tcPr>
            <w:tcW w:w="967" w:type="dxa"/>
            <w:vAlign w:val="top"/>
            <w:tcBorders>
              <w:top w:val="single" w:color="000000" w:sz="10" w:space="0"/>
            </w:tcBorders>
          </w:tcPr>
          <w:p>
            <w:pPr>
              <w:pStyle w:val="TableText"/>
              <w:ind w:left="171"/>
              <w:spacing w:before="169" w:line="221" w:lineRule="auto"/>
              <w:rPr/>
            </w:pPr>
            <w:r>
              <w:rPr>
                <w:b/>
                <w:bCs/>
                <w:spacing w:val="-4"/>
              </w:rPr>
              <w:t>臭气浓</w:t>
            </w:r>
          </w:p>
          <w:p>
            <w:pPr>
              <w:pStyle w:val="TableText"/>
              <w:ind w:left="110"/>
              <w:spacing w:before="20" w:line="221" w:lineRule="auto"/>
              <w:rPr/>
            </w:pPr>
            <w:r>
              <w:rPr>
                <w:b/>
                <w:bCs/>
                <w:spacing w:val="-20"/>
              </w:rPr>
              <w:t>度（无量</w:t>
            </w:r>
          </w:p>
          <w:p>
            <w:pPr>
              <w:pStyle w:val="TableText"/>
              <w:ind w:left="280"/>
              <w:spacing w:before="22" w:line="223" w:lineRule="auto"/>
              <w:rPr/>
            </w:pPr>
            <w:r>
              <w:rPr>
                <w:b/>
                <w:bCs/>
                <w:spacing w:val="-9"/>
              </w:rPr>
              <w:t>纲）</w:t>
            </w:r>
          </w:p>
        </w:tc>
        <w:tc>
          <w:tcPr>
            <w:tcW w:w="763" w:type="dxa"/>
            <w:vAlign w:val="top"/>
            <w:tcBorders>
              <w:top w:val="single" w:color="000000" w:sz="10" w:space="0"/>
            </w:tcBorders>
          </w:tcPr>
          <w:p>
            <w:pPr>
              <w:pStyle w:val="TableText"/>
              <w:ind w:left="178" w:right="167" w:hanging="2"/>
              <w:spacing w:before="305" w:line="243" w:lineRule="auto"/>
              <w:rPr/>
            </w:pPr>
            <w:r>
              <w:rPr>
                <w:b/>
                <w:bCs/>
                <w:spacing w:val="-6"/>
              </w:rPr>
              <w:t>排放</w:t>
            </w:r>
            <w:r>
              <w:rPr>
                <w:b/>
                <w:bCs/>
                <w:spacing w:val="-7"/>
              </w:rPr>
              <w:t>形式</w:t>
            </w:r>
          </w:p>
        </w:tc>
        <w:tc>
          <w:tcPr>
            <w:tcW w:w="764" w:type="dxa"/>
            <w:vAlign w:val="top"/>
            <w:tcBorders>
              <w:top w:val="single" w:color="000000" w:sz="10" w:space="0"/>
              <w:right w:val="nil"/>
            </w:tcBorders>
          </w:tcPr>
          <w:p>
            <w:pPr>
              <w:pStyle w:val="TableText"/>
              <w:ind w:left="180"/>
              <w:spacing w:before="33" w:line="221" w:lineRule="auto"/>
              <w:rPr/>
            </w:pPr>
            <w:r>
              <w:rPr>
                <w:b/>
                <w:bCs/>
                <w:spacing w:val="-5"/>
              </w:rPr>
              <w:t>是否</w:t>
            </w:r>
          </w:p>
          <w:p>
            <w:pPr>
              <w:pStyle w:val="TableText"/>
              <w:ind w:left="179"/>
              <w:spacing w:before="19" w:line="222" w:lineRule="auto"/>
              <w:rPr/>
            </w:pPr>
            <w:r>
              <w:rPr>
                <w:b/>
                <w:bCs/>
                <w:spacing w:val="-5"/>
              </w:rPr>
              <w:t>为可</w:t>
            </w:r>
          </w:p>
          <w:p>
            <w:pPr>
              <w:pStyle w:val="TableText"/>
              <w:ind w:left="180"/>
              <w:spacing w:before="21" w:line="221" w:lineRule="auto"/>
              <w:rPr/>
            </w:pPr>
            <w:r>
              <w:rPr>
                <w:b/>
                <w:bCs/>
                <w:spacing w:val="-5"/>
              </w:rPr>
              <w:t>行性</w:t>
            </w:r>
          </w:p>
          <w:p>
            <w:pPr>
              <w:pStyle w:val="TableText"/>
              <w:ind w:left="177"/>
              <w:spacing w:before="19" w:line="201" w:lineRule="auto"/>
              <w:rPr/>
            </w:pPr>
            <w:r>
              <w:rPr>
                <w:b/>
                <w:bCs/>
                <w:spacing w:val="-4"/>
              </w:rPr>
              <w:t>技术</w:t>
            </w:r>
          </w:p>
        </w:tc>
      </w:tr>
      <w:tr>
        <w:trPr>
          <w:trHeight w:val="730" w:hRule="atLeast"/>
        </w:trPr>
        <w:tc>
          <w:tcPr>
            <w:tcW w:w="535" w:type="dxa"/>
            <w:vAlign w:val="top"/>
            <w:vMerge w:val="restart"/>
            <w:textDirection w:val="tbRlV"/>
            <w:tcBorders>
              <w:bottom w:val="nil"/>
              <w:left w:val="nil"/>
            </w:tcBorders>
          </w:tcPr>
          <w:p>
            <w:pPr>
              <w:pStyle w:val="TableText"/>
              <w:ind w:left="584"/>
              <w:spacing w:before="161" w:line="209" w:lineRule="auto"/>
              <w:rPr/>
            </w:pPr>
            <w:r>
              <w:rPr>
                <w:spacing w:val="1"/>
              </w:rPr>
              <w:t>牛</w:t>
            </w:r>
            <w:r>
              <w:rPr>
                <w:spacing w:val="-43"/>
              </w:rPr>
              <w:t xml:space="preserve"> </w:t>
            </w:r>
            <w:r>
              <w:rPr>
                <w:spacing w:val="1"/>
              </w:rPr>
              <w:t>舍</w:t>
            </w:r>
          </w:p>
        </w:tc>
        <w:tc>
          <w:tcPr>
            <w:tcW w:w="780" w:type="dxa"/>
            <w:vAlign w:val="top"/>
          </w:tcPr>
          <w:p>
            <w:pPr>
              <w:rPr>
                <w:rFonts w:ascii="Arial"/>
                <w:sz w:val="21"/>
              </w:rPr>
            </w:pPr>
            <w:r/>
          </w:p>
          <w:p>
            <w:pPr>
              <w:ind w:left="219"/>
              <w:spacing w:before="60"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064" w:type="dxa"/>
            <w:vAlign w:val="top"/>
          </w:tcPr>
          <w:p>
            <w:pPr>
              <w:ind w:left="298"/>
              <w:spacing w:before="2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0.022</w:t>
            </w:r>
          </w:p>
        </w:tc>
        <w:tc>
          <w:tcPr>
            <w:tcW w:w="787" w:type="dxa"/>
            <w:vAlign w:val="top"/>
            <w:vMerge w:val="restart"/>
            <w:tcBorders>
              <w:bottom w:val="nil"/>
            </w:tcBorders>
          </w:tcPr>
          <w:p>
            <w:pPr>
              <w:pStyle w:val="TableText"/>
              <w:ind w:left="114" w:right="76"/>
              <w:spacing w:before="40" w:line="234" w:lineRule="auto"/>
              <w:jc w:val="both"/>
              <w:rPr/>
            </w:pPr>
            <w:r>
              <w:rPr>
                <w:spacing w:val="-14"/>
              </w:rPr>
              <w:t>垫料、</w:t>
            </w:r>
            <w:r>
              <w:rPr>
                <w:spacing w:val="33"/>
              </w:rPr>
              <w:t>除臭</w:t>
            </w:r>
            <w:r>
              <w:rPr>
                <w:spacing w:val="-25"/>
              </w:rPr>
              <w:t>剂、发</w:t>
            </w:r>
            <w:r>
              <w:rPr>
                <w:spacing w:val="33"/>
              </w:rPr>
              <w:t>酵床</w:t>
            </w:r>
            <w:r>
              <w:rPr>
                <w:spacing w:val="-14"/>
              </w:rPr>
              <w:t>菌种、</w:t>
            </w:r>
            <w:r>
              <w:rPr>
                <w:spacing w:val="33"/>
              </w:rPr>
              <w:t>绿化</w:t>
            </w:r>
          </w:p>
        </w:tc>
        <w:tc>
          <w:tcPr>
            <w:tcW w:w="764" w:type="dxa"/>
            <w:vAlign w:val="top"/>
            <w:vMerge w:val="restart"/>
            <w:tcBorders>
              <w:bottom w:val="nil"/>
            </w:tcBorders>
          </w:tcPr>
          <w:p>
            <w:pPr>
              <w:spacing w:line="342" w:lineRule="auto"/>
              <w:rPr>
                <w:rFonts w:ascii="Arial"/>
                <w:sz w:val="21"/>
              </w:rPr>
            </w:pPr>
            <w:r/>
          </w:p>
          <w:p>
            <w:pPr>
              <w:spacing w:line="343" w:lineRule="auto"/>
              <w:rPr>
                <w:rFonts w:ascii="Arial"/>
                <w:sz w:val="21"/>
              </w:rPr>
            </w:pPr>
            <w:r/>
          </w:p>
          <w:p>
            <w:pPr>
              <w:ind w:left="195"/>
              <w:spacing w:before="60"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w:t>
            </w:r>
          </w:p>
        </w:tc>
        <w:tc>
          <w:tcPr>
            <w:tcW w:w="1082" w:type="dxa"/>
            <w:vAlign w:val="top"/>
          </w:tcPr>
          <w:p>
            <w:pPr>
              <w:ind w:left="307"/>
              <w:spacing w:before="2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0.006</w:t>
            </w:r>
          </w:p>
        </w:tc>
        <w:tc>
          <w:tcPr>
            <w:tcW w:w="1210" w:type="dxa"/>
            <w:vAlign w:val="top"/>
          </w:tcPr>
          <w:p>
            <w:pPr>
              <w:ind w:left="317"/>
              <w:spacing w:before="2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c>
          <w:tcPr>
            <w:tcW w:w="967" w:type="dxa"/>
            <w:vAlign w:val="top"/>
            <w:vMerge w:val="restart"/>
            <w:tcBorders>
              <w:bottom w:val="nil"/>
            </w:tcBorders>
          </w:tcPr>
          <w:p>
            <w:pPr>
              <w:spacing w:line="324" w:lineRule="auto"/>
              <w:rPr>
                <w:rFonts w:ascii="Arial"/>
                <w:sz w:val="21"/>
              </w:rPr>
            </w:pPr>
            <w:r/>
          </w:p>
          <w:p>
            <w:pPr>
              <w:spacing w:line="325" w:lineRule="auto"/>
              <w:rPr>
                <w:rFonts w:ascii="Arial"/>
                <w:sz w:val="21"/>
              </w:rPr>
            </w:pPr>
            <w:r/>
          </w:p>
          <w:p>
            <w:pPr>
              <w:pStyle w:val="TableText"/>
              <w:ind w:left="292"/>
              <w:spacing w:before="68" w:line="286" w:lineRule="exact"/>
              <w:rPr>
                <w:rFonts w:ascii="Times New Roman" w:hAnsi="Times New Roman" w:eastAsia="Times New Roman" w:cs="Times New Roman"/>
              </w:rPr>
            </w:pPr>
            <w:r>
              <w:rPr>
                <w:spacing w:val="27"/>
                <w:position w:val="1"/>
              </w:rPr>
              <w:t>&lt;</w:t>
            </w:r>
            <w:r>
              <w:rPr>
                <w:rFonts w:ascii="Times New Roman" w:hAnsi="Times New Roman" w:eastAsia="Times New Roman" w:cs="Times New Roman"/>
                <w:spacing w:val="27"/>
                <w:position w:val="1"/>
              </w:rPr>
              <w:t>10</w:t>
            </w:r>
          </w:p>
        </w:tc>
        <w:tc>
          <w:tcPr>
            <w:tcW w:w="763" w:type="dxa"/>
            <w:vAlign w:val="top"/>
            <w:vMerge w:val="restart"/>
            <w:tcBorders>
              <w:bottom w:val="nil"/>
            </w:tcBorders>
          </w:tcPr>
          <w:p>
            <w:pPr>
              <w:spacing w:line="378" w:lineRule="auto"/>
              <w:rPr>
                <w:rFonts w:ascii="Arial"/>
                <w:sz w:val="21"/>
              </w:rPr>
            </w:pPr>
            <w:r/>
          </w:p>
          <w:p>
            <w:pPr>
              <w:pStyle w:val="TableText"/>
              <w:ind w:left="179" w:right="167" w:hanging="1"/>
              <w:spacing w:before="68" w:line="241" w:lineRule="auto"/>
              <w:jc w:val="both"/>
              <w:rPr/>
            </w:pPr>
            <w:r>
              <w:rPr>
                <w:spacing w:val="-4"/>
              </w:rPr>
              <w:t>无组</w:t>
            </w:r>
            <w:r>
              <w:rPr>
                <w:spacing w:val="-5"/>
              </w:rPr>
              <w:t>织排</w:t>
            </w:r>
            <w:r>
              <w:rPr>
                <w:spacing w:val="32"/>
                <w:w w:val="130"/>
              </w:rPr>
              <w:t>放</w:t>
            </w:r>
          </w:p>
        </w:tc>
        <w:tc>
          <w:tcPr>
            <w:tcW w:w="764" w:type="dxa"/>
            <w:vAlign w:val="top"/>
            <w:vMerge w:val="restart"/>
            <w:tcBorders>
              <w:bottom w:val="nil"/>
              <w:right w:val="nil"/>
            </w:tcBorders>
          </w:tcPr>
          <w:p>
            <w:pPr>
              <w:spacing w:line="324" w:lineRule="auto"/>
              <w:rPr>
                <w:rFonts w:ascii="Arial"/>
                <w:sz w:val="21"/>
              </w:rPr>
            </w:pPr>
            <w:r/>
          </w:p>
          <w:p>
            <w:pPr>
              <w:spacing w:line="325" w:lineRule="auto"/>
              <w:rPr>
                <w:rFonts w:ascii="Arial"/>
                <w:sz w:val="21"/>
              </w:rPr>
            </w:pPr>
            <w:r/>
          </w:p>
          <w:p>
            <w:pPr>
              <w:pStyle w:val="TableText"/>
              <w:ind w:left="286"/>
              <w:spacing w:before="68" w:line="224" w:lineRule="auto"/>
              <w:rPr/>
            </w:pPr>
            <w:r>
              <w:rPr/>
              <w:t>是</w:t>
            </w:r>
          </w:p>
        </w:tc>
      </w:tr>
      <w:tr>
        <w:trPr>
          <w:trHeight w:val="913" w:hRule="atLeast"/>
        </w:trPr>
        <w:tc>
          <w:tcPr>
            <w:tcW w:w="535" w:type="dxa"/>
            <w:vAlign w:val="top"/>
            <w:vMerge w:val="continue"/>
            <w:textDirection w:val="tbRlV"/>
            <w:tcBorders>
              <w:bottom w:val="single" w:color="000000" w:sz="10" w:space="0"/>
              <w:left w:val="nil"/>
              <w:top w:val="nil"/>
            </w:tcBorders>
          </w:tcPr>
          <w:p>
            <w:pPr>
              <w:rPr>
                <w:rFonts w:ascii="Arial"/>
                <w:sz w:val="21"/>
              </w:rPr>
            </w:pPr>
            <w:r/>
          </w:p>
        </w:tc>
        <w:tc>
          <w:tcPr>
            <w:tcW w:w="780" w:type="dxa"/>
            <w:vAlign w:val="top"/>
            <w:tcBorders>
              <w:bottom w:val="single" w:color="000000" w:sz="10" w:space="0"/>
            </w:tcBorders>
          </w:tcPr>
          <w:p>
            <w:pPr>
              <w:spacing w:line="330" w:lineRule="auto"/>
              <w:rPr>
                <w:rFonts w:ascii="Arial"/>
                <w:sz w:val="21"/>
              </w:rPr>
            </w:pPr>
            <w:r/>
          </w:p>
          <w:p>
            <w:pPr>
              <w:ind w:left="194"/>
              <w:spacing w:before="60"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064" w:type="dxa"/>
            <w:vAlign w:val="top"/>
            <w:tcBorders>
              <w:bottom w:val="single" w:color="000000" w:sz="10" w:space="0"/>
            </w:tcBorders>
          </w:tcPr>
          <w:p>
            <w:pPr>
              <w:spacing w:line="324" w:lineRule="auto"/>
              <w:rPr>
                <w:rFonts w:ascii="Arial"/>
                <w:sz w:val="21"/>
              </w:rPr>
            </w:pPr>
            <w:r/>
          </w:p>
          <w:p>
            <w:pPr>
              <w:ind w:left="298"/>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0.438</w:t>
            </w:r>
          </w:p>
        </w:tc>
        <w:tc>
          <w:tcPr>
            <w:tcW w:w="787" w:type="dxa"/>
            <w:vAlign w:val="top"/>
            <w:vMerge w:val="continue"/>
            <w:tcBorders>
              <w:bottom w:val="single" w:color="000000" w:sz="10" w:space="0"/>
              <w:top w:val="nil"/>
            </w:tcBorders>
          </w:tcPr>
          <w:p>
            <w:pPr>
              <w:rPr>
                <w:rFonts w:ascii="Arial"/>
                <w:sz w:val="21"/>
              </w:rPr>
            </w:pPr>
            <w:r/>
          </w:p>
        </w:tc>
        <w:tc>
          <w:tcPr>
            <w:tcW w:w="764" w:type="dxa"/>
            <w:vAlign w:val="top"/>
            <w:vMerge w:val="continue"/>
            <w:tcBorders>
              <w:bottom w:val="single" w:color="000000" w:sz="10" w:space="0"/>
              <w:top w:val="nil"/>
            </w:tcBorders>
          </w:tcPr>
          <w:p>
            <w:pPr>
              <w:rPr>
                <w:rFonts w:ascii="Arial"/>
                <w:sz w:val="21"/>
              </w:rPr>
            </w:pPr>
            <w:r/>
          </w:p>
        </w:tc>
        <w:tc>
          <w:tcPr>
            <w:tcW w:w="1082" w:type="dxa"/>
            <w:vAlign w:val="top"/>
            <w:tcBorders>
              <w:bottom w:val="single" w:color="000000" w:sz="10" w:space="0"/>
            </w:tcBorders>
          </w:tcPr>
          <w:p>
            <w:pPr>
              <w:spacing w:line="324" w:lineRule="auto"/>
              <w:rPr>
                <w:rFonts w:ascii="Arial"/>
                <w:sz w:val="21"/>
              </w:rPr>
            </w:pPr>
            <w:r/>
          </w:p>
          <w:p>
            <w:pPr>
              <w:ind w:left="312"/>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0.110</w:t>
            </w:r>
          </w:p>
        </w:tc>
        <w:tc>
          <w:tcPr>
            <w:tcW w:w="1210" w:type="dxa"/>
            <w:vAlign w:val="top"/>
            <w:tcBorders>
              <w:bottom w:val="single" w:color="000000" w:sz="10" w:space="0"/>
            </w:tcBorders>
          </w:tcPr>
          <w:p>
            <w:pPr>
              <w:spacing w:line="324" w:lineRule="auto"/>
              <w:rPr>
                <w:rFonts w:ascii="Arial"/>
                <w:sz w:val="21"/>
              </w:rPr>
            </w:pPr>
            <w:r/>
          </w:p>
          <w:p>
            <w:pPr>
              <w:ind w:left="370"/>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0.013</w:t>
            </w:r>
          </w:p>
        </w:tc>
        <w:tc>
          <w:tcPr>
            <w:tcW w:w="967" w:type="dxa"/>
            <w:vAlign w:val="top"/>
            <w:vMerge w:val="continue"/>
            <w:tcBorders>
              <w:bottom w:val="single" w:color="000000" w:sz="10" w:space="0"/>
              <w:top w:val="nil"/>
            </w:tcBorders>
          </w:tcPr>
          <w:p>
            <w:pPr>
              <w:rPr>
                <w:rFonts w:ascii="Arial"/>
                <w:sz w:val="21"/>
              </w:rPr>
            </w:pPr>
            <w:r/>
          </w:p>
        </w:tc>
        <w:tc>
          <w:tcPr>
            <w:tcW w:w="763" w:type="dxa"/>
            <w:vAlign w:val="top"/>
            <w:vMerge w:val="continue"/>
            <w:tcBorders>
              <w:bottom w:val="single" w:color="000000" w:sz="10" w:space="0"/>
              <w:top w:val="nil"/>
            </w:tcBorders>
          </w:tcPr>
          <w:p>
            <w:pPr>
              <w:rPr>
                <w:rFonts w:ascii="Arial"/>
                <w:sz w:val="21"/>
              </w:rPr>
            </w:pPr>
            <w:r/>
          </w:p>
        </w:tc>
        <w:tc>
          <w:tcPr>
            <w:tcW w:w="764" w:type="dxa"/>
            <w:vAlign w:val="top"/>
            <w:vMerge w:val="continue"/>
            <w:tcBorders>
              <w:bottom w:val="single" w:color="000000" w:sz="10" w:space="0"/>
              <w:right w:val="nil"/>
              <w:top w:val="nil"/>
            </w:tcBorders>
          </w:tcPr>
          <w:p>
            <w:pPr>
              <w:rPr>
                <w:rFonts w:ascii="Arial"/>
                <w:sz w:val="21"/>
              </w:rPr>
            </w:pPr>
            <w:r/>
          </w:p>
        </w:tc>
      </w:tr>
    </w:tbl>
    <w:p>
      <w:pPr>
        <w:ind w:left="603"/>
        <w:spacing w:before="33"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）储粪库恶臭气体</w:t>
      </w:r>
    </w:p>
    <w:p>
      <w:pPr>
        <w:ind w:left="105" w:right="36" w:firstLine="493"/>
        <w:spacing w:before="167" w:line="356" w:lineRule="auto"/>
        <w:rPr>
          <w:rFonts w:ascii="SimSun" w:hAnsi="SimSun" w:eastAsia="SimSun" w:cs="SimSun"/>
          <w:sz w:val="24"/>
          <w:szCs w:val="24"/>
        </w:rPr>
      </w:pPr>
      <w:r>
        <w:rPr>
          <w:rFonts w:ascii="SimSun" w:hAnsi="SimSun" w:eastAsia="SimSun" w:cs="SimSun"/>
          <w:sz w:val="24"/>
          <w:szCs w:val="24"/>
          <w:spacing w:val="-1"/>
        </w:rPr>
        <w:t>本项目废垫料每 </w:t>
      </w:r>
      <w:r>
        <w:rPr>
          <w:rFonts w:ascii="Times New Roman" w:hAnsi="Times New Roman" w:eastAsia="Times New Roman" w:cs="Times New Roman"/>
          <w:sz w:val="24"/>
          <w:szCs w:val="24"/>
          <w:spacing w:val="-1"/>
        </w:rPr>
        <w:t>4  </w:t>
      </w:r>
      <w:r>
        <w:rPr>
          <w:rFonts w:ascii="SimSun" w:hAnsi="SimSun" w:eastAsia="SimSun" w:cs="SimSun"/>
          <w:sz w:val="24"/>
          <w:szCs w:val="24"/>
          <w:spacing w:val="-1"/>
        </w:rPr>
        <w:t>个月更换一次，废垫料内含有发酵床菌种，可有效的抑制</w:t>
      </w:r>
      <w:r>
        <w:rPr>
          <w:rFonts w:ascii="SimSun" w:hAnsi="SimSun" w:eastAsia="SimSun" w:cs="SimSun"/>
          <w:sz w:val="24"/>
          <w:szCs w:val="24"/>
          <w:spacing w:val="3"/>
        </w:rPr>
        <w:t>恶臭气体的产生，废垫料暂时清运至储粪库进行暂存，仅为临时堆</w:t>
      </w:r>
      <w:r>
        <w:rPr>
          <w:rFonts w:ascii="SimSun" w:hAnsi="SimSun" w:eastAsia="SimSun" w:cs="SimSun"/>
          <w:sz w:val="24"/>
          <w:szCs w:val="24"/>
          <w:spacing w:val="2"/>
        </w:rPr>
        <w:t>存，参考文献</w:t>
      </w:r>
      <w:r>
        <w:rPr>
          <w:rFonts w:ascii="SimSun" w:hAnsi="SimSun" w:eastAsia="SimSun" w:cs="SimSun"/>
          <w:sz w:val="24"/>
          <w:szCs w:val="24"/>
          <w:spacing w:val="-4"/>
        </w:rPr>
        <w:t>《除臭菌株对</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4"/>
        </w:rPr>
        <w:t>NH</w:t>
      </w:r>
      <w:r>
        <w:rPr>
          <w:rFonts w:ascii="Times New Roman" w:hAnsi="Times New Roman" w:eastAsia="Times New Roman" w:cs="Times New Roman"/>
          <w:sz w:val="16"/>
          <w:szCs w:val="16"/>
          <w:spacing w:val="-4"/>
          <w:position w:val="-3"/>
        </w:rPr>
        <w:t>3</w:t>
      </w:r>
      <w:r>
        <w:rPr>
          <w:rFonts w:ascii="Times New Roman" w:hAnsi="Times New Roman" w:eastAsia="Times New Roman" w:cs="Times New Roman"/>
          <w:sz w:val="16"/>
          <w:szCs w:val="16"/>
          <w:spacing w:val="13"/>
          <w:position w:val="-3"/>
        </w:rPr>
        <w:t xml:space="preserve"> </w:t>
      </w:r>
      <w:r>
        <w:rPr>
          <w:rFonts w:ascii="SimSun" w:hAnsi="SimSun" w:eastAsia="SimSun" w:cs="SimSun"/>
          <w:sz w:val="24"/>
          <w:szCs w:val="24"/>
          <w:spacing w:val="-4"/>
        </w:rPr>
        <w:t>和</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H</w:t>
      </w:r>
      <w:r>
        <w:rPr>
          <w:rFonts w:ascii="Times New Roman" w:hAnsi="Times New Roman" w:eastAsia="Times New Roman" w:cs="Times New Roman"/>
          <w:sz w:val="16"/>
          <w:szCs w:val="16"/>
          <w:spacing w:val="-4"/>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4"/>
        </w:rPr>
        <w:t>S </w:t>
      </w:r>
      <w:r>
        <w:rPr>
          <w:rFonts w:ascii="SimSun" w:hAnsi="SimSun" w:eastAsia="SimSun" w:cs="SimSun"/>
          <w:sz w:val="24"/>
          <w:szCs w:val="24"/>
          <w:spacing w:val="-4"/>
        </w:rPr>
        <w:t>释放及物质转化的影</w:t>
      </w:r>
      <w:r>
        <w:rPr>
          <w:rFonts w:ascii="SimSun" w:hAnsi="SimSun" w:eastAsia="SimSun" w:cs="SimSun"/>
          <w:sz w:val="24"/>
          <w:szCs w:val="24"/>
          <w:spacing w:val="-5"/>
        </w:rPr>
        <w:t>响》（农业环境科学学报， </w:t>
      </w:r>
      <w:r>
        <w:rPr>
          <w:rFonts w:ascii="Times New Roman" w:hAnsi="Times New Roman" w:eastAsia="Times New Roman" w:cs="Times New Roman"/>
          <w:sz w:val="24"/>
          <w:szCs w:val="24"/>
          <w:spacing w:val="-5"/>
        </w:rPr>
        <w:t>2011 </w:t>
      </w:r>
      <w:r>
        <w:rPr>
          <w:rFonts w:ascii="SimSun" w:hAnsi="SimSun" w:eastAsia="SimSun" w:cs="SimSun"/>
          <w:sz w:val="24"/>
          <w:szCs w:val="24"/>
          <w:spacing w:val="-5"/>
        </w:rPr>
        <w:t>年</w:t>
      </w:r>
      <w:r>
        <w:rPr>
          <w:rFonts w:ascii="SimSun" w:hAnsi="SimSun" w:eastAsia="SimSun" w:cs="SimSun"/>
          <w:sz w:val="24"/>
          <w:szCs w:val="24"/>
        </w:rPr>
        <w:t>第</w:t>
      </w:r>
      <w:r>
        <w:rPr>
          <w:rFonts w:ascii="SimSun" w:hAnsi="SimSun" w:eastAsia="SimSun" w:cs="SimSun"/>
          <w:sz w:val="24"/>
          <w:szCs w:val="24"/>
          <w:spacing w:val="-47"/>
        </w:rPr>
        <w:t xml:space="preserve"> </w:t>
      </w:r>
      <w:r>
        <w:rPr>
          <w:rFonts w:ascii="Times New Roman" w:hAnsi="Times New Roman" w:eastAsia="Times New Roman" w:cs="Times New Roman"/>
          <w:sz w:val="24"/>
          <w:szCs w:val="24"/>
        </w:rPr>
        <w:t>3 </w:t>
      </w:r>
      <w:r>
        <w:rPr>
          <w:rFonts w:ascii="SimSun" w:hAnsi="SimSun" w:eastAsia="SimSun" w:cs="SimSun"/>
          <w:sz w:val="24"/>
          <w:szCs w:val="24"/>
        </w:rPr>
        <w:t>期</w:t>
      </w:r>
      <w:r>
        <w:rPr>
          <w:rFonts w:ascii="SimSun" w:hAnsi="SimSun" w:eastAsia="SimSun" w:cs="SimSun"/>
          <w:sz w:val="24"/>
          <w:szCs w:val="24"/>
          <w:spacing w:val="-47"/>
        </w:rPr>
        <w:t xml:space="preserve"> </w:t>
      </w:r>
      <w:r>
        <w:rPr>
          <w:rFonts w:ascii="Times New Roman" w:hAnsi="Times New Roman" w:eastAsia="Times New Roman" w:cs="Times New Roman"/>
          <w:sz w:val="24"/>
          <w:szCs w:val="24"/>
        </w:rPr>
        <w:t>30 </w:t>
      </w:r>
      <w:r>
        <w:rPr>
          <w:rFonts w:ascii="SimSun" w:hAnsi="SimSun" w:eastAsia="SimSun" w:cs="SimSun"/>
          <w:sz w:val="24"/>
          <w:szCs w:val="24"/>
        </w:rPr>
        <w:t>卷，</w:t>
      </w:r>
      <w:r>
        <w:rPr>
          <w:rFonts w:ascii="Times New Roman" w:hAnsi="Times New Roman" w:eastAsia="Times New Roman" w:cs="Times New Roman"/>
          <w:sz w:val="24"/>
          <w:szCs w:val="24"/>
        </w:rPr>
        <w:t>P585-590</w:t>
      </w:r>
      <w:r>
        <w:rPr>
          <w:rFonts w:ascii="SimSun" w:hAnsi="SimSun" w:eastAsia="SimSun" w:cs="SimSun"/>
          <w:sz w:val="24"/>
          <w:szCs w:val="24"/>
          <w:spacing w:val="-5"/>
        </w:rPr>
        <w:t>），</w:t>
      </w:r>
      <w:r>
        <w:rPr>
          <w:rFonts w:ascii="SimSun" w:hAnsi="SimSun" w:eastAsia="SimSun" w:cs="SimSun"/>
          <w:sz w:val="24"/>
          <w:szCs w:val="24"/>
        </w:rPr>
        <w:t>不投加除臭菌剂的有机肥发酵过程日最大排</w:t>
      </w:r>
      <w:r>
        <w:rPr>
          <w:rFonts w:ascii="SimSun" w:hAnsi="SimSun" w:eastAsia="SimSun" w:cs="SimSun"/>
          <w:sz w:val="24"/>
          <w:szCs w:val="24"/>
          <w:spacing w:val="-1"/>
        </w:rPr>
        <w:t>放系数为</w:t>
      </w:r>
      <w:r>
        <w:rPr>
          <w:rFonts w:ascii="Times New Roman" w:hAnsi="Times New Roman" w:eastAsia="Times New Roman" w:cs="Times New Roman"/>
          <w:sz w:val="24"/>
          <w:szCs w:val="24"/>
          <w:spacing w:val="-7"/>
        </w:rPr>
        <w:t>NH</w:t>
      </w:r>
      <w:r>
        <w:rPr>
          <w:rFonts w:ascii="Times New Roman" w:hAnsi="Times New Roman" w:eastAsia="Times New Roman" w:cs="Times New Roman"/>
          <w:sz w:val="16"/>
          <w:szCs w:val="16"/>
          <w:spacing w:val="-7"/>
          <w:position w:val="-3"/>
        </w:rPr>
        <w:t>3</w:t>
      </w:r>
      <w:r>
        <w:rPr>
          <w:rFonts w:ascii="Times New Roman" w:hAnsi="Times New Roman" w:eastAsia="Times New Roman" w:cs="Times New Roman"/>
          <w:sz w:val="16"/>
          <w:szCs w:val="16"/>
          <w:spacing w:val="-3"/>
          <w:position w:val="-3"/>
        </w:rPr>
        <w:t xml:space="preserve"> </w:t>
      </w:r>
      <w:r>
        <w:rPr>
          <w:rFonts w:ascii="SimSun" w:hAnsi="SimSun" w:eastAsia="SimSun" w:cs="SimSun"/>
          <w:sz w:val="24"/>
          <w:szCs w:val="24"/>
          <w:spacing w:val="-7"/>
        </w:rPr>
        <w:t>：</w:t>
      </w:r>
      <w:r>
        <w:rPr>
          <w:rFonts w:ascii="Times New Roman" w:hAnsi="Times New Roman" w:eastAsia="Times New Roman" w:cs="Times New Roman"/>
          <w:sz w:val="24"/>
          <w:szCs w:val="24"/>
          <w:spacing w:val="-7"/>
        </w:rPr>
        <w:t>68mg/kg</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7"/>
        </w:rPr>
        <w:t>·干产品、</w:t>
      </w:r>
      <w:r>
        <w:rPr>
          <w:rFonts w:ascii="Times New Roman" w:hAnsi="Times New Roman" w:eastAsia="Times New Roman" w:cs="Times New Roman"/>
          <w:sz w:val="24"/>
          <w:szCs w:val="24"/>
          <w:spacing w:val="-7"/>
        </w:rPr>
        <w:t>H</w:t>
      </w:r>
      <w:r>
        <w:rPr>
          <w:rFonts w:ascii="Times New Roman" w:hAnsi="Times New Roman" w:eastAsia="Times New Roman" w:cs="Times New Roman"/>
          <w:sz w:val="16"/>
          <w:szCs w:val="16"/>
          <w:spacing w:val="-7"/>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7"/>
        </w:rPr>
        <w:t>S</w:t>
      </w:r>
      <w:r>
        <w:rPr>
          <w:rFonts w:ascii="SimSun" w:hAnsi="SimSun" w:eastAsia="SimSun" w:cs="SimSun"/>
          <w:sz w:val="24"/>
          <w:szCs w:val="24"/>
          <w:spacing w:val="-7"/>
        </w:rPr>
        <w:t>：</w:t>
      </w:r>
      <w:r>
        <w:rPr>
          <w:rFonts w:ascii="Times New Roman" w:hAnsi="Times New Roman" w:eastAsia="Times New Roman" w:cs="Times New Roman"/>
          <w:sz w:val="24"/>
          <w:szCs w:val="24"/>
          <w:spacing w:val="-7"/>
        </w:rPr>
        <w:t>2.7mg/kg</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7"/>
        </w:rPr>
        <w:t>·干产品。项目牛粪产生量为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7"/>
        </w:rPr>
        <w:t>2382.72t/a</w:t>
      </w:r>
      <w:r>
        <w:rPr>
          <w:rFonts w:ascii="SimSun" w:hAnsi="SimSun" w:eastAsia="SimSun" w:cs="SimSun"/>
          <w:sz w:val="24"/>
          <w:szCs w:val="24"/>
          <w:spacing w:val="-7"/>
        </w:rPr>
        <w:t>，</w:t>
      </w:r>
      <w:r>
        <w:rPr>
          <w:rFonts w:ascii="SimSun" w:hAnsi="SimSun" w:eastAsia="SimSun" w:cs="SimSun"/>
          <w:sz w:val="24"/>
          <w:szCs w:val="24"/>
          <w:spacing w:val="-2"/>
        </w:rPr>
        <w:t>其中含牛粪干物质按</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50%</w:t>
      </w:r>
      <w:r>
        <w:rPr>
          <w:rFonts w:ascii="SimSun" w:hAnsi="SimSun" w:eastAsia="SimSun" w:cs="SimSun"/>
          <w:sz w:val="24"/>
          <w:szCs w:val="24"/>
          <w:spacing w:val="-2"/>
        </w:rPr>
        <w:t>计，则项目的牛粪中干物质量为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1191.36t/a</w:t>
      </w:r>
      <w:r>
        <w:rPr>
          <w:rFonts w:ascii="SimSun" w:hAnsi="SimSun" w:eastAsia="SimSun" w:cs="SimSun"/>
          <w:sz w:val="24"/>
          <w:szCs w:val="24"/>
          <w:spacing w:val="-2"/>
        </w:rPr>
        <w:t>，故本项目储</w:t>
      </w:r>
      <w:r>
        <w:rPr>
          <w:rFonts w:ascii="SimSun" w:hAnsi="SimSun" w:eastAsia="SimSun" w:cs="SimSun"/>
          <w:sz w:val="24"/>
          <w:szCs w:val="24"/>
        </w:rPr>
        <w:t>粪库氨、硫化氢的产生量分别为</w:t>
      </w:r>
      <w:r>
        <w:rPr>
          <w:rFonts w:ascii="SimSun" w:hAnsi="SimSun" w:eastAsia="SimSun" w:cs="SimSun"/>
          <w:sz w:val="24"/>
          <w:szCs w:val="24"/>
          <w:spacing w:val="-51"/>
        </w:rPr>
        <w:t xml:space="preserve"> </w:t>
      </w:r>
      <w:r>
        <w:rPr>
          <w:rFonts w:ascii="Times New Roman" w:hAnsi="Times New Roman" w:eastAsia="Times New Roman" w:cs="Times New Roman"/>
          <w:sz w:val="24"/>
          <w:szCs w:val="24"/>
        </w:rPr>
        <w:t>0.081t/a</w:t>
      </w:r>
      <w:r>
        <w:rPr>
          <w:rFonts w:ascii="SimSun" w:hAnsi="SimSun" w:eastAsia="SimSun" w:cs="SimSun"/>
          <w:sz w:val="24"/>
          <w:szCs w:val="24"/>
        </w:rPr>
        <w:t>（</w:t>
      </w:r>
      <w:r>
        <w:rPr>
          <w:rFonts w:ascii="Times New Roman" w:hAnsi="Times New Roman" w:eastAsia="Times New Roman" w:cs="Times New Roman"/>
          <w:sz w:val="24"/>
          <w:szCs w:val="24"/>
        </w:rPr>
        <w:t>0.009kg/h</w:t>
      </w:r>
      <w:r>
        <w:rPr>
          <w:rFonts w:ascii="SimSun" w:hAnsi="SimSun" w:eastAsia="SimSun" w:cs="SimSun"/>
          <w:sz w:val="24"/>
          <w:szCs w:val="24"/>
        </w:rPr>
        <w:t>）、</w:t>
      </w:r>
      <w:r>
        <w:rPr>
          <w:rFonts w:ascii="Times New Roman" w:hAnsi="Times New Roman" w:eastAsia="Times New Roman" w:cs="Times New Roman"/>
          <w:sz w:val="24"/>
          <w:szCs w:val="24"/>
        </w:rPr>
        <w:t>0.003t/a</w:t>
      </w:r>
      <w:r>
        <w:rPr>
          <w:rFonts w:ascii="SimSun" w:hAnsi="SimSun" w:eastAsia="SimSun" w:cs="SimSun"/>
          <w:sz w:val="24"/>
          <w:szCs w:val="24"/>
        </w:rPr>
        <w:t>（</w:t>
      </w:r>
      <w:r>
        <w:rPr>
          <w:rFonts w:ascii="Times New Roman" w:hAnsi="Times New Roman" w:eastAsia="Times New Roman" w:cs="Times New Roman"/>
          <w:sz w:val="24"/>
          <w:szCs w:val="24"/>
        </w:rPr>
        <w:t>0.00</w:t>
      </w:r>
      <w:r>
        <w:rPr>
          <w:rFonts w:ascii="Times New Roman" w:hAnsi="Times New Roman" w:eastAsia="Times New Roman" w:cs="Times New Roman"/>
          <w:sz w:val="24"/>
          <w:szCs w:val="24"/>
          <w:spacing w:val="-1"/>
        </w:rPr>
        <w:t>03kg/h</w:t>
      </w:r>
      <w:r>
        <w:rPr>
          <w:rFonts w:ascii="SimSun" w:hAnsi="SimSun" w:eastAsia="SimSun" w:cs="SimSun"/>
          <w:sz w:val="24"/>
          <w:szCs w:val="24"/>
          <w:spacing w:val="-1"/>
        </w:rPr>
        <w:t>）。</w:t>
      </w:r>
    </w:p>
    <w:p>
      <w:pPr>
        <w:ind w:left="116" w:right="20" w:firstLine="480"/>
        <w:spacing w:before="29" w:line="359" w:lineRule="auto"/>
        <w:rPr>
          <w:rFonts w:ascii="Times New Roman" w:hAnsi="Times New Roman" w:eastAsia="Times New Roman" w:cs="Times New Roman"/>
          <w:sz w:val="24"/>
          <w:szCs w:val="24"/>
        </w:rPr>
      </w:pPr>
      <w:r>
        <w:rPr>
          <w:rFonts w:ascii="SimSun" w:hAnsi="SimSun" w:eastAsia="SimSun" w:cs="SimSun"/>
          <w:sz w:val="24"/>
          <w:szCs w:val="24"/>
          <w:spacing w:val="-2"/>
        </w:rPr>
        <w:t>根据广东省微生物研究所罗永华等人的研究，微生物除臭剂（由氨氧化细菌、</w:t>
      </w:r>
      <w:r>
        <w:rPr>
          <w:rFonts w:ascii="SimSun" w:hAnsi="SimSun" w:eastAsia="SimSun" w:cs="SimSun"/>
          <w:sz w:val="24"/>
          <w:szCs w:val="24"/>
          <w:spacing w:val="-1"/>
        </w:rPr>
        <w:t>硫氧化细菌等多种微生物复合发酵制成的生物</w:t>
      </w:r>
      <w:r>
        <w:rPr>
          <w:rFonts w:ascii="SimSun" w:hAnsi="SimSun" w:eastAsia="SimSun" w:cs="SimSun"/>
          <w:sz w:val="24"/>
          <w:szCs w:val="24"/>
          <w:spacing w:val="-2"/>
        </w:rPr>
        <w:t>除臭剂</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EM</w:t>
      </w:r>
      <w:r>
        <w:rPr>
          <w:rFonts w:ascii="Times New Roman" w:hAnsi="Times New Roman" w:eastAsia="Times New Roman" w:cs="Times New Roman"/>
          <w:sz w:val="24"/>
          <w:szCs w:val="24"/>
          <w:spacing w:val="33"/>
          <w:w w:val="101"/>
        </w:rPr>
        <w:t xml:space="preserve"> </w:t>
      </w:r>
      <w:r>
        <w:rPr>
          <w:rFonts w:ascii="SimSun" w:hAnsi="SimSun" w:eastAsia="SimSun" w:cs="SimSun"/>
          <w:sz w:val="24"/>
          <w:szCs w:val="24"/>
          <w:spacing w:val="-2"/>
        </w:rPr>
        <w:t>生物菌）对</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2"/>
        </w:rPr>
        <w:t>NH</w:t>
      </w:r>
      <w:r>
        <w:rPr>
          <w:rFonts w:ascii="Times New Roman" w:hAnsi="Times New Roman" w:eastAsia="Times New Roman" w:cs="Times New Roman"/>
          <w:sz w:val="16"/>
          <w:szCs w:val="16"/>
          <w:spacing w:val="-2"/>
          <w:position w:val="-3"/>
        </w:rPr>
        <w:t>3</w:t>
      </w:r>
      <w:r>
        <w:rPr>
          <w:rFonts w:ascii="Times New Roman" w:hAnsi="Times New Roman" w:eastAsia="Times New Roman" w:cs="Times New Roman"/>
          <w:sz w:val="16"/>
          <w:szCs w:val="16"/>
          <w:spacing w:val="14"/>
          <w:w w:val="101"/>
          <w:position w:val="-3"/>
        </w:rPr>
        <w:t xml:space="preserve"> </w:t>
      </w:r>
      <w:r>
        <w:rPr>
          <w:rFonts w:ascii="SimSun" w:hAnsi="SimSun" w:eastAsia="SimSun" w:cs="SimSun"/>
          <w:sz w:val="24"/>
          <w:szCs w:val="24"/>
          <w:spacing w:val="-2"/>
        </w:rPr>
        <w:t>和</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H</w:t>
      </w:r>
      <w:r>
        <w:rPr>
          <w:rFonts w:ascii="Times New Roman" w:hAnsi="Times New Roman" w:eastAsia="Times New Roman" w:cs="Times New Roman"/>
          <w:sz w:val="16"/>
          <w:szCs w:val="16"/>
          <w:spacing w:val="-2"/>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2"/>
        </w:rPr>
        <w:t>S</w:t>
      </w:r>
      <w:r>
        <w:rPr>
          <w:rFonts w:ascii="SimSun" w:hAnsi="SimSun" w:eastAsia="SimSun" w:cs="SimSun"/>
          <w:sz w:val="24"/>
          <w:szCs w:val="24"/>
          <w:spacing w:val="11"/>
        </w:rPr>
        <w:t>的去除效率可达到 </w:t>
      </w:r>
      <w:r>
        <w:rPr>
          <w:rFonts w:ascii="Times New Roman" w:hAnsi="Times New Roman" w:eastAsia="Times New Roman" w:cs="Times New Roman"/>
          <w:sz w:val="24"/>
          <w:szCs w:val="24"/>
          <w:spacing w:val="11"/>
        </w:rPr>
        <w:t>75%</w:t>
      </w:r>
      <w:r>
        <w:rPr>
          <w:rFonts w:ascii="SimSun" w:hAnsi="SimSun" w:eastAsia="SimSun" w:cs="SimSun"/>
          <w:sz w:val="24"/>
          <w:szCs w:val="24"/>
          <w:spacing w:val="11"/>
        </w:rPr>
        <w:t>，则本项目储粪库氨、硫化氢的排放量分别为 </w:t>
      </w:r>
      <w:r>
        <w:rPr>
          <w:rFonts w:ascii="Times New Roman" w:hAnsi="Times New Roman" w:eastAsia="Times New Roman" w:cs="Times New Roman"/>
          <w:sz w:val="24"/>
          <w:szCs w:val="24"/>
          <w:spacing w:val="11"/>
        </w:rPr>
        <w:t>0.0</w:t>
      </w:r>
      <w:r>
        <w:rPr>
          <w:rFonts w:ascii="Times New Roman" w:hAnsi="Times New Roman" w:eastAsia="Times New Roman" w:cs="Times New Roman"/>
          <w:sz w:val="24"/>
          <w:szCs w:val="24"/>
          <w:spacing w:val="10"/>
        </w:rPr>
        <w:t>2t/a</w:t>
      </w:r>
    </w:p>
    <w:p>
      <w:pPr>
        <w:spacing w:line="359" w:lineRule="auto"/>
        <w:sectPr>
          <w:headerReference w:type="default" r:id="rId77"/>
          <w:pgSz w:w="11907" w:h="16839"/>
          <w:pgMar w:top="1390" w:right="1593" w:bottom="400" w:left="1594" w:header="1054" w:footer="0" w:gutter="0"/>
        </w:sectPr>
        <w:rPr>
          <w:rFonts w:ascii="Times New Roman" w:hAnsi="Times New Roman" w:eastAsia="Times New Roman" w:cs="Times New Roman"/>
          <w:sz w:val="24"/>
          <w:szCs w:val="24"/>
        </w:rPr>
      </w:pPr>
    </w:p>
    <w:p>
      <w:pPr>
        <w:ind w:left="123"/>
        <w:spacing w:before="84" w:line="212"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0.002kg/h</w:t>
      </w:r>
      <w:r>
        <w:rPr>
          <w:rFonts w:ascii="SimSun" w:hAnsi="SimSun" w:eastAsia="SimSun" w:cs="SimSun"/>
          <w:sz w:val="24"/>
          <w:szCs w:val="24"/>
        </w:rPr>
        <w:t>）、</w:t>
      </w:r>
      <w:r>
        <w:rPr>
          <w:rFonts w:ascii="Times New Roman" w:hAnsi="Times New Roman" w:eastAsia="Times New Roman" w:cs="Times New Roman"/>
          <w:sz w:val="24"/>
          <w:szCs w:val="24"/>
        </w:rPr>
        <w:t>0.0008t/a</w:t>
      </w:r>
      <w:r>
        <w:rPr>
          <w:rFonts w:ascii="SimSun" w:hAnsi="SimSun" w:eastAsia="SimSun" w:cs="SimSun"/>
          <w:sz w:val="24"/>
          <w:szCs w:val="24"/>
        </w:rPr>
        <w:t>（</w:t>
      </w:r>
      <w:r>
        <w:rPr>
          <w:rFonts w:ascii="Times New Roman" w:hAnsi="Times New Roman" w:eastAsia="Times New Roman" w:cs="Times New Roman"/>
          <w:sz w:val="24"/>
          <w:szCs w:val="24"/>
        </w:rPr>
        <w:t>0.0001kg/h</w:t>
      </w:r>
      <w:r>
        <w:rPr>
          <w:rFonts w:ascii="SimSun" w:hAnsi="SimSun" w:eastAsia="SimSun" w:cs="SimSun"/>
          <w:sz w:val="24"/>
          <w:szCs w:val="24"/>
          <w:spacing w:val="-3"/>
        </w:rPr>
        <w:t>），</w:t>
      </w:r>
      <w:r>
        <w:rPr>
          <w:rFonts w:ascii="SimSun" w:hAnsi="SimSun" w:eastAsia="SimSun" w:cs="SimSun"/>
          <w:sz w:val="24"/>
          <w:szCs w:val="24"/>
        </w:rPr>
        <w:t>根据类比，处</w:t>
      </w:r>
      <w:r>
        <w:rPr>
          <w:rFonts w:ascii="SimSun" w:hAnsi="SimSun" w:eastAsia="SimSun" w:cs="SimSun"/>
          <w:sz w:val="24"/>
          <w:szCs w:val="24"/>
          <w:spacing w:val="-1"/>
        </w:rPr>
        <w:t>理后臭气浓度</w:t>
      </w:r>
      <w:r>
        <w:rPr>
          <w:rFonts w:ascii="Times New Roman" w:hAnsi="Times New Roman" w:eastAsia="Times New Roman" w:cs="Times New Roman"/>
          <w:sz w:val="24"/>
          <w:szCs w:val="24"/>
          <w:spacing w:val="-1"/>
        </w:rPr>
        <w:t>&lt;10</w:t>
      </w:r>
      <w:r>
        <w:rPr>
          <w:rFonts w:ascii="SimSun" w:hAnsi="SimSun" w:eastAsia="SimSun" w:cs="SimSun"/>
          <w:sz w:val="24"/>
          <w:szCs w:val="24"/>
          <w:spacing w:val="-1"/>
        </w:rPr>
        <w:t>。</w:t>
      </w:r>
    </w:p>
    <w:p>
      <w:pPr>
        <w:ind w:left="2360"/>
        <w:spacing w:before="192"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3-12    </w:t>
      </w:r>
      <w:r>
        <w:rPr>
          <w:rFonts w:ascii="SimSun" w:hAnsi="SimSun" w:eastAsia="SimSun" w:cs="SimSun"/>
          <w:sz w:val="24"/>
          <w:szCs w:val="24"/>
          <w:b/>
          <w:bCs/>
          <w:spacing w:val="-2"/>
        </w:rPr>
        <w:t>储粪库无组织恶臭气体排放情况一览表</w:t>
      </w:r>
    </w:p>
    <w:p>
      <w:pPr>
        <w:spacing w:line="128" w:lineRule="exact"/>
        <w:rPr/>
      </w:pPr>
      <w:r/>
    </w:p>
    <w:tbl>
      <w:tblPr>
        <w:tblStyle w:val="TableNormal"/>
        <w:tblW w:w="871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5"/>
        <w:gridCol w:w="780"/>
        <w:gridCol w:w="1064"/>
        <w:gridCol w:w="787"/>
        <w:gridCol w:w="764"/>
        <w:gridCol w:w="1082"/>
        <w:gridCol w:w="1210"/>
        <w:gridCol w:w="967"/>
        <w:gridCol w:w="763"/>
        <w:gridCol w:w="764"/>
      </w:tblGrid>
      <w:tr>
        <w:trPr>
          <w:trHeight w:val="1087" w:hRule="atLeast"/>
        </w:trPr>
        <w:tc>
          <w:tcPr>
            <w:tcW w:w="1315" w:type="dxa"/>
            <w:vAlign w:val="top"/>
            <w:gridSpan w:val="2"/>
            <w:tcBorders>
              <w:top w:val="single" w:color="000000" w:sz="10" w:space="0"/>
              <w:left w:val="nil"/>
            </w:tcBorders>
          </w:tcPr>
          <w:p>
            <w:pPr>
              <w:spacing w:line="373" w:lineRule="auto"/>
              <w:rPr>
                <w:rFonts w:ascii="Arial"/>
                <w:sz w:val="21"/>
              </w:rPr>
            </w:pPr>
            <w:r/>
          </w:p>
          <w:p>
            <w:pPr>
              <w:pStyle w:val="TableText"/>
              <w:ind w:left="348"/>
              <w:spacing w:before="69" w:line="221" w:lineRule="auto"/>
              <w:rPr/>
            </w:pPr>
            <w:r>
              <w:rPr>
                <w:b/>
                <w:bCs/>
                <w:spacing w:val="-4"/>
              </w:rPr>
              <w:t>污染源</w:t>
            </w:r>
          </w:p>
        </w:tc>
        <w:tc>
          <w:tcPr>
            <w:tcW w:w="1064" w:type="dxa"/>
            <w:vAlign w:val="top"/>
            <w:tcBorders>
              <w:top w:val="single" w:color="000000" w:sz="10" w:space="0"/>
            </w:tcBorders>
          </w:tcPr>
          <w:p>
            <w:pPr>
              <w:pStyle w:val="TableText"/>
              <w:ind w:left="114"/>
              <w:spacing w:before="170" w:line="220" w:lineRule="auto"/>
              <w:rPr/>
            </w:pPr>
            <w:r>
              <w:rPr>
                <w:b/>
                <w:bCs/>
                <w:spacing w:val="-4"/>
              </w:rPr>
              <w:t>本项目产</w:t>
            </w:r>
          </w:p>
          <w:p>
            <w:pPr>
              <w:pStyle w:val="TableText"/>
              <w:ind w:left="324"/>
              <w:spacing w:before="23" w:line="226" w:lineRule="auto"/>
              <w:rPr/>
            </w:pPr>
            <w:r>
              <w:rPr>
                <w:b/>
                <w:bCs/>
                <w:spacing w:val="-5"/>
              </w:rPr>
              <w:t>生量</w:t>
            </w:r>
          </w:p>
          <w:p>
            <w:pPr>
              <w:pStyle w:val="TableText"/>
              <w:ind w:left="213"/>
              <w:spacing w:before="13" w:line="281" w:lineRule="exact"/>
              <w:rPr/>
            </w:pPr>
            <w:r>
              <w:rPr>
                <w:b/>
                <w:bCs/>
                <w:spacing w:val="-4"/>
                <w:position w:val="1"/>
              </w:rPr>
              <w:t>（</w:t>
            </w:r>
            <w:r>
              <w:rPr>
                <w:rFonts w:ascii="Times New Roman" w:hAnsi="Times New Roman" w:eastAsia="Times New Roman" w:cs="Times New Roman"/>
                <w:b/>
                <w:bCs/>
                <w:spacing w:val="-4"/>
                <w:position w:val="1"/>
              </w:rPr>
              <w:t>t/a</w:t>
            </w:r>
            <w:r>
              <w:rPr>
                <w:b/>
                <w:bCs/>
                <w:spacing w:val="-4"/>
                <w:position w:val="1"/>
              </w:rPr>
              <w:t>）</w:t>
            </w:r>
          </w:p>
        </w:tc>
        <w:tc>
          <w:tcPr>
            <w:tcW w:w="787" w:type="dxa"/>
            <w:vAlign w:val="top"/>
            <w:tcBorders>
              <w:top w:val="single" w:color="000000" w:sz="10" w:space="0"/>
            </w:tcBorders>
          </w:tcPr>
          <w:p>
            <w:pPr>
              <w:pStyle w:val="TableText"/>
              <w:ind w:left="187" w:right="179"/>
              <w:spacing w:before="306" w:line="243" w:lineRule="auto"/>
              <w:rPr/>
            </w:pPr>
            <w:r>
              <w:rPr>
                <w:b/>
                <w:bCs/>
                <w:spacing w:val="-5"/>
              </w:rPr>
              <w:t>采取</w:t>
            </w:r>
            <w:r>
              <w:rPr>
                <w:b/>
                <w:bCs/>
                <w:spacing w:val="-6"/>
              </w:rPr>
              <w:t>措施</w:t>
            </w:r>
          </w:p>
        </w:tc>
        <w:tc>
          <w:tcPr>
            <w:tcW w:w="764" w:type="dxa"/>
            <w:vAlign w:val="top"/>
            <w:tcBorders>
              <w:top w:val="single" w:color="000000" w:sz="10" w:space="0"/>
            </w:tcBorders>
          </w:tcPr>
          <w:p>
            <w:pPr>
              <w:pStyle w:val="TableText"/>
              <w:ind w:left="282" w:right="168" w:hanging="103"/>
              <w:spacing w:before="306" w:line="243" w:lineRule="auto"/>
              <w:rPr/>
            </w:pPr>
            <w:r>
              <w:rPr>
                <w:b/>
                <w:bCs/>
                <w:spacing w:val="-7"/>
              </w:rPr>
              <w:t>去除</w:t>
            </w:r>
            <w:r>
              <w:rPr>
                <w:b/>
                <w:bCs/>
                <w:spacing w:val="-3"/>
              </w:rPr>
              <w:t>率</w:t>
            </w:r>
          </w:p>
        </w:tc>
        <w:tc>
          <w:tcPr>
            <w:tcW w:w="1082" w:type="dxa"/>
            <w:vAlign w:val="top"/>
            <w:tcBorders>
              <w:top w:val="single" w:color="000000" w:sz="10" w:space="0"/>
            </w:tcBorders>
          </w:tcPr>
          <w:p>
            <w:pPr>
              <w:pStyle w:val="TableText"/>
              <w:ind w:left="123"/>
              <w:spacing w:before="170" w:line="220" w:lineRule="auto"/>
              <w:rPr/>
            </w:pPr>
            <w:r>
              <w:rPr>
                <w:b/>
                <w:bCs/>
                <w:spacing w:val="-4"/>
              </w:rPr>
              <w:t>本项目排</w:t>
            </w:r>
          </w:p>
          <w:p>
            <w:pPr>
              <w:pStyle w:val="TableText"/>
              <w:ind w:left="334"/>
              <w:spacing w:before="23" w:line="222" w:lineRule="auto"/>
              <w:rPr/>
            </w:pPr>
            <w:r>
              <w:rPr>
                <w:b/>
                <w:bCs/>
                <w:spacing w:val="-4"/>
              </w:rPr>
              <w:t>放量</w:t>
            </w:r>
          </w:p>
          <w:p>
            <w:pPr>
              <w:pStyle w:val="TableText"/>
              <w:ind w:left="222"/>
              <w:spacing w:before="18" w:line="281" w:lineRule="exact"/>
              <w:rPr/>
            </w:pPr>
            <w:r>
              <w:rPr>
                <w:b/>
                <w:bCs/>
                <w:spacing w:val="-4"/>
                <w:position w:val="1"/>
              </w:rPr>
              <w:t>（</w:t>
            </w:r>
            <w:r>
              <w:rPr>
                <w:rFonts w:ascii="Times New Roman" w:hAnsi="Times New Roman" w:eastAsia="Times New Roman" w:cs="Times New Roman"/>
                <w:b/>
                <w:bCs/>
                <w:spacing w:val="-4"/>
                <w:position w:val="1"/>
              </w:rPr>
              <w:t>t/a</w:t>
            </w:r>
            <w:r>
              <w:rPr>
                <w:b/>
                <w:bCs/>
                <w:spacing w:val="-4"/>
                <w:position w:val="1"/>
              </w:rPr>
              <w:t>）</w:t>
            </w:r>
          </w:p>
        </w:tc>
        <w:tc>
          <w:tcPr>
            <w:tcW w:w="1210" w:type="dxa"/>
            <w:vAlign w:val="top"/>
            <w:tcBorders>
              <w:top w:val="single" w:color="000000" w:sz="10" w:space="0"/>
            </w:tcBorders>
          </w:tcPr>
          <w:p>
            <w:pPr>
              <w:pStyle w:val="TableText"/>
              <w:ind w:left="203" w:right="182" w:hanging="18"/>
              <w:spacing w:before="308" w:line="237" w:lineRule="auto"/>
              <w:rPr/>
            </w:pPr>
            <w:r>
              <w:rPr>
                <w:b/>
                <w:bCs/>
                <w:spacing w:val="-4"/>
              </w:rPr>
              <w:t>排放速率</w:t>
            </w:r>
            <w:r>
              <w:rPr>
                <w:b/>
                <w:bCs/>
                <w:spacing w:val="-4"/>
              </w:rPr>
              <w:t>（</w:t>
            </w:r>
            <w:r>
              <w:rPr>
                <w:rFonts w:ascii="Times New Roman" w:hAnsi="Times New Roman" w:eastAsia="Times New Roman" w:cs="Times New Roman"/>
                <w:b/>
                <w:bCs/>
                <w:spacing w:val="-4"/>
              </w:rPr>
              <w:t>kg/h</w:t>
            </w:r>
            <w:r>
              <w:rPr>
                <w:b/>
                <w:bCs/>
                <w:spacing w:val="-4"/>
              </w:rPr>
              <w:t>）</w:t>
            </w:r>
          </w:p>
        </w:tc>
        <w:tc>
          <w:tcPr>
            <w:tcW w:w="967" w:type="dxa"/>
            <w:vAlign w:val="top"/>
            <w:tcBorders>
              <w:top w:val="single" w:color="000000" w:sz="10" w:space="0"/>
            </w:tcBorders>
          </w:tcPr>
          <w:p>
            <w:pPr>
              <w:pStyle w:val="TableText"/>
              <w:ind w:left="171"/>
              <w:spacing w:before="35" w:line="221" w:lineRule="auto"/>
              <w:rPr/>
            </w:pPr>
            <w:r>
              <w:rPr>
                <w:b/>
                <w:bCs/>
                <w:spacing w:val="-4"/>
              </w:rPr>
              <w:t>臭气浓</w:t>
            </w:r>
          </w:p>
          <w:p>
            <w:pPr>
              <w:pStyle w:val="TableText"/>
              <w:ind w:left="382"/>
              <w:spacing w:before="20" w:line="221" w:lineRule="auto"/>
              <w:rPr/>
            </w:pPr>
            <w:r>
              <w:rPr>
                <w:b/>
                <w:bCs/>
                <w:spacing w:val="-3"/>
              </w:rPr>
              <w:t>度</w:t>
            </w:r>
          </w:p>
          <w:p>
            <w:pPr>
              <w:pStyle w:val="TableText"/>
              <w:ind w:left="177"/>
              <w:spacing w:before="22" w:line="221" w:lineRule="auto"/>
              <w:rPr/>
            </w:pPr>
            <w:r>
              <w:rPr>
                <w:b/>
                <w:bCs/>
                <w:spacing w:val="-7"/>
              </w:rPr>
              <w:t>（无量</w:t>
            </w:r>
          </w:p>
          <w:p>
            <w:pPr>
              <w:pStyle w:val="TableText"/>
              <w:ind w:left="280"/>
              <w:spacing w:before="19" w:line="198" w:lineRule="auto"/>
              <w:rPr/>
            </w:pPr>
            <w:r>
              <w:rPr>
                <w:b/>
                <w:bCs/>
                <w:spacing w:val="-9"/>
              </w:rPr>
              <w:t>纲）</w:t>
            </w:r>
          </w:p>
        </w:tc>
        <w:tc>
          <w:tcPr>
            <w:tcW w:w="763" w:type="dxa"/>
            <w:vAlign w:val="top"/>
            <w:tcBorders>
              <w:top w:val="single" w:color="000000" w:sz="10" w:space="0"/>
            </w:tcBorders>
          </w:tcPr>
          <w:p>
            <w:pPr>
              <w:pStyle w:val="TableText"/>
              <w:ind w:left="178" w:right="167" w:hanging="2"/>
              <w:spacing w:before="307" w:line="243" w:lineRule="auto"/>
              <w:rPr/>
            </w:pPr>
            <w:r>
              <w:rPr>
                <w:b/>
                <w:bCs/>
                <w:spacing w:val="-6"/>
              </w:rPr>
              <w:t>排放</w:t>
            </w:r>
            <w:r>
              <w:rPr>
                <w:b/>
                <w:bCs/>
                <w:spacing w:val="-7"/>
              </w:rPr>
              <w:t>形式</w:t>
            </w:r>
          </w:p>
        </w:tc>
        <w:tc>
          <w:tcPr>
            <w:tcW w:w="764" w:type="dxa"/>
            <w:vAlign w:val="top"/>
            <w:tcBorders>
              <w:top w:val="single" w:color="000000" w:sz="10" w:space="0"/>
              <w:right w:val="nil"/>
            </w:tcBorders>
          </w:tcPr>
          <w:p>
            <w:pPr>
              <w:pStyle w:val="TableText"/>
              <w:ind w:left="180"/>
              <w:spacing w:before="36" w:line="221" w:lineRule="auto"/>
              <w:rPr/>
            </w:pPr>
            <w:r>
              <w:rPr>
                <w:b/>
                <w:bCs/>
                <w:spacing w:val="-5"/>
              </w:rPr>
              <w:t>是否</w:t>
            </w:r>
          </w:p>
          <w:p>
            <w:pPr>
              <w:pStyle w:val="TableText"/>
              <w:ind w:left="179"/>
              <w:spacing w:before="19" w:line="222" w:lineRule="auto"/>
              <w:rPr/>
            </w:pPr>
            <w:r>
              <w:rPr>
                <w:b/>
                <w:bCs/>
                <w:spacing w:val="-5"/>
              </w:rPr>
              <w:t>为可</w:t>
            </w:r>
          </w:p>
          <w:p>
            <w:pPr>
              <w:pStyle w:val="TableText"/>
              <w:ind w:left="180"/>
              <w:spacing w:before="21" w:line="221" w:lineRule="auto"/>
              <w:rPr/>
            </w:pPr>
            <w:r>
              <w:rPr>
                <w:b/>
                <w:bCs/>
                <w:spacing w:val="-5"/>
              </w:rPr>
              <w:t>行性</w:t>
            </w:r>
          </w:p>
          <w:p>
            <w:pPr>
              <w:pStyle w:val="TableText"/>
              <w:ind w:left="177"/>
              <w:spacing w:before="19" w:line="198" w:lineRule="auto"/>
              <w:rPr/>
            </w:pPr>
            <w:r>
              <w:rPr>
                <w:b/>
                <w:bCs/>
                <w:spacing w:val="-4"/>
              </w:rPr>
              <w:t>技术</w:t>
            </w:r>
          </w:p>
        </w:tc>
      </w:tr>
      <w:tr>
        <w:trPr>
          <w:trHeight w:val="731" w:hRule="atLeast"/>
        </w:trPr>
        <w:tc>
          <w:tcPr>
            <w:tcW w:w="535" w:type="dxa"/>
            <w:vAlign w:val="top"/>
            <w:vMerge w:val="restart"/>
            <w:textDirection w:val="tbRlV"/>
            <w:tcBorders>
              <w:bottom w:val="nil"/>
              <w:left w:val="nil"/>
            </w:tcBorders>
          </w:tcPr>
          <w:p>
            <w:pPr>
              <w:pStyle w:val="TableText"/>
              <w:ind w:left="307"/>
              <w:spacing w:before="159" w:line="210" w:lineRule="auto"/>
              <w:rPr/>
            </w:pPr>
            <w:r>
              <w:rPr>
                <w:spacing w:val="41"/>
              </w:rPr>
              <w:t>储粪库</w:t>
            </w:r>
          </w:p>
        </w:tc>
        <w:tc>
          <w:tcPr>
            <w:tcW w:w="780" w:type="dxa"/>
            <w:vAlign w:val="top"/>
          </w:tcPr>
          <w:p>
            <w:pPr>
              <w:spacing w:line="243" w:lineRule="auto"/>
              <w:rPr>
                <w:rFonts w:ascii="Arial"/>
                <w:sz w:val="21"/>
              </w:rPr>
            </w:pPr>
            <w:r/>
          </w:p>
          <w:p>
            <w:pPr>
              <w:ind w:left="219"/>
              <w:spacing w:before="60"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064" w:type="dxa"/>
            <w:vAlign w:val="top"/>
          </w:tcPr>
          <w:p>
            <w:pPr>
              <w:ind w:left="298"/>
              <w:spacing w:before="3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0.003</w:t>
            </w:r>
          </w:p>
        </w:tc>
        <w:tc>
          <w:tcPr>
            <w:tcW w:w="787" w:type="dxa"/>
            <w:vAlign w:val="top"/>
            <w:vMerge w:val="restart"/>
            <w:tcBorders>
              <w:bottom w:val="nil"/>
            </w:tcBorders>
          </w:tcPr>
          <w:p>
            <w:pPr>
              <w:pStyle w:val="TableText"/>
              <w:ind w:left="121"/>
              <w:spacing w:before="170" w:line="218" w:lineRule="auto"/>
              <w:rPr/>
            </w:pPr>
            <w:r>
              <w:rPr>
                <w:spacing w:val="-4"/>
              </w:rPr>
              <w:t>喷洒</w:t>
            </w:r>
          </w:p>
          <w:p>
            <w:pPr>
              <w:pStyle w:val="TableText"/>
              <w:ind w:left="114" w:right="102" w:firstLine="11"/>
              <w:spacing w:before="25" w:line="241" w:lineRule="auto"/>
              <w:rPr/>
            </w:pPr>
            <w:r>
              <w:rPr>
                <w:spacing w:val="-10"/>
              </w:rPr>
              <w:t>除臭</w:t>
            </w:r>
            <w:r>
              <w:rPr>
                <w:spacing w:val="-22"/>
              </w:rPr>
              <w:t>剂、通</w:t>
            </w:r>
            <w:r>
              <w:rPr/>
              <w:t>风</w:t>
            </w:r>
          </w:p>
        </w:tc>
        <w:tc>
          <w:tcPr>
            <w:tcW w:w="764"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ind w:left="195"/>
              <w:spacing w:before="60"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w:t>
            </w:r>
          </w:p>
        </w:tc>
        <w:tc>
          <w:tcPr>
            <w:tcW w:w="1082" w:type="dxa"/>
            <w:vAlign w:val="top"/>
          </w:tcPr>
          <w:p>
            <w:pPr>
              <w:ind w:left="254"/>
              <w:spacing w:before="3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0.0008</w:t>
            </w:r>
          </w:p>
        </w:tc>
        <w:tc>
          <w:tcPr>
            <w:tcW w:w="1210" w:type="dxa"/>
            <w:vAlign w:val="top"/>
          </w:tcPr>
          <w:p>
            <w:pPr>
              <w:ind w:left="317"/>
              <w:spacing w:before="3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0.0001</w:t>
            </w:r>
          </w:p>
        </w:tc>
        <w:tc>
          <w:tcPr>
            <w:tcW w:w="967"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ind w:left="318"/>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&lt;10</w:t>
            </w:r>
          </w:p>
        </w:tc>
        <w:tc>
          <w:tcPr>
            <w:tcW w:w="763" w:type="dxa"/>
            <w:vAlign w:val="top"/>
            <w:vMerge w:val="restart"/>
            <w:tcBorders>
              <w:bottom w:val="nil"/>
            </w:tcBorders>
          </w:tcPr>
          <w:p>
            <w:pPr>
              <w:pStyle w:val="TableText"/>
              <w:ind w:left="179" w:right="167" w:hanging="1"/>
              <w:spacing w:before="308" w:line="241" w:lineRule="auto"/>
              <w:jc w:val="both"/>
              <w:rPr/>
            </w:pPr>
            <w:r>
              <w:rPr>
                <w:spacing w:val="-4"/>
              </w:rPr>
              <w:t>无组</w:t>
            </w:r>
            <w:r>
              <w:rPr>
                <w:spacing w:val="-5"/>
              </w:rPr>
              <w:t>织排</w:t>
            </w:r>
            <w:r>
              <w:rPr>
                <w:spacing w:val="32"/>
                <w:w w:val="130"/>
              </w:rPr>
              <w:t>放</w:t>
            </w:r>
          </w:p>
        </w:tc>
        <w:tc>
          <w:tcPr>
            <w:tcW w:w="764" w:type="dxa"/>
            <w:vAlign w:val="top"/>
            <w:vMerge w:val="restart"/>
            <w:tcBorders>
              <w:bottom w:val="nil"/>
              <w:right w:val="nil"/>
            </w:tcBorders>
          </w:tcPr>
          <w:p>
            <w:pPr>
              <w:spacing w:line="254" w:lineRule="auto"/>
              <w:rPr>
                <w:rFonts w:ascii="Arial"/>
                <w:sz w:val="21"/>
              </w:rPr>
            </w:pPr>
            <w:r/>
          </w:p>
          <w:p>
            <w:pPr>
              <w:spacing w:line="255" w:lineRule="auto"/>
              <w:rPr>
                <w:rFonts w:ascii="Arial"/>
                <w:sz w:val="21"/>
              </w:rPr>
            </w:pPr>
            <w:r/>
          </w:p>
          <w:p>
            <w:pPr>
              <w:pStyle w:val="TableText"/>
              <w:ind w:left="286"/>
              <w:spacing w:before="68" w:line="224" w:lineRule="auto"/>
              <w:rPr/>
            </w:pPr>
            <w:r>
              <w:rPr/>
              <w:t>是</w:t>
            </w:r>
          </w:p>
        </w:tc>
      </w:tr>
      <w:tr>
        <w:trPr>
          <w:trHeight w:val="627" w:hRule="atLeast"/>
        </w:trPr>
        <w:tc>
          <w:tcPr>
            <w:tcW w:w="535" w:type="dxa"/>
            <w:vAlign w:val="top"/>
            <w:vMerge w:val="continue"/>
            <w:textDirection w:val="tbRlV"/>
            <w:tcBorders>
              <w:bottom w:val="single" w:color="000000" w:sz="10" w:space="0"/>
              <w:left w:val="nil"/>
              <w:top w:val="nil"/>
            </w:tcBorders>
          </w:tcPr>
          <w:p>
            <w:pPr>
              <w:rPr>
                <w:rFonts w:ascii="Arial"/>
                <w:sz w:val="21"/>
              </w:rPr>
            </w:pPr>
            <w:r/>
          </w:p>
        </w:tc>
        <w:tc>
          <w:tcPr>
            <w:tcW w:w="780" w:type="dxa"/>
            <w:vAlign w:val="top"/>
            <w:tcBorders>
              <w:bottom w:val="single" w:color="000000" w:sz="10" w:space="0"/>
            </w:tcBorders>
          </w:tcPr>
          <w:p>
            <w:pPr>
              <w:ind w:left="194"/>
              <w:spacing w:before="250"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064" w:type="dxa"/>
            <w:vAlign w:val="top"/>
            <w:tcBorders>
              <w:bottom w:val="single" w:color="000000" w:sz="10" w:space="0"/>
            </w:tcBorders>
          </w:tcPr>
          <w:p>
            <w:pPr>
              <w:ind w:left="298"/>
              <w:spacing w:before="24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0.081</w:t>
            </w:r>
          </w:p>
        </w:tc>
        <w:tc>
          <w:tcPr>
            <w:tcW w:w="787" w:type="dxa"/>
            <w:vAlign w:val="top"/>
            <w:vMerge w:val="continue"/>
            <w:tcBorders>
              <w:bottom w:val="single" w:color="000000" w:sz="10" w:space="0"/>
              <w:top w:val="nil"/>
            </w:tcBorders>
          </w:tcPr>
          <w:p>
            <w:pPr>
              <w:rPr>
                <w:rFonts w:ascii="Arial"/>
                <w:sz w:val="21"/>
              </w:rPr>
            </w:pPr>
            <w:r/>
          </w:p>
        </w:tc>
        <w:tc>
          <w:tcPr>
            <w:tcW w:w="764" w:type="dxa"/>
            <w:vAlign w:val="top"/>
            <w:vMerge w:val="continue"/>
            <w:tcBorders>
              <w:bottom w:val="single" w:color="000000" w:sz="10" w:space="0"/>
              <w:top w:val="nil"/>
            </w:tcBorders>
          </w:tcPr>
          <w:p>
            <w:pPr>
              <w:rPr>
                <w:rFonts w:ascii="Arial"/>
                <w:sz w:val="21"/>
              </w:rPr>
            </w:pPr>
            <w:r/>
          </w:p>
        </w:tc>
        <w:tc>
          <w:tcPr>
            <w:tcW w:w="1082" w:type="dxa"/>
            <w:vAlign w:val="top"/>
            <w:tcBorders>
              <w:bottom w:val="single" w:color="000000" w:sz="10" w:space="0"/>
            </w:tcBorders>
          </w:tcPr>
          <w:p>
            <w:pPr>
              <w:ind w:left="360"/>
              <w:spacing w:before="24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c>
          <w:tcPr>
            <w:tcW w:w="1210" w:type="dxa"/>
            <w:vAlign w:val="top"/>
            <w:tcBorders>
              <w:bottom w:val="single" w:color="000000" w:sz="10" w:space="0"/>
            </w:tcBorders>
          </w:tcPr>
          <w:p>
            <w:pPr>
              <w:ind w:left="370"/>
              <w:spacing w:before="24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0.002</w:t>
            </w:r>
          </w:p>
        </w:tc>
        <w:tc>
          <w:tcPr>
            <w:tcW w:w="967" w:type="dxa"/>
            <w:vAlign w:val="top"/>
            <w:vMerge w:val="continue"/>
            <w:tcBorders>
              <w:bottom w:val="single" w:color="000000" w:sz="10" w:space="0"/>
              <w:top w:val="nil"/>
            </w:tcBorders>
          </w:tcPr>
          <w:p>
            <w:pPr>
              <w:rPr>
                <w:rFonts w:ascii="Arial"/>
                <w:sz w:val="21"/>
              </w:rPr>
            </w:pPr>
            <w:r/>
          </w:p>
        </w:tc>
        <w:tc>
          <w:tcPr>
            <w:tcW w:w="763" w:type="dxa"/>
            <w:vAlign w:val="top"/>
            <w:vMerge w:val="continue"/>
            <w:tcBorders>
              <w:bottom w:val="single" w:color="000000" w:sz="10" w:space="0"/>
              <w:top w:val="nil"/>
            </w:tcBorders>
          </w:tcPr>
          <w:p>
            <w:pPr>
              <w:rPr>
                <w:rFonts w:ascii="Arial"/>
                <w:sz w:val="21"/>
              </w:rPr>
            </w:pPr>
            <w:r/>
          </w:p>
        </w:tc>
        <w:tc>
          <w:tcPr>
            <w:tcW w:w="764" w:type="dxa"/>
            <w:vAlign w:val="top"/>
            <w:vMerge w:val="continue"/>
            <w:tcBorders>
              <w:bottom w:val="single" w:color="000000" w:sz="10" w:space="0"/>
              <w:right w:val="nil"/>
              <w:top w:val="nil"/>
            </w:tcBorders>
          </w:tcPr>
          <w:p>
            <w:pPr>
              <w:rPr>
                <w:rFonts w:ascii="Arial"/>
                <w:sz w:val="21"/>
              </w:rPr>
            </w:pPr>
            <w:r/>
          </w:p>
        </w:tc>
      </w:tr>
    </w:tbl>
    <w:p>
      <w:pPr>
        <w:ind w:left="116" w:right="101" w:firstLine="482"/>
        <w:spacing w:before="34" w:line="359" w:lineRule="auto"/>
        <w:jc w:val="both"/>
        <w:rPr>
          <w:rFonts w:ascii="SimSun" w:hAnsi="SimSun" w:eastAsia="SimSun" w:cs="SimSun"/>
          <w:sz w:val="24"/>
          <w:szCs w:val="24"/>
        </w:rPr>
      </w:pPr>
      <w:r>
        <w:rPr>
          <w:rFonts w:ascii="SimSun" w:hAnsi="SimSun" w:eastAsia="SimSun" w:cs="SimSun"/>
          <w:sz w:val="24"/>
          <w:szCs w:val="24"/>
          <w:spacing w:val="-4"/>
        </w:rPr>
        <w:t>经预测，厂界叠加排放浓度为</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4"/>
        </w:rPr>
        <w:t>NH</w:t>
      </w:r>
      <w:r>
        <w:rPr>
          <w:rFonts w:ascii="Times New Roman" w:hAnsi="Times New Roman" w:eastAsia="Times New Roman" w:cs="Times New Roman"/>
          <w:sz w:val="16"/>
          <w:szCs w:val="16"/>
          <w:spacing w:val="-4"/>
          <w:position w:val="-3"/>
        </w:rPr>
        <w:t>3</w:t>
      </w:r>
      <w:r>
        <w:rPr>
          <w:rFonts w:ascii="Times New Roman" w:hAnsi="Times New Roman" w:eastAsia="Times New Roman" w:cs="Times New Roman"/>
          <w:sz w:val="16"/>
          <w:szCs w:val="16"/>
          <w:spacing w:val="28"/>
          <w:w w:val="102"/>
          <w:position w:val="-3"/>
        </w:rPr>
        <w:t xml:space="preserve"> </w:t>
      </w:r>
      <w:r>
        <w:rPr>
          <w:rFonts w:ascii="SimSun" w:hAnsi="SimSun" w:eastAsia="SimSun" w:cs="SimSun"/>
          <w:sz w:val="24"/>
          <w:szCs w:val="24"/>
          <w:spacing w:val="-4"/>
        </w:rPr>
        <w:t>最大落地浓度为 </w:t>
      </w:r>
      <w:r>
        <w:rPr>
          <w:rFonts w:ascii="Times New Roman" w:hAnsi="Times New Roman" w:eastAsia="Times New Roman" w:cs="Times New Roman"/>
          <w:sz w:val="24"/>
          <w:szCs w:val="24"/>
          <w:spacing w:val="-4"/>
        </w:rPr>
        <w:t>10.2538μg/m3</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H</w:t>
      </w:r>
      <w:r>
        <w:rPr>
          <w:rFonts w:ascii="Times New Roman" w:hAnsi="Times New Roman" w:eastAsia="Times New Roman" w:cs="Times New Roman"/>
          <w:sz w:val="16"/>
          <w:szCs w:val="16"/>
          <w:spacing w:val="-4"/>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4"/>
        </w:rPr>
        <w:t>S</w:t>
      </w:r>
      <w:r>
        <w:rPr>
          <w:rFonts w:ascii="Times New Roman" w:hAnsi="Times New Roman" w:eastAsia="Times New Roman" w:cs="Times New Roman"/>
          <w:sz w:val="24"/>
          <w:szCs w:val="24"/>
          <w:spacing w:val="47"/>
          <w:w w:val="101"/>
        </w:rPr>
        <w:t xml:space="preserve"> </w:t>
      </w:r>
      <w:r>
        <w:rPr>
          <w:rFonts w:ascii="SimSun" w:hAnsi="SimSun" w:eastAsia="SimSun" w:cs="SimSun"/>
          <w:sz w:val="24"/>
          <w:szCs w:val="24"/>
          <w:spacing w:val="-4"/>
        </w:rPr>
        <w:t>最大</w:t>
      </w:r>
      <w:r>
        <w:rPr>
          <w:rFonts w:ascii="SimSun" w:hAnsi="SimSun" w:eastAsia="SimSun" w:cs="SimSun"/>
          <w:sz w:val="24"/>
          <w:szCs w:val="24"/>
          <w:spacing w:val="9"/>
        </w:rPr>
        <w:t>落地浓度为 </w:t>
      </w:r>
      <w:r>
        <w:rPr>
          <w:rFonts w:ascii="Times New Roman" w:hAnsi="Times New Roman" w:eastAsia="Times New Roman" w:cs="Times New Roman"/>
          <w:sz w:val="24"/>
          <w:szCs w:val="24"/>
          <w:spacing w:val="9"/>
        </w:rPr>
        <w:t>0.4356μg/m3</w:t>
      </w:r>
      <w:r>
        <w:rPr>
          <w:rFonts w:ascii="Times New Roman" w:hAnsi="Times New Roman" w:eastAsia="Times New Roman" w:cs="Times New Roman"/>
          <w:sz w:val="24"/>
          <w:szCs w:val="24"/>
          <w:spacing w:val="-5"/>
        </w:rPr>
        <w:t xml:space="preserve"> </w:t>
      </w:r>
      <w:r>
        <w:rPr>
          <w:rFonts w:ascii="SimSun" w:hAnsi="SimSun" w:eastAsia="SimSun" w:cs="SimSun"/>
          <w:sz w:val="24"/>
          <w:szCs w:val="24"/>
          <w:spacing w:val="9"/>
        </w:rPr>
        <w:t>，臭气浓度</w:t>
      </w:r>
      <w:r>
        <w:rPr>
          <w:rFonts w:ascii="Times New Roman" w:hAnsi="Times New Roman" w:eastAsia="Times New Roman" w:cs="Times New Roman"/>
          <w:sz w:val="24"/>
          <w:szCs w:val="24"/>
          <w:spacing w:val="9"/>
        </w:rPr>
        <w:t>&lt;10</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9"/>
        </w:rPr>
        <w:t>，恶臭气体污染物排放浓度能够满足</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14554-93</w:t>
      </w:r>
      <w:r>
        <w:rPr>
          <w:rFonts w:ascii="SimSun" w:hAnsi="SimSun" w:eastAsia="SimSun" w:cs="SimSun"/>
          <w:sz w:val="24"/>
          <w:szCs w:val="24"/>
          <w:spacing w:val="1"/>
        </w:rPr>
        <w:t>《恶臭污染物排放标准》中污染物厂界标准值二级标准要求，臭气浓</w:t>
      </w:r>
      <w:r>
        <w:rPr>
          <w:rFonts w:ascii="SimSun" w:hAnsi="SimSun" w:eastAsia="SimSun" w:cs="SimSun"/>
          <w:sz w:val="24"/>
          <w:szCs w:val="24"/>
          <w:spacing w:val="-2"/>
        </w:rPr>
        <w:t>度能够满足</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2"/>
        </w:rPr>
        <w:t>GB18596-2001</w:t>
      </w:r>
      <w:r>
        <w:rPr>
          <w:rFonts w:ascii="SimSun" w:hAnsi="SimSun" w:eastAsia="SimSun" w:cs="SimSun"/>
          <w:sz w:val="24"/>
          <w:szCs w:val="24"/>
          <w:spacing w:val="-2"/>
        </w:rPr>
        <w:t>《畜禽养殖污染物排放标准》中要求。</w:t>
      </w:r>
    </w:p>
    <w:p>
      <w:pPr>
        <w:ind w:left="600"/>
        <w:spacing w:before="3" w:line="230" w:lineRule="auto"/>
        <w:rPr>
          <w:rFonts w:ascii="SimSun" w:hAnsi="SimSun" w:eastAsia="SimSun" w:cs="SimSun"/>
          <w:sz w:val="24"/>
          <w:szCs w:val="24"/>
        </w:rPr>
      </w:pPr>
      <w:r>
        <w:rPr>
          <w:rFonts w:ascii="Times New Roman" w:hAnsi="Times New Roman" w:eastAsia="Times New Roman" w:cs="Times New Roman"/>
          <w:sz w:val="24"/>
          <w:szCs w:val="24"/>
          <w:spacing w:val="-1"/>
        </w:rPr>
        <w:t>3.3.2.3 </w:t>
      </w:r>
      <w:r>
        <w:rPr>
          <w:rFonts w:ascii="SimSun" w:hAnsi="SimSun" w:eastAsia="SimSun" w:cs="SimSun"/>
          <w:sz w:val="24"/>
          <w:szCs w:val="24"/>
          <w:spacing w:val="-1"/>
        </w:rPr>
        <w:t>食堂油烟</w:t>
      </w:r>
    </w:p>
    <w:p>
      <w:pPr>
        <w:ind w:left="116" w:right="115" w:firstLine="483"/>
        <w:spacing w:before="168" w:line="359" w:lineRule="auto"/>
        <w:rPr>
          <w:rFonts w:ascii="SimSun" w:hAnsi="SimSun" w:eastAsia="SimSun" w:cs="SimSun"/>
          <w:sz w:val="24"/>
          <w:szCs w:val="24"/>
        </w:rPr>
      </w:pPr>
      <w:r>
        <w:rPr>
          <w:rFonts w:ascii="SimSun" w:hAnsi="SimSun" w:eastAsia="SimSun" w:cs="SimSun"/>
          <w:sz w:val="24"/>
          <w:szCs w:val="24"/>
          <w:spacing w:val="2"/>
        </w:rPr>
        <w:t>食物在烹饪过程中产生的油烟有几百种污染物，化学成分十分复杂，其中包</w:t>
      </w:r>
      <w:r>
        <w:rPr>
          <w:rFonts w:ascii="SimSun" w:hAnsi="SimSun" w:eastAsia="SimSun" w:cs="SimSun"/>
          <w:sz w:val="24"/>
          <w:szCs w:val="24"/>
          <w:spacing w:val="2"/>
        </w:rPr>
        <w:t>括烷烃类、脂肪酸类、醇类、酯类、酮类、醛类、杂环化合物、多环芳烃类等，</w:t>
      </w:r>
      <w:r>
        <w:rPr>
          <w:rFonts w:ascii="SimSun" w:hAnsi="SimSun" w:eastAsia="SimSun" w:cs="SimSun"/>
          <w:sz w:val="24"/>
          <w:szCs w:val="24"/>
          <w:spacing w:val="-1"/>
        </w:rPr>
        <w:t>在各种烹饪工艺中煎、炸所产生的油烟量远远大于炒、炖</w:t>
      </w:r>
      <w:r>
        <w:rPr>
          <w:rFonts w:ascii="SimSun" w:hAnsi="SimSun" w:eastAsia="SimSun" w:cs="SimSun"/>
          <w:sz w:val="24"/>
          <w:szCs w:val="24"/>
          <w:spacing w:val="-2"/>
        </w:rPr>
        <w:t>所产生的油烟量。</w:t>
      </w:r>
    </w:p>
    <w:p>
      <w:pPr>
        <w:ind w:left="116" w:right="101" w:firstLine="481"/>
        <w:spacing w:before="9" w:line="354" w:lineRule="auto"/>
        <w:jc w:val="both"/>
        <w:rPr>
          <w:rFonts w:ascii="SimSun" w:hAnsi="SimSun" w:eastAsia="SimSun" w:cs="SimSun"/>
          <w:sz w:val="24"/>
          <w:szCs w:val="24"/>
        </w:rPr>
      </w:pPr>
      <w:r>
        <w:rPr>
          <w:rFonts w:ascii="SimSun" w:hAnsi="SimSun" w:eastAsia="SimSun" w:cs="SimSun"/>
          <w:sz w:val="24"/>
          <w:szCs w:val="24"/>
          <w:spacing w:val="-2"/>
        </w:rPr>
        <w:t>本项目建成后总就餐人数约</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2"/>
        </w:rPr>
        <w:t>10 </w:t>
      </w:r>
      <w:r>
        <w:rPr>
          <w:rFonts w:ascii="SimSun" w:hAnsi="SimSun" w:eastAsia="SimSun" w:cs="SimSun"/>
          <w:sz w:val="24"/>
          <w:szCs w:val="24"/>
          <w:spacing w:val="-2"/>
        </w:rPr>
        <w:t>人，灶头为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 </w:t>
      </w:r>
      <w:r>
        <w:rPr>
          <w:rFonts w:ascii="SimSun" w:hAnsi="SimSun" w:eastAsia="SimSun" w:cs="SimSun"/>
          <w:sz w:val="24"/>
          <w:szCs w:val="24"/>
          <w:spacing w:val="-2"/>
        </w:rPr>
        <w:t>个，为小型饮食单位，根据同等</w:t>
      </w:r>
      <w:r>
        <w:rPr>
          <w:rFonts w:ascii="SimSun" w:hAnsi="SimSun" w:eastAsia="SimSun" w:cs="SimSun"/>
          <w:sz w:val="24"/>
          <w:szCs w:val="24"/>
          <w:spacing w:val="-1"/>
        </w:rPr>
        <w:t>规模的食堂调查结果，最大用油量按</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0.05kg/</w:t>
      </w:r>
      <w:r>
        <w:rPr>
          <w:rFonts w:ascii="SimSun" w:hAnsi="SimSun" w:eastAsia="SimSun" w:cs="SimSun"/>
          <w:sz w:val="24"/>
          <w:szCs w:val="24"/>
          <w:spacing w:val="-1"/>
        </w:rPr>
        <w:t>人</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1"/>
        </w:rPr>
        <w:t>计算，则每小时最大用油量约为</w:t>
      </w:r>
      <w:r>
        <w:rPr>
          <w:rFonts w:ascii="Times New Roman" w:hAnsi="Times New Roman" w:eastAsia="Times New Roman" w:cs="Times New Roman"/>
          <w:sz w:val="24"/>
          <w:szCs w:val="24"/>
          <w:spacing w:val="-2"/>
        </w:rPr>
        <w:t>0.25kg/h</w:t>
      </w:r>
      <w:r>
        <w:rPr>
          <w:rFonts w:ascii="SimSun" w:hAnsi="SimSun" w:eastAsia="SimSun" w:cs="SimSun"/>
          <w:sz w:val="24"/>
          <w:szCs w:val="24"/>
          <w:spacing w:val="-2"/>
        </w:rPr>
        <w:t>，油烟产生速率为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0.0025k</w:t>
      </w:r>
      <w:r>
        <w:rPr>
          <w:rFonts w:ascii="Times New Roman" w:hAnsi="Times New Roman" w:eastAsia="Times New Roman" w:cs="Times New Roman"/>
          <w:sz w:val="24"/>
          <w:szCs w:val="24"/>
          <w:spacing w:val="-3"/>
        </w:rPr>
        <w:t>g/h</w:t>
      </w:r>
      <w:r>
        <w:rPr>
          <w:rFonts w:ascii="SimSun" w:hAnsi="SimSun" w:eastAsia="SimSun" w:cs="SimSun"/>
          <w:sz w:val="24"/>
          <w:szCs w:val="24"/>
          <w:spacing w:val="-3"/>
        </w:rPr>
        <w:t>，按每天做饭时间为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3"/>
        </w:rPr>
        <w:t>2h</w:t>
      </w:r>
      <w:r>
        <w:rPr>
          <w:rFonts w:ascii="SimSun" w:hAnsi="SimSun" w:eastAsia="SimSun" w:cs="SimSun"/>
          <w:sz w:val="24"/>
          <w:szCs w:val="24"/>
          <w:spacing w:val="-3"/>
        </w:rPr>
        <w:t>，全年</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365d</w:t>
      </w:r>
      <w:r>
        <w:rPr>
          <w:rFonts w:ascii="SimSun" w:hAnsi="SimSun" w:eastAsia="SimSun" w:cs="SimSun"/>
          <w:sz w:val="24"/>
          <w:szCs w:val="24"/>
          <w:spacing w:val="-3"/>
        </w:rPr>
        <w:t>，故全年</w:t>
      </w:r>
      <w:r>
        <w:rPr>
          <w:rFonts w:ascii="SimSun" w:hAnsi="SimSun" w:eastAsia="SimSun" w:cs="SimSun"/>
          <w:sz w:val="24"/>
          <w:szCs w:val="24"/>
          <w:spacing w:val="7"/>
        </w:rPr>
        <w:t>油烟最大产生量为</w:t>
      </w:r>
      <w:r>
        <w:rPr>
          <w:rFonts w:ascii="SimSun" w:hAnsi="SimSun" w:eastAsia="SimSun" w:cs="SimSun"/>
          <w:sz w:val="24"/>
          <w:szCs w:val="24"/>
          <w:spacing w:val="64"/>
        </w:rPr>
        <w:t xml:space="preserve"> </w:t>
      </w:r>
      <w:r>
        <w:rPr>
          <w:rFonts w:ascii="Times New Roman" w:hAnsi="Times New Roman" w:eastAsia="Times New Roman" w:cs="Times New Roman"/>
          <w:sz w:val="24"/>
          <w:szCs w:val="24"/>
          <w:spacing w:val="7"/>
        </w:rPr>
        <w:t>1.83</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7"/>
        </w:rPr>
        <w:t>/a</w:t>
      </w:r>
      <w:r>
        <w:rPr>
          <w:rFonts w:ascii="SimSun" w:hAnsi="SimSun" w:eastAsia="SimSun" w:cs="SimSun"/>
          <w:sz w:val="24"/>
          <w:szCs w:val="24"/>
          <w:spacing w:val="7"/>
        </w:rPr>
        <w:t>，</w:t>
      </w:r>
      <w:r>
        <w:rPr>
          <w:rFonts w:ascii="SimSun" w:hAnsi="SimSun" w:eastAsia="SimSun" w:cs="SimSun"/>
          <w:sz w:val="24"/>
          <w:szCs w:val="24"/>
          <w:spacing w:val="-69"/>
        </w:rPr>
        <w:t xml:space="preserve"> </w:t>
      </w:r>
      <w:r>
        <w:rPr>
          <w:rFonts w:ascii="SimSun" w:hAnsi="SimSun" w:eastAsia="SimSun" w:cs="SimSun"/>
          <w:sz w:val="24"/>
          <w:szCs w:val="24"/>
          <w:spacing w:val="7"/>
        </w:rPr>
        <w:t>油烟机的排风量为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7"/>
        </w:rPr>
        <w:t>1000m</w:t>
      </w:r>
      <w:r>
        <w:rPr>
          <w:rFonts w:ascii="Times New Roman" w:hAnsi="Times New Roman" w:eastAsia="Times New Roman" w:cs="Times New Roman"/>
          <w:sz w:val="16"/>
          <w:szCs w:val="16"/>
          <w:spacing w:val="7"/>
          <w:position w:val="10"/>
        </w:rPr>
        <w:t>3</w:t>
      </w:r>
      <w:r>
        <w:rPr>
          <w:rFonts w:ascii="Times New Roman" w:hAnsi="Times New Roman" w:eastAsia="Times New Roman" w:cs="Times New Roman"/>
          <w:sz w:val="24"/>
          <w:szCs w:val="24"/>
          <w:spacing w:val="7"/>
        </w:rPr>
        <w:t>/h</w:t>
      </w:r>
      <w:r>
        <w:rPr>
          <w:rFonts w:ascii="SimSun" w:hAnsi="SimSun" w:eastAsia="SimSun" w:cs="SimSun"/>
          <w:sz w:val="24"/>
          <w:szCs w:val="24"/>
          <w:spacing w:val="7"/>
        </w:rPr>
        <w:t>，</w:t>
      </w:r>
      <w:r>
        <w:rPr>
          <w:rFonts w:ascii="SimSun" w:hAnsi="SimSun" w:eastAsia="SimSun" w:cs="SimSun"/>
          <w:sz w:val="24"/>
          <w:szCs w:val="24"/>
          <w:spacing w:val="-69"/>
        </w:rPr>
        <w:t xml:space="preserve"> </w:t>
      </w:r>
      <w:r>
        <w:rPr>
          <w:rFonts w:ascii="SimSun" w:hAnsi="SimSun" w:eastAsia="SimSun" w:cs="SimSun"/>
          <w:sz w:val="24"/>
          <w:szCs w:val="24"/>
          <w:spacing w:val="7"/>
        </w:rPr>
        <w:t>油烟产生浓度为</w:t>
      </w:r>
      <w:r>
        <w:rPr>
          <w:rFonts w:ascii="Times New Roman" w:hAnsi="Times New Roman" w:eastAsia="Times New Roman" w:cs="Times New Roman"/>
          <w:sz w:val="24"/>
          <w:szCs w:val="24"/>
          <w:spacing w:val="-2"/>
        </w:rPr>
        <w:t>1.83mg/m</w:t>
      </w:r>
      <w:r>
        <w:rPr>
          <w:rFonts w:ascii="Times New Roman" w:hAnsi="Times New Roman" w:eastAsia="Times New Roman" w:cs="Times New Roman"/>
          <w:sz w:val="16"/>
          <w:szCs w:val="16"/>
          <w:spacing w:val="-2"/>
          <w:position w:val="10"/>
        </w:rPr>
        <w:t>3</w:t>
      </w:r>
      <w:r>
        <w:rPr>
          <w:rFonts w:ascii="SimSun" w:hAnsi="SimSun" w:eastAsia="SimSun" w:cs="SimSun"/>
          <w:sz w:val="24"/>
          <w:szCs w:val="24"/>
          <w:spacing w:val="-2"/>
        </w:rPr>
        <w:t>，采用油烟净化器（除烟效率</w:t>
      </w:r>
      <w:r>
        <w:rPr>
          <w:rFonts w:ascii="Times New Roman" w:hAnsi="Times New Roman" w:eastAsia="Times New Roman" w:cs="Times New Roman"/>
          <w:sz w:val="24"/>
          <w:szCs w:val="24"/>
          <w:spacing w:val="-2"/>
        </w:rPr>
        <w:t>≥60%</w:t>
      </w:r>
      <w:r>
        <w:rPr>
          <w:rFonts w:ascii="SimSun" w:hAnsi="SimSun" w:eastAsia="SimSun" w:cs="SimSun"/>
          <w:sz w:val="24"/>
          <w:szCs w:val="24"/>
          <w:spacing w:val="-2"/>
        </w:rPr>
        <w:t>）进行处理</w:t>
      </w:r>
      <w:r>
        <w:rPr>
          <w:rFonts w:ascii="SimSun" w:hAnsi="SimSun" w:eastAsia="SimSun" w:cs="SimSun"/>
          <w:sz w:val="24"/>
          <w:szCs w:val="24"/>
          <w:spacing w:val="-3"/>
        </w:rPr>
        <w:t>，经处理后油烟排放量为</w:t>
      </w:r>
      <w:r>
        <w:rPr>
          <w:rFonts w:ascii="Times New Roman" w:hAnsi="Times New Roman" w:eastAsia="Times New Roman" w:cs="Times New Roman"/>
          <w:sz w:val="24"/>
          <w:szCs w:val="24"/>
          <w:spacing w:val="11"/>
        </w:rPr>
        <w:t>0.73</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11"/>
        </w:rPr>
        <w:t>/a</w:t>
      </w:r>
      <w:r>
        <w:rPr>
          <w:rFonts w:ascii="SimSun" w:hAnsi="SimSun" w:eastAsia="SimSun" w:cs="SimSun"/>
          <w:sz w:val="24"/>
          <w:szCs w:val="24"/>
          <w:spacing w:val="11"/>
        </w:rPr>
        <w:t>，排放速率为</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11"/>
        </w:rPr>
        <w:t>0.001</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11"/>
        </w:rPr>
        <w:t>/h</w:t>
      </w:r>
      <w:r>
        <w:rPr>
          <w:rFonts w:ascii="SimSun" w:hAnsi="SimSun" w:eastAsia="SimSun" w:cs="SimSun"/>
          <w:sz w:val="24"/>
          <w:szCs w:val="24"/>
          <w:spacing w:val="11"/>
        </w:rPr>
        <w:t>，油烟排放浓度为</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11"/>
        </w:rPr>
        <w:t>0.73</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1"/>
        </w:rPr>
        <w:t>/m</w:t>
      </w:r>
      <w:r>
        <w:rPr>
          <w:rFonts w:ascii="Times New Roman" w:hAnsi="Times New Roman" w:eastAsia="Times New Roman" w:cs="Times New Roman"/>
          <w:sz w:val="16"/>
          <w:szCs w:val="16"/>
          <w:spacing w:val="11"/>
          <w:position w:val="10"/>
        </w:rPr>
        <w:t>3</w:t>
      </w:r>
      <w:r>
        <w:rPr>
          <w:rFonts w:ascii="Times New Roman" w:hAnsi="Times New Roman" w:eastAsia="Times New Roman" w:cs="Times New Roman"/>
          <w:sz w:val="16"/>
          <w:szCs w:val="16"/>
          <w:spacing w:val="31"/>
          <w:position w:val="10"/>
        </w:rPr>
        <w:t xml:space="preserve"> </w:t>
      </w:r>
      <w:r>
        <w:rPr>
          <w:rFonts w:ascii="SimSun" w:hAnsi="SimSun" w:eastAsia="SimSun" w:cs="SimSun"/>
          <w:sz w:val="24"/>
          <w:szCs w:val="24"/>
          <w:spacing w:val="11"/>
        </w:rPr>
        <w:t>，</w:t>
      </w:r>
      <w:r>
        <w:rPr>
          <w:rFonts w:ascii="SimSun" w:hAnsi="SimSun" w:eastAsia="SimSun" w:cs="SimSun"/>
          <w:sz w:val="24"/>
          <w:szCs w:val="24"/>
          <w:spacing w:val="-61"/>
        </w:rPr>
        <w:t xml:space="preserve"> </w:t>
      </w:r>
      <w:r>
        <w:rPr>
          <w:rFonts w:ascii="SimSun" w:hAnsi="SimSun" w:eastAsia="SimSun" w:cs="SimSun"/>
          <w:sz w:val="24"/>
          <w:szCs w:val="24"/>
          <w:spacing w:val="11"/>
        </w:rPr>
        <w:t>能</w:t>
      </w:r>
      <w:r>
        <w:rPr>
          <w:rFonts w:ascii="SimSun" w:hAnsi="SimSun" w:eastAsia="SimSun" w:cs="SimSun"/>
          <w:sz w:val="24"/>
          <w:szCs w:val="24"/>
          <w:spacing w:val="-71"/>
        </w:rPr>
        <w:t xml:space="preserve"> </w:t>
      </w:r>
      <w:r>
        <w:rPr>
          <w:rFonts w:ascii="SimSun" w:hAnsi="SimSun" w:eastAsia="SimSun" w:cs="SimSun"/>
          <w:sz w:val="24"/>
          <w:szCs w:val="24"/>
          <w:spacing w:val="11"/>
        </w:rPr>
        <w:t>够</w:t>
      </w:r>
      <w:r>
        <w:rPr>
          <w:rFonts w:ascii="SimSun" w:hAnsi="SimSun" w:eastAsia="SimSun" w:cs="SimSun"/>
          <w:sz w:val="24"/>
          <w:szCs w:val="24"/>
          <w:spacing w:val="-70"/>
        </w:rPr>
        <w:t xml:space="preserve"> </w:t>
      </w:r>
      <w:r>
        <w:rPr>
          <w:rFonts w:ascii="SimSun" w:hAnsi="SimSun" w:eastAsia="SimSun" w:cs="SimSun"/>
          <w:sz w:val="24"/>
          <w:szCs w:val="24"/>
          <w:spacing w:val="11"/>
        </w:rPr>
        <w:t>满</w:t>
      </w:r>
      <w:r>
        <w:rPr>
          <w:rFonts w:ascii="SimSun" w:hAnsi="SimSun" w:eastAsia="SimSun" w:cs="SimSun"/>
          <w:sz w:val="24"/>
          <w:szCs w:val="24"/>
          <w:spacing w:val="-67"/>
        </w:rPr>
        <w:t xml:space="preserve"> </w:t>
      </w:r>
      <w:r>
        <w:rPr>
          <w:rFonts w:ascii="SimSun" w:hAnsi="SimSun" w:eastAsia="SimSun" w:cs="SimSun"/>
          <w:sz w:val="24"/>
          <w:szCs w:val="24"/>
          <w:spacing w:val="11"/>
        </w:rPr>
        <w:t>足</w:t>
      </w:r>
      <w:r>
        <w:rPr>
          <w:rFonts w:ascii="Times New Roman" w:hAnsi="Times New Roman" w:eastAsia="Times New Roman" w:cs="Times New Roman"/>
          <w:sz w:val="24"/>
          <w:szCs w:val="24"/>
        </w:rPr>
        <w:t>GB18483—2001</w:t>
      </w:r>
      <w:r>
        <w:rPr>
          <w:rFonts w:ascii="SimSun" w:hAnsi="SimSun" w:eastAsia="SimSun" w:cs="SimSun"/>
          <w:sz w:val="24"/>
          <w:szCs w:val="24"/>
        </w:rPr>
        <w:t>《饮食业油烟排放标准》（试行）中的</w:t>
      </w:r>
      <w:r>
        <w:rPr>
          <w:rFonts w:ascii="SimSun" w:hAnsi="SimSun" w:eastAsia="SimSun" w:cs="SimSun"/>
          <w:sz w:val="24"/>
          <w:szCs w:val="24"/>
          <w:spacing w:val="-1"/>
        </w:rPr>
        <w:t>最高允许排放浓度</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1"/>
        </w:rPr>
        <w:t>2mg/m</w:t>
      </w:r>
      <w:r>
        <w:rPr>
          <w:rFonts w:ascii="Times New Roman" w:hAnsi="Times New Roman" w:eastAsia="Times New Roman" w:cs="Times New Roman"/>
          <w:sz w:val="16"/>
          <w:szCs w:val="16"/>
          <w:spacing w:val="-1"/>
          <w:position w:val="10"/>
        </w:rPr>
        <w:t>3</w:t>
      </w:r>
      <w:r>
        <w:rPr>
          <w:rFonts w:ascii="SimSun" w:hAnsi="SimSun" w:eastAsia="SimSun" w:cs="SimSun"/>
          <w:sz w:val="24"/>
          <w:szCs w:val="24"/>
          <w:spacing w:val="-1"/>
        </w:rPr>
        <w:t>限值要求，烟气经室内烟道高空外排，排气筒高度</w:t>
      </w:r>
      <w:r>
        <w:rPr>
          <w:rFonts w:ascii="SimSun" w:hAnsi="SimSun" w:eastAsia="SimSun" w:cs="SimSun"/>
          <w:sz w:val="24"/>
          <w:szCs w:val="24"/>
          <w:spacing w:val="-2"/>
        </w:rPr>
        <w:t>应高出屋顶</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2"/>
        </w:rPr>
        <w:t>1m</w:t>
      </w:r>
      <w:r>
        <w:rPr>
          <w:rFonts w:ascii="SimSun" w:hAnsi="SimSun" w:eastAsia="SimSun" w:cs="SimSun"/>
          <w:sz w:val="24"/>
          <w:szCs w:val="24"/>
          <w:spacing w:val="-2"/>
        </w:rPr>
        <w:t>。</w:t>
      </w:r>
    </w:p>
    <w:p>
      <w:pPr>
        <w:ind w:left="111"/>
        <w:spacing w:before="277" w:line="234" w:lineRule="auto"/>
        <w:rPr>
          <w:rFonts w:ascii="SimSun" w:hAnsi="SimSun" w:eastAsia="SimSun" w:cs="SimSun"/>
          <w:sz w:val="24"/>
          <w:szCs w:val="24"/>
        </w:rPr>
      </w:pPr>
      <w:r>
        <w:rPr>
          <w:rFonts w:ascii="Times New Roman" w:hAnsi="Times New Roman" w:eastAsia="Times New Roman" w:cs="Times New Roman"/>
          <w:sz w:val="24"/>
          <w:szCs w:val="24"/>
          <w:b/>
          <w:bCs/>
          <w:spacing w:val="-3"/>
        </w:rPr>
        <w:t>3.3.3</w:t>
      </w:r>
      <w:r>
        <w:rPr>
          <w:rFonts w:ascii="Times New Roman" w:hAnsi="Times New Roman" w:eastAsia="Times New Roman" w:cs="Times New Roman"/>
          <w:sz w:val="24"/>
          <w:szCs w:val="24"/>
          <w:b/>
          <w:bCs/>
          <w:spacing w:val="22"/>
        </w:rPr>
        <w:t xml:space="preserve"> </w:t>
      </w:r>
      <w:r>
        <w:rPr>
          <w:rFonts w:ascii="SimSun" w:hAnsi="SimSun" w:eastAsia="SimSun" w:cs="SimSun"/>
          <w:sz w:val="24"/>
          <w:szCs w:val="24"/>
          <w:b/>
          <w:bCs/>
          <w:spacing w:val="-3"/>
        </w:rPr>
        <w:t>噪声</w:t>
      </w:r>
    </w:p>
    <w:p>
      <w:pPr>
        <w:pStyle w:val="BodyText"/>
        <w:spacing w:line="339" w:lineRule="auto"/>
        <w:rPr/>
      </w:pPr>
      <w:r/>
    </w:p>
    <w:p>
      <w:pPr>
        <w:ind w:left="119" w:right="1" w:firstLine="478"/>
        <w:spacing w:before="79" w:line="361" w:lineRule="auto"/>
        <w:rPr>
          <w:rFonts w:ascii="SimSun" w:hAnsi="SimSun" w:eastAsia="SimSun" w:cs="SimSun"/>
          <w:sz w:val="24"/>
          <w:szCs w:val="24"/>
        </w:rPr>
      </w:pPr>
      <w:r>
        <w:rPr>
          <w:rFonts w:ascii="SimSun" w:hAnsi="SimSun" w:eastAsia="SimSun" w:cs="SimSun"/>
          <w:sz w:val="24"/>
          <w:szCs w:val="24"/>
          <w:spacing w:val="-4"/>
        </w:rPr>
        <w:t>本项目产噪设备主要为生产设备、风机及泵类等噪</w:t>
      </w:r>
      <w:r>
        <w:rPr>
          <w:rFonts w:ascii="SimSun" w:hAnsi="SimSun" w:eastAsia="SimSun" w:cs="SimSun"/>
          <w:sz w:val="24"/>
          <w:szCs w:val="24"/>
          <w:spacing w:val="-5"/>
        </w:rPr>
        <w:t>声，噪声值在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70-90dB</w:t>
      </w:r>
      <w:r>
        <w:rPr>
          <w:rFonts w:ascii="SimSun" w:hAnsi="SimSun" w:eastAsia="SimSun" w:cs="SimSun"/>
          <w:sz w:val="24"/>
          <w:szCs w:val="24"/>
          <w:spacing w:val="-5"/>
        </w:rPr>
        <w:t>（</w:t>
      </w:r>
      <w:r>
        <w:rPr>
          <w:rFonts w:ascii="Times New Roman" w:hAnsi="Times New Roman" w:eastAsia="Times New Roman" w:cs="Times New Roman"/>
          <w:sz w:val="24"/>
          <w:szCs w:val="24"/>
          <w:spacing w:val="-5"/>
        </w:rPr>
        <w:t>A</w:t>
      </w:r>
      <w:r>
        <w:rPr>
          <w:rFonts w:ascii="SimSun" w:hAnsi="SimSun" w:eastAsia="SimSun" w:cs="SimSun"/>
          <w:sz w:val="24"/>
          <w:szCs w:val="24"/>
          <w:spacing w:val="-5"/>
        </w:rPr>
        <w:t>）</w:t>
      </w:r>
      <w:r>
        <w:rPr>
          <w:rFonts w:ascii="SimSun" w:hAnsi="SimSun" w:eastAsia="SimSun" w:cs="SimSun"/>
          <w:sz w:val="24"/>
          <w:szCs w:val="24"/>
          <w:spacing w:val="-2"/>
        </w:rPr>
        <w:t>之间，本项目噪声源强详见表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3-13</w:t>
      </w:r>
      <w:r>
        <w:rPr>
          <w:rFonts w:ascii="SimSun" w:hAnsi="SimSun" w:eastAsia="SimSun" w:cs="SimSun"/>
          <w:sz w:val="24"/>
          <w:szCs w:val="24"/>
          <w:spacing w:val="-2"/>
        </w:rPr>
        <w:t>。</w:t>
      </w:r>
    </w:p>
    <w:p>
      <w:pPr>
        <w:spacing w:line="361" w:lineRule="auto"/>
        <w:sectPr>
          <w:headerReference w:type="default" r:id="rId78"/>
          <w:pgSz w:w="11907" w:h="16839"/>
          <w:pgMar w:top="1390" w:right="1595" w:bottom="400" w:left="1594" w:header="1054" w:footer="0" w:gutter="0"/>
        </w:sectPr>
        <w:rPr>
          <w:rFonts w:ascii="SimSun" w:hAnsi="SimSun" w:eastAsia="SimSun" w:cs="SimSun"/>
          <w:sz w:val="24"/>
          <w:szCs w:val="24"/>
        </w:rPr>
      </w:pPr>
    </w:p>
    <w:p>
      <w:pPr>
        <w:pStyle w:val="BodyText"/>
        <w:spacing w:line="337" w:lineRule="auto"/>
        <w:rPr/>
      </w:pPr>
      <w:r/>
    </w:p>
    <w:p>
      <w:pPr>
        <w:pStyle w:val="BodyText"/>
        <w:spacing w:line="338" w:lineRule="auto"/>
        <w:rPr/>
      </w:pPr>
      <w:r/>
    </w:p>
    <w:p>
      <w:pPr>
        <w:ind w:left="4516"/>
        <w:spacing w:before="78" w:line="214" w:lineRule="auto"/>
        <w:rPr>
          <w:rFonts w:ascii="SimSun" w:hAnsi="SimSun" w:eastAsia="SimSun" w:cs="SimSun"/>
          <w:sz w:val="24"/>
          <w:szCs w:val="24"/>
        </w:rPr>
      </w:pPr>
      <w:r>
        <w:rPr>
          <w:rFonts w:ascii="SimSun" w:hAnsi="SimSun" w:eastAsia="SimSun" w:cs="SimSun"/>
          <w:sz w:val="24"/>
          <w:szCs w:val="24"/>
          <w:b/>
          <w:bCs/>
          <w:spacing w:val="-1"/>
        </w:rPr>
        <w:t>表</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1"/>
        </w:rPr>
        <w:t>3-13    </w:t>
      </w:r>
      <w:r>
        <w:rPr>
          <w:rFonts w:ascii="SimSun" w:hAnsi="SimSun" w:eastAsia="SimSun" w:cs="SimSun"/>
          <w:sz w:val="24"/>
          <w:szCs w:val="24"/>
          <w:b/>
          <w:bCs/>
          <w:spacing w:val="-1"/>
        </w:rPr>
        <w:t>项目噪声源强一览表</w:t>
      </w:r>
      <w:r>
        <w:rPr>
          <w:rFonts w:ascii="SimSun" w:hAnsi="SimSun" w:eastAsia="SimSun" w:cs="SimSun"/>
          <w:sz w:val="24"/>
          <w:szCs w:val="24"/>
          <w:spacing w:val="-1"/>
        </w:rPr>
        <w:t xml:space="preserve">   </w:t>
      </w:r>
      <w:r>
        <w:rPr>
          <w:rFonts w:ascii="SimSun" w:hAnsi="SimSun" w:eastAsia="SimSun" w:cs="SimSun"/>
          <w:sz w:val="24"/>
          <w:szCs w:val="24"/>
          <w:b/>
          <w:bCs/>
          <w:spacing w:val="-1"/>
        </w:rPr>
        <w:t>单</w:t>
      </w:r>
      <w:r>
        <w:rPr>
          <w:rFonts w:ascii="SimSun" w:hAnsi="SimSun" w:eastAsia="SimSun" w:cs="SimSun"/>
          <w:sz w:val="24"/>
          <w:szCs w:val="24"/>
          <w:b/>
          <w:bCs/>
          <w:spacing w:val="-2"/>
        </w:rPr>
        <w:t>位：</w:t>
      </w:r>
      <w:r>
        <w:rPr>
          <w:rFonts w:ascii="Times New Roman" w:hAnsi="Times New Roman" w:eastAsia="Times New Roman" w:cs="Times New Roman"/>
          <w:sz w:val="24"/>
          <w:szCs w:val="24"/>
          <w:b/>
          <w:bCs/>
          <w:spacing w:val="-2"/>
        </w:rPr>
        <w:t>dB</w:t>
      </w:r>
      <w:r>
        <w:rPr>
          <w:rFonts w:ascii="SimSun" w:hAnsi="SimSun" w:eastAsia="SimSun" w:cs="SimSun"/>
          <w:sz w:val="24"/>
          <w:szCs w:val="24"/>
          <w:b/>
          <w:bCs/>
          <w:spacing w:val="-2"/>
        </w:rPr>
        <w:t>（</w:t>
      </w:r>
      <w:r>
        <w:rPr>
          <w:rFonts w:ascii="Times New Roman" w:hAnsi="Times New Roman" w:eastAsia="Times New Roman" w:cs="Times New Roman"/>
          <w:sz w:val="24"/>
          <w:szCs w:val="24"/>
          <w:b/>
          <w:bCs/>
          <w:spacing w:val="-2"/>
        </w:rPr>
        <w:t>A</w:t>
      </w:r>
      <w:r>
        <w:rPr>
          <w:rFonts w:ascii="SimSun" w:hAnsi="SimSun" w:eastAsia="SimSun" w:cs="SimSun"/>
          <w:sz w:val="24"/>
          <w:szCs w:val="24"/>
          <w:b/>
          <w:bCs/>
          <w:spacing w:val="-2"/>
        </w:rPr>
        <w:t>）</w:t>
      </w:r>
    </w:p>
    <w:tbl>
      <w:tblPr>
        <w:tblStyle w:val="TableNormal"/>
        <w:tblW w:w="1419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12"/>
        <w:gridCol w:w="1178"/>
        <w:gridCol w:w="1001"/>
        <w:gridCol w:w="1263"/>
        <w:gridCol w:w="2561"/>
        <w:gridCol w:w="1020"/>
        <w:gridCol w:w="1466"/>
        <w:gridCol w:w="698"/>
        <w:gridCol w:w="1568"/>
        <w:gridCol w:w="1162"/>
        <w:gridCol w:w="499"/>
        <w:gridCol w:w="1262"/>
      </w:tblGrid>
      <w:tr>
        <w:trPr>
          <w:trHeight w:val="473" w:hRule="atLeast"/>
        </w:trPr>
        <w:tc>
          <w:tcPr>
            <w:tcW w:w="512" w:type="dxa"/>
            <w:vAlign w:val="top"/>
            <w:vMerge w:val="restart"/>
            <w:textDirection w:val="tbRlV"/>
            <w:tcBorders>
              <w:top w:val="single" w:color="000000" w:sz="10" w:space="0"/>
              <w:left w:val="nil"/>
              <w:bottom w:val="nil"/>
            </w:tcBorders>
          </w:tcPr>
          <w:p>
            <w:pPr>
              <w:pStyle w:val="TableText"/>
              <w:ind w:left="269"/>
              <w:spacing w:before="156" w:line="210" w:lineRule="auto"/>
              <w:rPr>
                <w:sz w:val="18"/>
                <w:szCs w:val="18"/>
              </w:rPr>
            </w:pPr>
            <w:r>
              <w:rPr>
                <w:sz w:val="18"/>
                <w:szCs w:val="18"/>
                <w:b/>
                <w:bCs/>
                <w:spacing w:val="24"/>
              </w:rPr>
              <w:t>序号</w:t>
            </w:r>
          </w:p>
        </w:tc>
        <w:tc>
          <w:tcPr>
            <w:tcW w:w="1178" w:type="dxa"/>
            <w:vAlign w:val="top"/>
            <w:vMerge w:val="restart"/>
            <w:tcBorders>
              <w:top w:val="single" w:color="000000" w:sz="10" w:space="0"/>
              <w:bottom w:val="nil"/>
            </w:tcBorders>
          </w:tcPr>
          <w:p>
            <w:pPr>
              <w:spacing w:line="323" w:lineRule="auto"/>
              <w:rPr>
                <w:rFonts w:ascii="Arial"/>
                <w:sz w:val="21"/>
              </w:rPr>
            </w:pPr>
            <w:r/>
          </w:p>
          <w:p>
            <w:pPr>
              <w:pStyle w:val="TableText"/>
              <w:ind w:left="425"/>
              <w:spacing w:before="58" w:line="220" w:lineRule="auto"/>
              <w:rPr>
                <w:sz w:val="18"/>
                <w:szCs w:val="18"/>
              </w:rPr>
            </w:pPr>
            <w:r>
              <w:rPr>
                <w:sz w:val="18"/>
                <w:szCs w:val="18"/>
                <w:b/>
                <w:bCs/>
                <w:spacing w:val="-7"/>
              </w:rPr>
              <w:t>区域</w:t>
            </w:r>
          </w:p>
        </w:tc>
        <w:tc>
          <w:tcPr>
            <w:tcW w:w="1001" w:type="dxa"/>
            <w:vAlign w:val="top"/>
            <w:vMerge w:val="restart"/>
            <w:tcBorders>
              <w:top w:val="single" w:color="000000" w:sz="10" w:space="0"/>
              <w:bottom w:val="nil"/>
            </w:tcBorders>
          </w:tcPr>
          <w:p>
            <w:pPr>
              <w:spacing w:line="324" w:lineRule="auto"/>
              <w:rPr>
                <w:rFonts w:ascii="Arial"/>
                <w:sz w:val="21"/>
              </w:rPr>
            </w:pPr>
            <w:r/>
          </w:p>
          <w:p>
            <w:pPr>
              <w:pStyle w:val="TableText"/>
              <w:ind w:left="147"/>
              <w:spacing w:before="58" w:line="220" w:lineRule="auto"/>
              <w:rPr>
                <w:sz w:val="18"/>
                <w:szCs w:val="18"/>
              </w:rPr>
            </w:pPr>
            <w:r>
              <w:rPr>
                <w:sz w:val="18"/>
                <w:szCs w:val="18"/>
                <w:b/>
                <w:bCs/>
                <w:spacing w:val="-4"/>
              </w:rPr>
              <w:t>声源名称</w:t>
            </w:r>
          </w:p>
        </w:tc>
        <w:tc>
          <w:tcPr>
            <w:tcW w:w="1263" w:type="dxa"/>
            <w:vAlign w:val="top"/>
            <w:vMerge w:val="restart"/>
            <w:tcBorders>
              <w:top w:val="single" w:color="000000" w:sz="10" w:space="0"/>
              <w:bottom w:val="nil"/>
            </w:tcBorders>
          </w:tcPr>
          <w:p>
            <w:pPr>
              <w:pStyle w:val="TableText"/>
              <w:ind w:left="142"/>
              <w:spacing w:before="268" w:line="220" w:lineRule="auto"/>
              <w:rPr>
                <w:rFonts w:ascii="Times New Roman" w:hAnsi="Times New Roman" w:eastAsia="Times New Roman" w:cs="Times New Roman"/>
                <w:sz w:val="18"/>
                <w:szCs w:val="18"/>
              </w:rPr>
            </w:pPr>
            <w:r>
              <w:rPr>
                <w:sz w:val="18"/>
                <w:szCs w:val="18"/>
                <w:b/>
                <w:bCs/>
                <w:spacing w:val="-2"/>
              </w:rPr>
              <w:t>声功率级</w:t>
            </w:r>
            <w:r>
              <w:rPr>
                <w:rFonts w:ascii="Times New Roman" w:hAnsi="Times New Roman" w:eastAsia="Times New Roman" w:cs="Times New Roman"/>
                <w:sz w:val="18"/>
                <w:szCs w:val="18"/>
                <w:b/>
                <w:bCs/>
                <w:spacing w:val="-2"/>
              </w:rPr>
              <w:t>/dB</w:t>
            </w:r>
          </w:p>
          <w:p>
            <w:pPr>
              <w:pStyle w:val="TableText"/>
              <w:ind w:left="393"/>
              <w:spacing w:before="18" w:line="232" w:lineRule="auto"/>
              <w:rPr>
                <w:sz w:val="18"/>
                <w:szCs w:val="18"/>
              </w:rPr>
            </w:pPr>
            <w:r>
              <w:rPr>
                <w:sz w:val="18"/>
                <w:szCs w:val="18"/>
                <w:b/>
                <w:bCs/>
                <w:spacing w:val="-5"/>
              </w:rPr>
              <w:t>（</w:t>
            </w:r>
            <w:r>
              <w:rPr>
                <w:rFonts w:ascii="Times New Roman" w:hAnsi="Times New Roman" w:eastAsia="Times New Roman" w:cs="Times New Roman"/>
                <w:sz w:val="18"/>
                <w:szCs w:val="18"/>
                <w:b/>
                <w:bCs/>
                <w:spacing w:val="-5"/>
              </w:rPr>
              <w:t>A</w:t>
            </w:r>
            <w:r>
              <w:rPr>
                <w:sz w:val="18"/>
                <w:szCs w:val="18"/>
                <w:b/>
                <w:bCs/>
                <w:spacing w:val="-5"/>
              </w:rPr>
              <w:t>）</w:t>
            </w:r>
          </w:p>
        </w:tc>
        <w:tc>
          <w:tcPr>
            <w:tcW w:w="2561" w:type="dxa"/>
            <w:vAlign w:val="top"/>
            <w:vMerge w:val="restart"/>
            <w:tcBorders>
              <w:top w:val="single" w:color="000000" w:sz="10" w:space="0"/>
              <w:bottom w:val="nil"/>
            </w:tcBorders>
          </w:tcPr>
          <w:p>
            <w:pPr>
              <w:spacing w:line="324" w:lineRule="auto"/>
              <w:rPr>
                <w:rFonts w:ascii="Arial"/>
                <w:sz w:val="21"/>
              </w:rPr>
            </w:pPr>
            <w:r/>
          </w:p>
          <w:p>
            <w:pPr>
              <w:pStyle w:val="TableText"/>
              <w:ind w:left="744"/>
              <w:spacing w:before="58" w:line="220" w:lineRule="auto"/>
              <w:rPr>
                <w:sz w:val="18"/>
                <w:szCs w:val="18"/>
              </w:rPr>
            </w:pPr>
            <w:r>
              <w:rPr>
                <w:sz w:val="18"/>
                <w:szCs w:val="18"/>
                <w:b/>
                <w:bCs/>
                <w:spacing w:val="-3"/>
              </w:rPr>
              <w:t>声源控制措施</w:t>
            </w:r>
          </w:p>
        </w:tc>
        <w:tc>
          <w:tcPr>
            <w:tcW w:w="1020" w:type="dxa"/>
            <w:vAlign w:val="top"/>
            <w:vMerge w:val="restart"/>
            <w:tcBorders>
              <w:top w:val="single" w:color="000000" w:sz="10" w:space="0"/>
              <w:bottom w:val="nil"/>
            </w:tcBorders>
          </w:tcPr>
          <w:p>
            <w:pPr>
              <w:pStyle w:val="TableText"/>
              <w:ind w:left="231" w:right="149" w:hanging="78"/>
              <w:spacing w:before="268" w:line="247" w:lineRule="auto"/>
              <w:rPr>
                <w:rFonts w:ascii="Times New Roman" w:hAnsi="Times New Roman" w:eastAsia="Times New Roman" w:cs="Times New Roman"/>
                <w:sz w:val="18"/>
                <w:szCs w:val="18"/>
              </w:rPr>
            </w:pPr>
            <w:r>
              <w:rPr>
                <w:sz w:val="18"/>
                <w:szCs w:val="18"/>
                <w:b/>
                <w:bCs/>
                <w:spacing w:val="-4"/>
              </w:rPr>
              <w:t>室内边界</w:t>
            </w:r>
            <w:r>
              <w:rPr>
                <w:sz w:val="18"/>
                <w:szCs w:val="18"/>
                <w:b/>
                <w:bCs/>
                <w:spacing w:val="-2"/>
              </w:rPr>
              <w:t>距离</w:t>
            </w:r>
            <w:r>
              <w:rPr>
                <w:rFonts w:ascii="Times New Roman" w:hAnsi="Times New Roman" w:eastAsia="Times New Roman" w:cs="Times New Roman"/>
                <w:sz w:val="18"/>
                <w:szCs w:val="18"/>
                <w:b/>
                <w:bCs/>
                <w:spacing w:val="-2"/>
              </w:rPr>
              <w:t>/m</w:t>
            </w:r>
          </w:p>
        </w:tc>
        <w:tc>
          <w:tcPr>
            <w:tcW w:w="1466" w:type="dxa"/>
            <w:vAlign w:val="top"/>
            <w:vMerge w:val="restart"/>
            <w:tcBorders>
              <w:top w:val="single" w:color="000000" w:sz="10" w:space="0"/>
              <w:bottom w:val="nil"/>
            </w:tcBorders>
          </w:tcPr>
          <w:p>
            <w:pPr>
              <w:pStyle w:val="TableText"/>
              <w:ind w:left="348" w:right="189" w:hanging="151"/>
              <w:spacing w:before="269" w:line="247" w:lineRule="auto"/>
              <w:rPr>
                <w:sz w:val="18"/>
                <w:szCs w:val="18"/>
              </w:rPr>
            </w:pPr>
            <w:r>
              <w:rPr>
                <w:sz w:val="18"/>
                <w:szCs w:val="18"/>
                <w:b/>
                <w:bCs/>
                <w:spacing w:val="-3"/>
              </w:rPr>
              <w:t>室内边界声级</w:t>
            </w:r>
            <w:r>
              <w:rPr>
                <w:rFonts w:ascii="Times New Roman" w:hAnsi="Times New Roman" w:eastAsia="Times New Roman" w:cs="Times New Roman"/>
                <w:sz w:val="18"/>
                <w:szCs w:val="18"/>
                <w:b/>
                <w:bCs/>
                <w:spacing w:val="-1"/>
              </w:rPr>
              <w:t>/dB</w:t>
            </w:r>
            <w:r>
              <w:rPr>
                <w:sz w:val="18"/>
                <w:szCs w:val="18"/>
                <w:b/>
                <w:bCs/>
                <w:spacing w:val="-1"/>
              </w:rPr>
              <w:t>（</w:t>
            </w:r>
            <w:r>
              <w:rPr>
                <w:rFonts w:ascii="Times New Roman" w:hAnsi="Times New Roman" w:eastAsia="Times New Roman" w:cs="Times New Roman"/>
                <w:sz w:val="18"/>
                <w:szCs w:val="18"/>
                <w:b/>
                <w:bCs/>
                <w:spacing w:val="-1"/>
              </w:rPr>
              <w:t>A</w:t>
            </w:r>
            <w:r>
              <w:rPr>
                <w:sz w:val="18"/>
                <w:szCs w:val="18"/>
                <w:b/>
                <w:bCs/>
                <w:spacing w:val="-1"/>
              </w:rPr>
              <w:t>）</w:t>
            </w:r>
          </w:p>
        </w:tc>
        <w:tc>
          <w:tcPr>
            <w:tcW w:w="698" w:type="dxa"/>
            <w:vAlign w:val="top"/>
            <w:vMerge w:val="restart"/>
            <w:tcBorders>
              <w:top w:val="single" w:color="000000" w:sz="10" w:space="0"/>
              <w:bottom w:val="nil"/>
            </w:tcBorders>
          </w:tcPr>
          <w:p>
            <w:pPr>
              <w:pStyle w:val="TableText"/>
              <w:ind w:left="180" w:right="164" w:hanging="8"/>
              <w:spacing w:before="268" w:line="242" w:lineRule="auto"/>
              <w:rPr>
                <w:sz w:val="18"/>
                <w:szCs w:val="18"/>
              </w:rPr>
            </w:pPr>
            <w:r>
              <w:rPr>
                <w:sz w:val="18"/>
                <w:szCs w:val="18"/>
                <w:b/>
                <w:bCs/>
                <w:spacing w:val="-5"/>
              </w:rPr>
              <w:t>运行</w:t>
            </w:r>
            <w:r>
              <w:rPr>
                <w:sz w:val="18"/>
                <w:szCs w:val="18"/>
                <w:b/>
                <w:bCs/>
                <w:spacing w:val="-9"/>
              </w:rPr>
              <w:t>时段</w:t>
            </w:r>
          </w:p>
        </w:tc>
        <w:tc>
          <w:tcPr>
            <w:tcW w:w="1568" w:type="dxa"/>
            <w:vAlign w:val="top"/>
            <w:vMerge w:val="restart"/>
            <w:tcBorders>
              <w:top w:val="single" w:color="000000" w:sz="10" w:space="0"/>
              <w:bottom w:val="nil"/>
            </w:tcBorders>
          </w:tcPr>
          <w:p>
            <w:pPr>
              <w:pStyle w:val="TableText"/>
              <w:ind w:left="158"/>
              <w:spacing w:before="269" w:line="220" w:lineRule="auto"/>
              <w:rPr>
                <w:sz w:val="18"/>
                <w:szCs w:val="18"/>
              </w:rPr>
            </w:pPr>
            <w:r>
              <w:rPr>
                <w:sz w:val="18"/>
                <w:szCs w:val="18"/>
                <w:b/>
                <w:bCs/>
                <w:spacing w:val="-3"/>
              </w:rPr>
              <w:t>建筑物插入损失</w:t>
            </w:r>
          </w:p>
          <w:p>
            <w:pPr>
              <w:pStyle w:val="TableText"/>
              <w:ind w:left="401"/>
              <w:spacing w:before="17" w:line="232" w:lineRule="auto"/>
              <w:rPr>
                <w:sz w:val="18"/>
                <w:szCs w:val="18"/>
              </w:rPr>
            </w:pPr>
            <w:r>
              <w:rPr>
                <w:rFonts w:ascii="Times New Roman" w:hAnsi="Times New Roman" w:eastAsia="Times New Roman" w:cs="Times New Roman"/>
                <w:sz w:val="18"/>
                <w:szCs w:val="18"/>
                <w:b/>
                <w:bCs/>
                <w:spacing w:val="-1"/>
              </w:rPr>
              <w:t>/dB</w:t>
            </w:r>
            <w:r>
              <w:rPr>
                <w:sz w:val="18"/>
                <w:szCs w:val="18"/>
                <w:b/>
                <w:bCs/>
                <w:spacing w:val="-1"/>
              </w:rPr>
              <w:t>（</w:t>
            </w:r>
            <w:r>
              <w:rPr>
                <w:rFonts w:ascii="Times New Roman" w:hAnsi="Times New Roman" w:eastAsia="Times New Roman" w:cs="Times New Roman"/>
                <w:sz w:val="18"/>
                <w:szCs w:val="18"/>
                <w:b/>
                <w:bCs/>
                <w:spacing w:val="-1"/>
              </w:rPr>
              <w:t>A</w:t>
            </w:r>
            <w:r>
              <w:rPr>
                <w:sz w:val="18"/>
                <w:szCs w:val="18"/>
                <w:b/>
                <w:bCs/>
                <w:spacing w:val="-1"/>
              </w:rPr>
              <w:t>）</w:t>
            </w:r>
          </w:p>
        </w:tc>
        <w:tc>
          <w:tcPr>
            <w:tcW w:w="1162" w:type="dxa"/>
            <w:vAlign w:val="top"/>
            <w:tcBorders>
              <w:top w:val="single" w:color="000000" w:sz="10" w:space="0"/>
            </w:tcBorders>
          </w:tcPr>
          <w:p>
            <w:pPr>
              <w:pStyle w:val="TableText"/>
              <w:ind w:left="497" w:right="127" w:hanging="361"/>
              <w:spacing w:before="30" w:line="222" w:lineRule="auto"/>
              <w:rPr>
                <w:sz w:val="18"/>
                <w:szCs w:val="18"/>
              </w:rPr>
            </w:pPr>
            <w:r>
              <w:rPr>
                <w:sz w:val="18"/>
                <w:szCs w:val="18"/>
                <w:b/>
                <w:bCs/>
                <w:spacing w:val="-4"/>
              </w:rPr>
              <w:t>建筑物外噪</w:t>
            </w:r>
            <w:r>
              <w:rPr>
                <w:sz w:val="18"/>
                <w:szCs w:val="18"/>
                <w:b/>
                <w:bCs/>
                <w:spacing w:val="-2"/>
              </w:rPr>
              <w:t>声</w:t>
            </w:r>
          </w:p>
        </w:tc>
        <w:tc>
          <w:tcPr>
            <w:tcW w:w="499" w:type="dxa"/>
            <w:vAlign w:val="top"/>
            <w:vMerge w:val="restart"/>
            <w:textDirection w:val="tbRlV"/>
            <w:tcBorders>
              <w:top w:val="single" w:color="000000" w:sz="10" w:space="0"/>
              <w:bottom w:val="nil"/>
            </w:tcBorders>
          </w:tcPr>
          <w:p>
            <w:pPr>
              <w:pStyle w:val="TableText"/>
              <w:ind w:left="269"/>
              <w:spacing w:before="158" w:line="206" w:lineRule="auto"/>
              <w:rPr>
                <w:sz w:val="18"/>
                <w:szCs w:val="18"/>
              </w:rPr>
            </w:pPr>
            <w:r>
              <w:rPr>
                <w:sz w:val="18"/>
                <w:szCs w:val="18"/>
                <w:b/>
                <w:bCs/>
                <w:spacing w:val="24"/>
              </w:rPr>
              <w:t>台数</w:t>
            </w:r>
          </w:p>
        </w:tc>
        <w:tc>
          <w:tcPr>
            <w:tcW w:w="1262" w:type="dxa"/>
            <w:vAlign w:val="top"/>
            <w:vMerge w:val="restart"/>
            <w:tcBorders>
              <w:top w:val="single" w:color="000000" w:sz="10" w:space="0"/>
              <w:right w:val="nil"/>
              <w:bottom w:val="nil"/>
            </w:tcBorders>
          </w:tcPr>
          <w:p>
            <w:pPr>
              <w:pStyle w:val="TableText"/>
              <w:ind w:left="142"/>
              <w:spacing w:before="269" w:line="220" w:lineRule="auto"/>
              <w:rPr>
                <w:rFonts w:ascii="Times New Roman" w:hAnsi="Times New Roman" w:eastAsia="Times New Roman" w:cs="Times New Roman"/>
                <w:sz w:val="18"/>
                <w:szCs w:val="18"/>
              </w:rPr>
            </w:pPr>
            <w:r>
              <w:rPr>
                <w:sz w:val="18"/>
                <w:szCs w:val="18"/>
                <w:b/>
                <w:bCs/>
                <w:spacing w:val="-2"/>
              </w:rPr>
              <w:t>叠加噪声</w:t>
            </w:r>
            <w:r>
              <w:rPr>
                <w:rFonts w:ascii="Times New Roman" w:hAnsi="Times New Roman" w:eastAsia="Times New Roman" w:cs="Times New Roman"/>
                <w:sz w:val="18"/>
                <w:szCs w:val="18"/>
                <w:b/>
                <w:bCs/>
                <w:spacing w:val="-2"/>
              </w:rPr>
              <w:t>/dB</w:t>
            </w:r>
          </w:p>
          <w:p>
            <w:pPr>
              <w:pStyle w:val="TableText"/>
              <w:ind w:left="393"/>
              <w:spacing w:before="17" w:line="232" w:lineRule="auto"/>
              <w:rPr>
                <w:sz w:val="18"/>
                <w:szCs w:val="18"/>
              </w:rPr>
            </w:pPr>
            <w:r>
              <w:rPr>
                <w:sz w:val="18"/>
                <w:szCs w:val="18"/>
                <w:b/>
                <w:bCs/>
                <w:spacing w:val="-5"/>
              </w:rPr>
              <w:t>（</w:t>
            </w:r>
            <w:r>
              <w:rPr>
                <w:rFonts w:ascii="Times New Roman" w:hAnsi="Times New Roman" w:eastAsia="Times New Roman" w:cs="Times New Roman"/>
                <w:sz w:val="18"/>
                <w:szCs w:val="18"/>
                <w:b/>
                <w:bCs/>
                <w:spacing w:val="-5"/>
              </w:rPr>
              <w:t>A</w:t>
            </w:r>
            <w:r>
              <w:rPr>
                <w:sz w:val="18"/>
                <w:szCs w:val="18"/>
                <w:b/>
                <w:bCs/>
                <w:spacing w:val="-5"/>
              </w:rPr>
              <w:t>）</w:t>
            </w:r>
          </w:p>
        </w:tc>
      </w:tr>
      <w:tr>
        <w:trPr>
          <w:trHeight w:val="470" w:hRule="atLeast"/>
        </w:trPr>
        <w:tc>
          <w:tcPr>
            <w:tcW w:w="512" w:type="dxa"/>
            <w:vAlign w:val="top"/>
            <w:vMerge w:val="continue"/>
            <w:textDirection w:val="tbRlV"/>
            <w:tcBorders>
              <w:top w:val="nil"/>
              <w:left w:val="nil"/>
            </w:tcBorders>
          </w:tcPr>
          <w:p>
            <w:pPr>
              <w:rPr>
                <w:rFonts w:ascii="Arial"/>
                <w:sz w:val="21"/>
              </w:rPr>
            </w:pPr>
            <w:r/>
          </w:p>
        </w:tc>
        <w:tc>
          <w:tcPr>
            <w:tcW w:w="1178" w:type="dxa"/>
            <w:vAlign w:val="top"/>
            <w:vMerge w:val="continue"/>
            <w:tcBorders>
              <w:top w:val="nil"/>
            </w:tcBorders>
          </w:tcPr>
          <w:p>
            <w:pPr>
              <w:rPr>
                <w:rFonts w:ascii="Arial"/>
                <w:sz w:val="21"/>
              </w:rPr>
            </w:pPr>
            <w:r/>
          </w:p>
        </w:tc>
        <w:tc>
          <w:tcPr>
            <w:tcW w:w="1001" w:type="dxa"/>
            <w:vAlign w:val="top"/>
            <w:vMerge w:val="continue"/>
            <w:tcBorders>
              <w:top w:val="nil"/>
            </w:tcBorders>
          </w:tcPr>
          <w:p>
            <w:pPr>
              <w:rPr>
                <w:rFonts w:ascii="Arial"/>
                <w:sz w:val="21"/>
              </w:rPr>
            </w:pPr>
            <w:r/>
          </w:p>
        </w:tc>
        <w:tc>
          <w:tcPr>
            <w:tcW w:w="1263" w:type="dxa"/>
            <w:vAlign w:val="top"/>
            <w:vMerge w:val="continue"/>
            <w:tcBorders>
              <w:top w:val="nil"/>
            </w:tcBorders>
          </w:tcPr>
          <w:p>
            <w:pPr>
              <w:rPr>
                <w:rFonts w:ascii="Arial"/>
                <w:sz w:val="21"/>
              </w:rPr>
            </w:pPr>
            <w:r/>
          </w:p>
        </w:tc>
        <w:tc>
          <w:tcPr>
            <w:tcW w:w="2561" w:type="dxa"/>
            <w:vAlign w:val="top"/>
            <w:vMerge w:val="continue"/>
            <w:tcBorders>
              <w:top w:val="nil"/>
            </w:tcBorders>
          </w:tcPr>
          <w:p>
            <w:pPr>
              <w:rPr>
                <w:rFonts w:ascii="Arial"/>
                <w:sz w:val="21"/>
              </w:rPr>
            </w:pPr>
            <w:r/>
          </w:p>
        </w:tc>
        <w:tc>
          <w:tcPr>
            <w:tcW w:w="1020" w:type="dxa"/>
            <w:vAlign w:val="top"/>
            <w:vMerge w:val="continue"/>
            <w:tcBorders>
              <w:top w:val="nil"/>
            </w:tcBorders>
          </w:tcPr>
          <w:p>
            <w:pPr>
              <w:rPr>
                <w:rFonts w:ascii="Arial"/>
                <w:sz w:val="21"/>
              </w:rPr>
            </w:pPr>
            <w:r/>
          </w:p>
        </w:tc>
        <w:tc>
          <w:tcPr>
            <w:tcW w:w="1466" w:type="dxa"/>
            <w:vAlign w:val="top"/>
            <w:vMerge w:val="continue"/>
            <w:tcBorders>
              <w:top w:val="nil"/>
            </w:tcBorders>
          </w:tcPr>
          <w:p>
            <w:pPr>
              <w:rPr>
                <w:rFonts w:ascii="Arial"/>
                <w:sz w:val="21"/>
              </w:rPr>
            </w:pPr>
            <w:r/>
          </w:p>
        </w:tc>
        <w:tc>
          <w:tcPr>
            <w:tcW w:w="698" w:type="dxa"/>
            <w:vAlign w:val="top"/>
            <w:vMerge w:val="continue"/>
            <w:tcBorders>
              <w:top w:val="nil"/>
            </w:tcBorders>
          </w:tcPr>
          <w:p>
            <w:pPr>
              <w:rPr>
                <w:rFonts w:ascii="Arial"/>
                <w:sz w:val="21"/>
              </w:rPr>
            </w:pPr>
            <w:r/>
          </w:p>
        </w:tc>
        <w:tc>
          <w:tcPr>
            <w:tcW w:w="1568" w:type="dxa"/>
            <w:vAlign w:val="top"/>
            <w:vMerge w:val="continue"/>
            <w:tcBorders>
              <w:top w:val="nil"/>
            </w:tcBorders>
          </w:tcPr>
          <w:p>
            <w:pPr>
              <w:rPr>
                <w:rFonts w:ascii="Arial"/>
                <w:sz w:val="21"/>
              </w:rPr>
            </w:pPr>
            <w:r/>
          </w:p>
        </w:tc>
        <w:tc>
          <w:tcPr>
            <w:tcW w:w="1162" w:type="dxa"/>
            <w:vAlign w:val="top"/>
          </w:tcPr>
          <w:p>
            <w:pPr>
              <w:pStyle w:val="TableText"/>
              <w:ind w:left="342" w:right="172" w:hanging="159"/>
              <w:spacing w:before="29" w:line="221" w:lineRule="auto"/>
              <w:rPr>
                <w:sz w:val="18"/>
                <w:szCs w:val="18"/>
              </w:rPr>
            </w:pPr>
            <w:r>
              <w:rPr>
                <w:sz w:val="18"/>
                <w:szCs w:val="18"/>
                <w:b/>
                <w:bCs/>
                <w:spacing w:val="-3"/>
              </w:rPr>
              <w:t>声压级</w:t>
            </w:r>
            <w:r>
              <w:rPr>
                <w:rFonts w:ascii="Times New Roman" w:hAnsi="Times New Roman" w:eastAsia="Times New Roman" w:cs="Times New Roman"/>
                <w:sz w:val="18"/>
                <w:szCs w:val="18"/>
                <w:b/>
                <w:bCs/>
                <w:spacing w:val="-3"/>
              </w:rPr>
              <w:t>/dB</w:t>
            </w:r>
            <w:r>
              <w:rPr>
                <w:rFonts w:ascii="Times New Roman" w:hAnsi="Times New Roman" w:eastAsia="Times New Roman" w:cs="Times New Roman"/>
                <w:sz w:val="18"/>
                <w:szCs w:val="18"/>
                <w:b/>
                <w:bCs/>
                <w:spacing w:val="1"/>
              </w:rPr>
              <w:t xml:space="preserve"> </w:t>
            </w:r>
            <w:r>
              <w:rPr>
                <w:sz w:val="18"/>
                <w:szCs w:val="18"/>
                <w:b/>
                <w:bCs/>
                <w:spacing w:val="-5"/>
              </w:rPr>
              <w:t>（</w:t>
            </w:r>
            <w:r>
              <w:rPr>
                <w:rFonts w:ascii="Times New Roman" w:hAnsi="Times New Roman" w:eastAsia="Times New Roman" w:cs="Times New Roman"/>
                <w:sz w:val="18"/>
                <w:szCs w:val="18"/>
                <w:b/>
                <w:bCs/>
                <w:spacing w:val="-5"/>
              </w:rPr>
              <w:t>A</w:t>
            </w:r>
            <w:r>
              <w:rPr>
                <w:sz w:val="18"/>
                <w:szCs w:val="18"/>
                <w:b/>
                <w:bCs/>
                <w:spacing w:val="-5"/>
              </w:rPr>
              <w:t>）</w:t>
            </w:r>
          </w:p>
        </w:tc>
        <w:tc>
          <w:tcPr>
            <w:tcW w:w="499" w:type="dxa"/>
            <w:vAlign w:val="top"/>
            <w:vMerge w:val="continue"/>
            <w:textDirection w:val="tbRlV"/>
            <w:tcBorders>
              <w:top w:val="nil"/>
            </w:tcBorders>
          </w:tcPr>
          <w:p>
            <w:pPr>
              <w:rPr>
                <w:rFonts w:ascii="Arial"/>
                <w:sz w:val="21"/>
              </w:rPr>
            </w:pPr>
            <w:r/>
          </w:p>
        </w:tc>
        <w:tc>
          <w:tcPr>
            <w:tcW w:w="1262" w:type="dxa"/>
            <w:vAlign w:val="top"/>
            <w:vMerge w:val="continue"/>
            <w:tcBorders>
              <w:top w:val="nil"/>
              <w:right w:val="nil"/>
            </w:tcBorders>
          </w:tcPr>
          <w:p>
            <w:pPr>
              <w:rPr>
                <w:rFonts w:ascii="Arial"/>
                <w:sz w:val="21"/>
              </w:rPr>
            </w:pPr>
            <w:r/>
          </w:p>
        </w:tc>
      </w:tr>
      <w:tr>
        <w:trPr>
          <w:trHeight w:val="505" w:hRule="atLeast"/>
        </w:trPr>
        <w:tc>
          <w:tcPr>
            <w:tcW w:w="512" w:type="dxa"/>
            <w:vAlign w:val="top"/>
            <w:tcBorders>
              <w:left w:val="nil"/>
            </w:tcBorders>
          </w:tcPr>
          <w:p>
            <w:pPr>
              <w:ind w:left="237"/>
              <w:spacing w:before="193"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78" w:type="dxa"/>
            <w:vAlign w:val="top"/>
            <w:vMerge w:val="restart"/>
            <w:tcBorders>
              <w:bottom w:val="nil"/>
            </w:tcBorders>
          </w:tcPr>
          <w:p>
            <w:pPr>
              <w:spacing w:line="296" w:lineRule="auto"/>
              <w:rPr>
                <w:rFonts w:ascii="Arial"/>
                <w:sz w:val="21"/>
              </w:rPr>
            </w:pPr>
            <w:r/>
          </w:p>
          <w:p>
            <w:pPr>
              <w:spacing w:line="297" w:lineRule="auto"/>
              <w:rPr>
                <w:rFonts w:ascii="Arial"/>
                <w:sz w:val="21"/>
              </w:rPr>
            </w:pPr>
            <w:r/>
          </w:p>
          <w:p>
            <w:pPr>
              <w:pStyle w:val="TableText"/>
              <w:ind w:left="322"/>
              <w:spacing w:before="58" w:line="220" w:lineRule="auto"/>
              <w:rPr>
                <w:sz w:val="18"/>
                <w:szCs w:val="18"/>
              </w:rPr>
            </w:pPr>
            <w:r>
              <w:rPr>
                <w:sz w:val="18"/>
                <w:szCs w:val="18"/>
                <w:spacing w:val="-2"/>
              </w:rPr>
              <w:t>饲养区</w:t>
            </w:r>
          </w:p>
        </w:tc>
        <w:tc>
          <w:tcPr>
            <w:tcW w:w="1001" w:type="dxa"/>
            <w:vAlign w:val="top"/>
          </w:tcPr>
          <w:p>
            <w:pPr>
              <w:pStyle w:val="TableText"/>
              <w:ind w:left="325"/>
              <w:spacing w:before="165" w:line="220" w:lineRule="auto"/>
              <w:rPr>
                <w:sz w:val="18"/>
                <w:szCs w:val="18"/>
              </w:rPr>
            </w:pPr>
            <w:r>
              <w:rPr>
                <w:sz w:val="18"/>
                <w:szCs w:val="18"/>
                <w:spacing w:val="-3"/>
              </w:rPr>
              <w:t>水泵</w:t>
            </w:r>
          </w:p>
        </w:tc>
        <w:tc>
          <w:tcPr>
            <w:tcW w:w="1263" w:type="dxa"/>
            <w:vAlign w:val="top"/>
          </w:tcPr>
          <w:p>
            <w:pPr>
              <w:ind w:left="544"/>
              <w:spacing w:before="19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tc>
        <w:tc>
          <w:tcPr>
            <w:tcW w:w="2561" w:type="dxa"/>
            <w:vAlign w:val="top"/>
            <w:vMerge w:val="restart"/>
            <w:tcBorders>
              <w:bottom w:val="nil"/>
            </w:tcBorders>
          </w:tcPr>
          <w:p>
            <w:pPr>
              <w:pStyle w:val="TableText"/>
              <w:ind w:left="206"/>
              <w:spacing w:before="293" w:line="220" w:lineRule="auto"/>
              <w:rPr>
                <w:sz w:val="18"/>
                <w:szCs w:val="18"/>
              </w:rPr>
            </w:pPr>
            <w:r>
              <w:rPr>
                <w:sz w:val="18"/>
                <w:szCs w:val="18"/>
                <w:spacing w:val="-1"/>
              </w:rPr>
              <w:t>设置基础减震措施，可降噪</w:t>
            </w:r>
          </w:p>
          <w:p>
            <w:pPr>
              <w:pStyle w:val="TableText"/>
              <w:ind w:left="838"/>
              <w:spacing w:before="21" w:line="239" w:lineRule="exact"/>
              <w:rPr>
                <w:sz w:val="18"/>
                <w:szCs w:val="18"/>
              </w:rPr>
            </w:pPr>
            <w:r>
              <w:rPr>
                <w:rFonts w:ascii="Times New Roman" w:hAnsi="Times New Roman" w:eastAsia="Times New Roman" w:cs="Times New Roman"/>
                <w:sz w:val="18"/>
                <w:szCs w:val="18"/>
                <w:spacing w:val="-1"/>
                <w:position w:val="1"/>
              </w:rPr>
              <w:t>20dB</w:t>
            </w:r>
            <w:r>
              <w:rPr>
                <w:sz w:val="18"/>
                <w:szCs w:val="18"/>
                <w:spacing w:val="-1"/>
                <w:position w:val="1"/>
              </w:rPr>
              <w:t>（</w:t>
            </w:r>
            <w:r>
              <w:rPr>
                <w:rFonts w:ascii="Times New Roman" w:hAnsi="Times New Roman" w:eastAsia="Times New Roman" w:cs="Times New Roman"/>
                <w:sz w:val="18"/>
                <w:szCs w:val="18"/>
                <w:spacing w:val="-1"/>
                <w:position w:val="1"/>
              </w:rPr>
              <w:t>A</w:t>
            </w:r>
            <w:r>
              <w:rPr>
                <w:sz w:val="18"/>
                <w:szCs w:val="18"/>
                <w:spacing w:val="-1"/>
                <w:position w:val="1"/>
              </w:rPr>
              <w:t>）</w:t>
            </w:r>
          </w:p>
        </w:tc>
        <w:tc>
          <w:tcPr>
            <w:tcW w:w="1020" w:type="dxa"/>
            <w:vAlign w:val="top"/>
          </w:tcPr>
          <w:p>
            <w:pPr>
              <w:ind w:left="435"/>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w:t>
            </w:r>
          </w:p>
        </w:tc>
        <w:tc>
          <w:tcPr>
            <w:tcW w:w="1466" w:type="dxa"/>
            <w:vAlign w:val="top"/>
          </w:tcPr>
          <w:p>
            <w:pPr>
              <w:ind w:left="644"/>
              <w:spacing w:before="19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698" w:type="dxa"/>
            <w:vAlign w:val="top"/>
          </w:tcPr>
          <w:p>
            <w:pPr>
              <w:pStyle w:val="TableText"/>
              <w:ind w:left="176"/>
              <w:spacing w:before="166" w:line="220" w:lineRule="auto"/>
              <w:rPr>
                <w:sz w:val="18"/>
                <w:szCs w:val="18"/>
              </w:rPr>
            </w:pPr>
            <w:r>
              <w:rPr>
                <w:sz w:val="18"/>
                <w:szCs w:val="18"/>
                <w:spacing w:val="-2"/>
              </w:rPr>
              <w:t>连续</w:t>
            </w:r>
          </w:p>
        </w:tc>
        <w:tc>
          <w:tcPr>
            <w:tcW w:w="1568" w:type="dxa"/>
            <w:vAlign w:val="top"/>
          </w:tcPr>
          <w:p>
            <w:pPr>
              <w:ind w:left="695"/>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62" w:type="dxa"/>
            <w:vAlign w:val="top"/>
          </w:tcPr>
          <w:p>
            <w:pPr>
              <w:ind w:left="496"/>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tc>
        <w:tc>
          <w:tcPr>
            <w:tcW w:w="499" w:type="dxa"/>
            <w:vAlign w:val="top"/>
          </w:tcPr>
          <w:p>
            <w:pPr>
              <w:ind w:left="205"/>
              <w:spacing w:before="193"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62" w:type="dxa"/>
            <w:vAlign w:val="top"/>
            <w:tcBorders>
              <w:right w:val="nil"/>
            </w:tcBorders>
          </w:tcPr>
          <w:p>
            <w:pPr>
              <w:ind w:left="546"/>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w:t>
            </w:r>
          </w:p>
        </w:tc>
      </w:tr>
      <w:tr>
        <w:trPr>
          <w:trHeight w:val="482" w:hRule="atLeast"/>
        </w:trPr>
        <w:tc>
          <w:tcPr>
            <w:tcW w:w="512" w:type="dxa"/>
            <w:vAlign w:val="top"/>
            <w:tcBorders>
              <w:left w:val="nil"/>
            </w:tcBorders>
          </w:tcPr>
          <w:p>
            <w:pPr>
              <w:ind w:left="219"/>
              <w:spacing w:before="185"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78" w:type="dxa"/>
            <w:vAlign w:val="top"/>
            <w:vMerge w:val="continue"/>
            <w:tcBorders>
              <w:top w:val="nil"/>
              <w:bottom w:val="nil"/>
            </w:tcBorders>
          </w:tcPr>
          <w:p>
            <w:pPr>
              <w:rPr>
                <w:rFonts w:ascii="Arial"/>
                <w:sz w:val="21"/>
              </w:rPr>
            </w:pPr>
            <w:r/>
          </w:p>
        </w:tc>
        <w:tc>
          <w:tcPr>
            <w:tcW w:w="1001" w:type="dxa"/>
            <w:vAlign w:val="top"/>
          </w:tcPr>
          <w:p>
            <w:pPr>
              <w:pStyle w:val="TableText"/>
              <w:ind w:left="234"/>
              <w:spacing w:before="157" w:line="219" w:lineRule="auto"/>
              <w:rPr>
                <w:sz w:val="18"/>
                <w:szCs w:val="18"/>
              </w:rPr>
            </w:pPr>
            <w:r>
              <w:rPr>
                <w:sz w:val="18"/>
                <w:szCs w:val="18"/>
                <w:spacing w:val="-2"/>
              </w:rPr>
              <w:t>撒料机</w:t>
            </w:r>
          </w:p>
        </w:tc>
        <w:tc>
          <w:tcPr>
            <w:tcW w:w="1263" w:type="dxa"/>
            <w:vAlign w:val="top"/>
          </w:tcPr>
          <w:p>
            <w:pPr>
              <w:ind w:left="548"/>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c>
        <w:tc>
          <w:tcPr>
            <w:tcW w:w="2561" w:type="dxa"/>
            <w:vAlign w:val="top"/>
            <w:vMerge w:val="continue"/>
            <w:tcBorders>
              <w:top w:val="nil"/>
            </w:tcBorders>
          </w:tcPr>
          <w:p>
            <w:pPr>
              <w:rPr>
                <w:rFonts w:ascii="Arial"/>
                <w:sz w:val="21"/>
              </w:rPr>
            </w:pPr>
            <w:r/>
          </w:p>
        </w:tc>
        <w:tc>
          <w:tcPr>
            <w:tcW w:w="1020" w:type="dxa"/>
            <w:vAlign w:val="top"/>
          </w:tcPr>
          <w:p>
            <w:pPr>
              <w:ind w:left="464"/>
              <w:spacing w:before="185"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66" w:type="dxa"/>
            <w:vAlign w:val="top"/>
          </w:tcPr>
          <w:p>
            <w:pPr>
              <w:ind w:left="646"/>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tc>
        <w:tc>
          <w:tcPr>
            <w:tcW w:w="698" w:type="dxa"/>
            <w:vAlign w:val="top"/>
          </w:tcPr>
          <w:p>
            <w:pPr>
              <w:pStyle w:val="TableText"/>
              <w:ind w:left="189"/>
              <w:spacing w:before="157" w:line="220" w:lineRule="auto"/>
              <w:rPr>
                <w:sz w:val="18"/>
                <w:szCs w:val="18"/>
              </w:rPr>
            </w:pPr>
            <w:r>
              <w:rPr>
                <w:sz w:val="18"/>
                <w:szCs w:val="18"/>
                <w:spacing w:val="-6"/>
              </w:rPr>
              <w:t>间歇</w:t>
            </w:r>
          </w:p>
        </w:tc>
        <w:tc>
          <w:tcPr>
            <w:tcW w:w="1568" w:type="dxa"/>
            <w:vAlign w:val="top"/>
          </w:tcPr>
          <w:p>
            <w:pPr>
              <w:ind w:left="695"/>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62" w:type="dxa"/>
            <w:vAlign w:val="top"/>
          </w:tcPr>
          <w:p>
            <w:pPr>
              <w:ind w:left="490"/>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499" w:type="dxa"/>
            <w:vAlign w:val="top"/>
          </w:tcPr>
          <w:p>
            <w:pPr>
              <w:ind w:left="205"/>
              <w:spacing w:before="185"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62" w:type="dxa"/>
            <w:vAlign w:val="top"/>
            <w:tcBorders>
              <w:right w:val="nil"/>
            </w:tcBorders>
          </w:tcPr>
          <w:p>
            <w:pPr>
              <w:ind w:left="540"/>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r>
      <w:tr>
        <w:trPr>
          <w:trHeight w:val="479" w:hRule="atLeast"/>
        </w:trPr>
        <w:tc>
          <w:tcPr>
            <w:tcW w:w="512" w:type="dxa"/>
            <w:vAlign w:val="top"/>
            <w:tcBorders>
              <w:left w:val="nil"/>
            </w:tcBorders>
          </w:tcPr>
          <w:p>
            <w:pPr>
              <w:ind w:left="223"/>
              <w:spacing w:before="18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78" w:type="dxa"/>
            <w:vAlign w:val="top"/>
            <w:vMerge w:val="continue"/>
            <w:tcBorders>
              <w:top w:val="nil"/>
            </w:tcBorders>
          </w:tcPr>
          <w:p>
            <w:pPr>
              <w:rPr>
                <w:rFonts w:ascii="Arial"/>
                <w:sz w:val="21"/>
              </w:rPr>
            </w:pPr>
            <w:r/>
          </w:p>
        </w:tc>
        <w:tc>
          <w:tcPr>
            <w:tcW w:w="1001" w:type="dxa"/>
            <w:vAlign w:val="top"/>
          </w:tcPr>
          <w:p>
            <w:pPr>
              <w:pStyle w:val="TableText"/>
              <w:ind w:left="324"/>
              <w:spacing w:before="160" w:line="219" w:lineRule="auto"/>
              <w:rPr>
                <w:sz w:val="18"/>
                <w:szCs w:val="18"/>
              </w:rPr>
            </w:pPr>
            <w:r>
              <w:rPr>
                <w:sz w:val="18"/>
                <w:szCs w:val="18"/>
                <w:spacing w:val="-2"/>
              </w:rPr>
              <w:t>风机</w:t>
            </w:r>
          </w:p>
        </w:tc>
        <w:tc>
          <w:tcPr>
            <w:tcW w:w="1263" w:type="dxa"/>
            <w:vAlign w:val="top"/>
          </w:tcPr>
          <w:p>
            <w:pPr>
              <w:ind w:left="544"/>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tc>
        <w:tc>
          <w:tcPr>
            <w:tcW w:w="2561" w:type="dxa"/>
            <w:vAlign w:val="top"/>
          </w:tcPr>
          <w:p>
            <w:pPr>
              <w:pStyle w:val="TableText"/>
              <w:ind w:left="552" w:right="150" w:hanging="437"/>
              <w:spacing w:before="43" w:line="218" w:lineRule="auto"/>
              <w:rPr>
                <w:sz w:val="18"/>
                <w:szCs w:val="18"/>
              </w:rPr>
            </w:pPr>
            <w:r>
              <w:rPr>
                <w:sz w:val="18"/>
                <w:szCs w:val="18"/>
                <w:spacing w:val="-4"/>
              </w:rPr>
              <w:t>安装消声器、基础减震措施，</w:t>
            </w:r>
            <w:r>
              <w:rPr>
                <w:sz w:val="18"/>
                <w:szCs w:val="18"/>
                <w:spacing w:val="-2"/>
              </w:rPr>
              <w:t>可降噪</w:t>
            </w:r>
            <w:r>
              <w:rPr>
                <w:sz w:val="18"/>
                <w:szCs w:val="18"/>
                <w:spacing w:val="-33"/>
              </w:rPr>
              <w:t xml:space="preserve"> </w:t>
            </w:r>
            <w:r>
              <w:rPr>
                <w:rFonts w:ascii="Times New Roman" w:hAnsi="Times New Roman" w:eastAsia="Times New Roman" w:cs="Times New Roman"/>
                <w:sz w:val="18"/>
                <w:szCs w:val="18"/>
                <w:spacing w:val="-2"/>
              </w:rPr>
              <w:t>20dB</w:t>
            </w:r>
            <w:r>
              <w:rPr>
                <w:sz w:val="18"/>
                <w:szCs w:val="18"/>
                <w:spacing w:val="-2"/>
              </w:rPr>
              <w:t>（</w:t>
            </w:r>
            <w:r>
              <w:rPr>
                <w:rFonts w:ascii="Times New Roman" w:hAnsi="Times New Roman" w:eastAsia="Times New Roman" w:cs="Times New Roman"/>
                <w:sz w:val="18"/>
                <w:szCs w:val="18"/>
                <w:spacing w:val="-2"/>
              </w:rPr>
              <w:t>A</w:t>
            </w:r>
            <w:r>
              <w:rPr>
                <w:sz w:val="18"/>
                <w:szCs w:val="18"/>
                <w:spacing w:val="-2"/>
              </w:rPr>
              <w:t>）</w:t>
            </w:r>
          </w:p>
        </w:tc>
        <w:tc>
          <w:tcPr>
            <w:tcW w:w="1020" w:type="dxa"/>
            <w:vAlign w:val="top"/>
          </w:tcPr>
          <w:p>
            <w:pPr>
              <w:ind w:left="471"/>
              <w:spacing w:before="18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466" w:type="dxa"/>
            <w:vAlign w:val="top"/>
          </w:tcPr>
          <w:p>
            <w:pPr>
              <w:ind w:left="644"/>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698" w:type="dxa"/>
            <w:vAlign w:val="top"/>
          </w:tcPr>
          <w:p>
            <w:pPr>
              <w:pStyle w:val="TableText"/>
              <w:ind w:left="176"/>
              <w:spacing w:before="160" w:line="220" w:lineRule="auto"/>
              <w:rPr>
                <w:sz w:val="18"/>
                <w:szCs w:val="18"/>
              </w:rPr>
            </w:pPr>
            <w:r>
              <w:rPr>
                <w:sz w:val="18"/>
                <w:szCs w:val="18"/>
                <w:spacing w:val="-2"/>
              </w:rPr>
              <w:t>连续</w:t>
            </w:r>
          </w:p>
        </w:tc>
        <w:tc>
          <w:tcPr>
            <w:tcW w:w="1568" w:type="dxa"/>
            <w:vAlign w:val="top"/>
          </w:tcPr>
          <w:p>
            <w:pPr>
              <w:ind w:left="695"/>
              <w:spacing w:before="18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62" w:type="dxa"/>
            <w:vAlign w:val="top"/>
          </w:tcPr>
          <w:p>
            <w:pPr>
              <w:ind w:left="496"/>
              <w:spacing w:before="18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tc>
        <w:tc>
          <w:tcPr>
            <w:tcW w:w="499" w:type="dxa"/>
            <w:vAlign w:val="top"/>
          </w:tcPr>
          <w:p>
            <w:pPr>
              <w:ind w:left="212"/>
              <w:spacing w:before="18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262" w:type="dxa"/>
            <w:vAlign w:val="top"/>
            <w:tcBorders>
              <w:right w:val="nil"/>
            </w:tcBorders>
          </w:tcPr>
          <w:p>
            <w:pPr>
              <w:ind w:left="546"/>
              <w:spacing w:before="18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59</w:t>
            </w:r>
          </w:p>
        </w:tc>
      </w:tr>
      <w:tr>
        <w:trPr>
          <w:trHeight w:val="482" w:hRule="atLeast"/>
        </w:trPr>
        <w:tc>
          <w:tcPr>
            <w:tcW w:w="512" w:type="dxa"/>
            <w:vAlign w:val="top"/>
            <w:tcBorders>
              <w:left w:val="nil"/>
            </w:tcBorders>
          </w:tcPr>
          <w:p>
            <w:pPr>
              <w:ind w:left="218"/>
              <w:spacing w:before="191"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78" w:type="dxa"/>
            <w:vAlign w:val="top"/>
            <w:vMerge w:val="restart"/>
            <w:tcBorders>
              <w:bottom w:val="nil"/>
            </w:tcBorders>
          </w:tcPr>
          <w:p>
            <w:pPr>
              <w:spacing w:line="350" w:lineRule="auto"/>
              <w:rPr>
                <w:rFonts w:ascii="Arial"/>
                <w:sz w:val="21"/>
              </w:rPr>
            </w:pPr>
            <w:r/>
          </w:p>
          <w:p>
            <w:pPr>
              <w:pStyle w:val="TableText"/>
              <w:ind w:left="322"/>
              <w:spacing w:before="59" w:line="220" w:lineRule="auto"/>
              <w:rPr>
                <w:sz w:val="18"/>
                <w:szCs w:val="18"/>
              </w:rPr>
            </w:pPr>
            <w:r>
              <w:rPr>
                <w:sz w:val="18"/>
                <w:szCs w:val="18"/>
                <w:spacing w:val="-2"/>
              </w:rPr>
              <w:t>饲料区</w:t>
            </w:r>
          </w:p>
        </w:tc>
        <w:tc>
          <w:tcPr>
            <w:tcW w:w="1001" w:type="dxa"/>
            <w:vAlign w:val="top"/>
          </w:tcPr>
          <w:p>
            <w:pPr>
              <w:pStyle w:val="TableText"/>
              <w:ind w:left="234" w:right="139" w:hanging="91"/>
              <w:spacing w:before="48" w:line="217" w:lineRule="auto"/>
              <w:rPr>
                <w:sz w:val="18"/>
                <w:szCs w:val="18"/>
              </w:rPr>
            </w:pPr>
            <w:r>
              <w:rPr>
                <w:sz w:val="18"/>
                <w:szCs w:val="18"/>
                <w:spacing w:val="-2"/>
              </w:rPr>
              <w:t>滑移轮式</w:t>
            </w:r>
            <w:r>
              <w:rPr>
                <w:sz w:val="18"/>
                <w:szCs w:val="18"/>
                <w:spacing w:val="-2"/>
              </w:rPr>
              <w:t>装载机</w:t>
            </w:r>
          </w:p>
        </w:tc>
        <w:tc>
          <w:tcPr>
            <w:tcW w:w="1263" w:type="dxa"/>
            <w:vAlign w:val="top"/>
          </w:tcPr>
          <w:p>
            <w:pPr>
              <w:ind w:left="548"/>
              <w:spacing w:before="19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85</w:t>
            </w:r>
          </w:p>
        </w:tc>
        <w:tc>
          <w:tcPr>
            <w:tcW w:w="2561" w:type="dxa"/>
            <w:vAlign w:val="top"/>
            <w:vMerge w:val="restart"/>
            <w:tcBorders>
              <w:bottom w:val="nil"/>
            </w:tcBorders>
          </w:tcPr>
          <w:p>
            <w:pPr>
              <w:pStyle w:val="TableText"/>
              <w:ind w:left="206"/>
              <w:spacing w:before="292" w:line="220" w:lineRule="auto"/>
              <w:rPr>
                <w:sz w:val="18"/>
                <w:szCs w:val="18"/>
              </w:rPr>
            </w:pPr>
            <w:r>
              <w:rPr>
                <w:sz w:val="18"/>
                <w:szCs w:val="18"/>
                <w:spacing w:val="-1"/>
              </w:rPr>
              <w:t>设置基础减震措施，可降噪</w:t>
            </w:r>
          </w:p>
          <w:p>
            <w:pPr>
              <w:pStyle w:val="TableText"/>
              <w:ind w:left="838"/>
              <w:spacing w:before="19" w:line="239" w:lineRule="exact"/>
              <w:rPr>
                <w:sz w:val="18"/>
                <w:szCs w:val="18"/>
              </w:rPr>
            </w:pPr>
            <w:r>
              <w:rPr>
                <w:rFonts w:ascii="Times New Roman" w:hAnsi="Times New Roman" w:eastAsia="Times New Roman" w:cs="Times New Roman"/>
                <w:sz w:val="18"/>
                <w:szCs w:val="18"/>
                <w:spacing w:val="-1"/>
                <w:position w:val="1"/>
              </w:rPr>
              <w:t>20dB</w:t>
            </w:r>
            <w:r>
              <w:rPr>
                <w:sz w:val="18"/>
                <w:szCs w:val="18"/>
                <w:spacing w:val="-1"/>
                <w:position w:val="1"/>
              </w:rPr>
              <w:t>（</w:t>
            </w:r>
            <w:r>
              <w:rPr>
                <w:rFonts w:ascii="Times New Roman" w:hAnsi="Times New Roman" w:eastAsia="Times New Roman" w:cs="Times New Roman"/>
                <w:sz w:val="18"/>
                <w:szCs w:val="18"/>
                <w:spacing w:val="-1"/>
                <w:position w:val="1"/>
              </w:rPr>
              <w:t>A</w:t>
            </w:r>
            <w:r>
              <w:rPr>
                <w:sz w:val="18"/>
                <w:szCs w:val="18"/>
                <w:spacing w:val="-1"/>
                <w:position w:val="1"/>
              </w:rPr>
              <w:t>）</w:t>
            </w:r>
          </w:p>
        </w:tc>
        <w:tc>
          <w:tcPr>
            <w:tcW w:w="1020" w:type="dxa"/>
            <w:vAlign w:val="top"/>
          </w:tcPr>
          <w:p>
            <w:pPr>
              <w:ind w:left="418"/>
              <w:spacing w:before="19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466" w:type="dxa"/>
            <w:vAlign w:val="top"/>
          </w:tcPr>
          <w:p>
            <w:pPr>
              <w:ind w:left="646"/>
              <w:spacing w:before="19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w:t>
            </w:r>
          </w:p>
        </w:tc>
        <w:tc>
          <w:tcPr>
            <w:tcW w:w="698" w:type="dxa"/>
            <w:vAlign w:val="top"/>
          </w:tcPr>
          <w:p>
            <w:pPr>
              <w:pStyle w:val="TableText"/>
              <w:ind w:left="189"/>
              <w:spacing w:before="165" w:line="220" w:lineRule="auto"/>
              <w:rPr>
                <w:sz w:val="18"/>
                <w:szCs w:val="18"/>
              </w:rPr>
            </w:pPr>
            <w:r>
              <w:rPr>
                <w:sz w:val="18"/>
                <w:szCs w:val="18"/>
                <w:spacing w:val="-6"/>
              </w:rPr>
              <w:t>间歇</w:t>
            </w:r>
          </w:p>
        </w:tc>
        <w:tc>
          <w:tcPr>
            <w:tcW w:w="1568" w:type="dxa"/>
            <w:vAlign w:val="top"/>
          </w:tcPr>
          <w:p>
            <w:pPr>
              <w:ind w:left="695"/>
              <w:spacing w:before="19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62" w:type="dxa"/>
            <w:vAlign w:val="top"/>
          </w:tcPr>
          <w:p>
            <w:pPr>
              <w:ind w:left="490"/>
              <w:spacing w:before="19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499" w:type="dxa"/>
            <w:vAlign w:val="top"/>
          </w:tcPr>
          <w:p>
            <w:pPr>
              <w:ind w:left="205"/>
              <w:spacing w:before="191"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62" w:type="dxa"/>
            <w:vAlign w:val="top"/>
            <w:tcBorders>
              <w:right w:val="nil"/>
            </w:tcBorders>
          </w:tcPr>
          <w:p>
            <w:pPr>
              <w:ind w:left="540"/>
              <w:spacing w:before="19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tc>
      </w:tr>
      <w:tr>
        <w:trPr>
          <w:trHeight w:val="482" w:hRule="atLeast"/>
        </w:trPr>
        <w:tc>
          <w:tcPr>
            <w:tcW w:w="512" w:type="dxa"/>
            <w:vAlign w:val="top"/>
            <w:tcBorders>
              <w:left w:val="nil"/>
            </w:tcBorders>
          </w:tcPr>
          <w:p>
            <w:pPr>
              <w:ind w:left="224"/>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178" w:type="dxa"/>
            <w:vAlign w:val="top"/>
            <w:vMerge w:val="continue"/>
            <w:tcBorders>
              <w:top w:val="nil"/>
            </w:tcBorders>
          </w:tcPr>
          <w:p>
            <w:pPr>
              <w:rPr>
                <w:rFonts w:ascii="Arial"/>
                <w:sz w:val="21"/>
              </w:rPr>
            </w:pPr>
            <w:r/>
          </w:p>
        </w:tc>
        <w:tc>
          <w:tcPr>
            <w:tcW w:w="1001" w:type="dxa"/>
            <w:vAlign w:val="top"/>
          </w:tcPr>
          <w:p>
            <w:pPr>
              <w:pStyle w:val="TableText"/>
              <w:ind w:left="234"/>
              <w:spacing w:before="166" w:line="219" w:lineRule="auto"/>
              <w:rPr>
                <w:sz w:val="18"/>
                <w:szCs w:val="18"/>
              </w:rPr>
            </w:pPr>
            <w:r>
              <w:rPr>
                <w:sz w:val="18"/>
                <w:szCs w:val="18"/>
                <w:spacing w:val="-2"/>
              </w:rPr>
              <w:t>输送机</w:t>
            </w:r>
          </w:p>
        </w:tc>
        <w:tc>
          <w:tcPr>
            <w:tcW w:w="1263" w:type="dxa"/>
            <w:vAlign w:val="top"/>
          </w:tcPr>
          <w:p>
            <w:pPr>
              <w:ind w:left="548"/>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c>
        <w:tc>
          <w:tcPr>
            <w:tcW w:w="2561" w:type="dxa"/>
            <w:vAlign w:val="top"/>
            <w:vMerge w:val="continue"/>
            <w:tcBorders>
              <w:top w:val="nil"/>
            </w:tcBorders>
          </w:tcPr>
          <w:p>
            <w:pPr>
              <w:rPr>
                <w:rFonts w:ascii="Arial"/>
                <w:sz w:val="21"/>
              </w:rPr>
            </w:pPr>
            <w:r/>
          </w:p>
        </w:tc>
        <w:tc>
          <w:tcPr>
            <w:tcW w:w="1020" w:type="dxa"/>
            <w:vAlign w:val="top"/>
          </w:tcPr>
          <w:p>
            <w:pPr>
              <w:ind w:left="435"/>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w:t>
            </w:r>
          </w:p>
        </w:tc>
        <w:tc>
          <w:tcPr>
            <w:tcW w:w="1466" w:type="dxa"/>
            <w:vAlign w:val="top"/>
          </w:tcPr>
          <w:p>
            <w:pPr>
              <w:ind w:left="646"/>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tc>
        <w:tc>
          <w:tcPr>
            <w:tcW w:w="698" w:type="dxa"/>
            <w:vAlign w:val="top"/>
          </w:tcPr>
          <w:p>
            <w:pPr>
              <w:pStyle w:val="TableText"/>
              <w:ind w:left="189"/>
              <w:spacing w:before="166" w:line="220" w:lineRule="auto"/>
              <w:rPr>
                <w:sz w:val="18"/>
                <w:szCs w:val="18"/>
              </w:rPr>
            </w:pPr>
            <w:r>
              <w:rPr>
                <w:sz w:val="18"/>
                <w:szCs w:val="18"/>
                <w:spacing w:val="-6"/>
              </w:rPr>
              <w:t>间歇</w:t>
            </w:r>
          </w:p>
        </w:tc>
        <w:tc>
          <w:tcPr>
            <w:tcW w:w="1568" w:type="dxa"/>
            <w:vAlign w:val="top"/>
          </w:tcPr>
          <w:p>
            <w:pPr>
              <w:ind w:left="695"/>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62" w:type="dxa"/>
            <w:vAlign w:val="top"/>
          </w:tcPr>
          <w:p>
            <w:pPr>
              <w:ind w:left="490"/>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499" w:type="dxa"/>
            <w:vAlign w:val="top"/>
          </w:tcPr>
          <w:p>
            <w:pPr>
              <w:ind w:left="205"/>
              <w:spacing w:before="194"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62" w:type="dxa"/>
            <w:vAlign w:val="top"/>
            <w:tcBorders>
              <w:right w:val="nil"/>
            </w:tcBorders>
          </w:tcPr>
          <w:p>
            <w:pPr>
              <w:ind w:left="540"/>
              <w:spacing w:before="19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r>
      <w:tr>
        <w:trPr>
          <w:trHeight w:val="493" w:hRule="atLeast"/>
        </w:trPr>
        <w:tc>
          <w:tcPr>
            <w:tcW w:w="512" w:type="dxa"/>
            <w:vAlign w:val="top"/>
            <w:tcBorders>
              <w:bottom w:val="single" w:color="000000" w:sz="10" w:space="0"/>
              <w:left w:val="nil"/>
            </w:tcBorders>
          </w:tcPr>
          <w:p>
            <w:pPr>
              <w:ind w:left="223"/>
              <w:spacing w:before="19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178" w:type="dxa"/>
            <w:vAlign w:val="top"/>
            <w:tcBorders>
              <w:bottom w:val="single" w:color="000000" w:sz="10" w:space="0"/>
            </w:tcBorders>
          </w:tcPr>
          <w:p>
            <w:pPr>
              <w:pStyle w:val="TableText"/>
              <w:ind w:left="233"/>
              <w:spacing w:before="47" w:line="220" w:lineRule="auto"/>
              <w:rPr>
                <w:sz w:val="18"/>
                <w:szCs w:val="18"/>
              </w:rPr>
            </w:pPr>
            <w:r>
              <w:rPr>
                <w:sz w:val="18"/>
                <w:szCs w:val="18"/>
                <w:spacing w:val="-2"/>
              </w:rPr>
              <w:t>辅助设施</w:t>
            </w:r>
          </w:p>
          <w:p>
            <w:pPr>
              <w:pStyle w:val="TableText"/>
              <w:ind w:left="236"/>
              <w:spacing w:before="18" w:line="208" w:lineRule="auto"/>
              <w:rPr>
                <w:sz w:val="18"/>
                <w:szCs w:val="18"/>
              </w:rPr>
            </w:pPr>
            <w:r>
              <w:rPr>
                <w:sz w:val="18"/>
                <w:szCs w:val="18"/>
                <w:spacing w:val="-5"/>
              </w:rPr>
              <w:t>（水井）</w:t>
            </w:r>
          </w:p>
        </w:tc>
        <w:tc>
          <w:tcPr>
            <w:tcW w:w="1001" w:type="dxa"/>
            <w:vAlign w:val="top"/>
            <w:tcBorders>
              <w:bottom w:val="single" w:color="000000" w:sz="10" w:space="0"/>
            </w:tcBorders>
          </w:tcPr>
          <w:p>
            <w:pPr>
              <w:pStyle w:val="TableText"/>
              <w:ind w:left="325"/>
              <w:spacing w:before="164" w:line="220" w:lineRule="auto"/>
              <w:rPr>
                <w:sz w:val="18"/>
                <w:szCs w:val="18"/>
              </w:rPr>
            </w:pPr>
            <w:r>
              <w:rPr>
                <w:sz w:val="18"/>
                <w:szCs w:val="18"/>
                <w:spacing w:val="-3"/>
              </w:rPr>
              <w:t>水泵</w:t>
            </w:r>
          </w:p>
        </w:tc>
        <w:tc>
          <w:tcPr>
            <w:tcW w:w="1263" w:type="dxa"/>
            <w:vAlign w:val="top"/>
            <w:tcBorders>
              <w:bottom w:val="single" w:color="000000" w:sz="10" w:space="0"/>
            </w:tcBorders>
          </w:tcPr>
          <w:p>
            <w:pPr>
              <w:ind w:left="544"/>
              <w:spacing w:before="189"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tc>
        <w:tc>
          <w:tcPr>
            <w:tcW w:w="2561" w:type="dxa"/>
            <w:vAlign w:val="top"/>
            <w:tcBorders>
              <w:bottom w:val="single" w:color="000000" w:sz="10" w:space="0"/>
            </w:tcBorders>
          </w:tcPr>
          <w:p>
            <w:pPr>
              <w:pStyle w:val="TableText"/>
              <w:ind w:left="206"/>
              <w:spacing w:before="46" w:line="220" w:lineRule="auto"/>
              <w:rPr>
                <w:sz w:val="18"/>
                <w:szCs w:val="18"/>
              </w:rPr>
            </w:pPr>
            <w:r>
              <w:rPr>
                <w:sz w:val="18"/>
                <w:szCs w:val="18"/>
                <w:spacing w:val="-1"/>
              </w:rPr>
              <w:t>设置基础减震措施，可降噪</w:t>
            </w:r>
          </w:p>
          <w:p>
            <w:pPr>
              <w:pStyle w:val="TableText"/>
              <w:ind w:left="838"/>
              <w:spacing w:before="19" w:line="208" w:lineRule="auto"/>
              <w:rPr>
                <w:sz w:val="18"/>
                <w:szCs w:val="18"/>
              </w:rPr>
            </w:pPr>
            <w:r>
              <w:rPr>
                <w:rFonts w:ascii="Times New Roman" w:hAnsi="Times New Roman" w:eastAsia="Times New Roman" w:cs="Times New Roman"/>
                <w:sz w:val="18"/>
                <w:szCs w:val="18"/>
                <w:spacing w:val="-1"/>
              </w:rPr>
              <w:t>20dB</w:t>
            </w:r>
            <w:r>
              <w:rPr>
                <w:sz w:val="18"/>
                <w:szCs w:val="18"/>
                <w:spacing w:val="-1"/>
              </w:rPr>
              <w:t>（</w:t>
            </w:r>
            <w:r>
              <w:rPr>
                <w:rFonts w:ascii="Times New Roman" w:hAnsi="Times New Roman" w:eastAsia="Times New Roman" w:cs="Times New Roman"/>
                <w:sz w:val="18"/>
                <w:szCs w:val="18"/>
                <w:spacing w:val="-1"/>
              </w:rPr>
              <w:t>A</w:t>
            </w:r>
            <w:r>
              <w:rPr>
                <w:sz w:val="18"/>
                <w:szCs w:val="18"/>
                <w:spacing w:val="-1"/>
              </w:rPr>
              <w:t>）</w:t>
            </w:r>
          </w:p>
        </w:tc>
        <w:tc>
          <w:tcPr>
            <w:tcW w:w="1020" w:type="dxa"/>
            <w:vAlign w:val="top"/>
            <w:tcBorders>
              <w:bottom w:val="single" w:color="000000" w:sz="10" w:space="0"/>
            </w:tcBorders>
          </w:tcPr>
          <w:p>
            <w:pPr>
              <w:ind w:left="481"/>
              <w:spacing w:before="189"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466" w:type="dxa"/>
            <w:vAlign w:val="top"/>
            <w:tcBorders>
              <w:bottom w:val="single" w:color="000000" w:sz="10" w:space="0"/>
            </w:tcBorders>
          </w:tcPr>
          <w:p>
            <w:pPr>
              <w:ind w:left="644"/>
              <w:spacing w:before="189"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698" w:type="dxa"/>
            <w:vAlign w:val="top"/>
            <w:tcBorders>
              <w:bottom w:val="single" w:color="000000" w:sz="10" w:space="0"/>
            </w:tcBorders>
          </w:tcPr>
          <w:p>
            <w:pPr>
              <w:pStyle w:val="TableText"/>
              <w:ind w:left="176"/>
              <w:spacing w:before="164" w:line="220" w:lineRule="auto"/>
              <w:rPr>
                <w:sz w:val="18"/>
                <w:szCs w:val="18"/>
              </w:rPr>
            </w:pPr>
            <w:r>
              <w:rPr>
                <w:sz w:val="18"/>
                <w:szCs w:val="18"/>
                <w:spacing w:val="-2"/>
              </w:rPr>
              <w:t>连续</w:t>
            </w:r>
          </w:p>
        </w:tc>
        <w:tc>
          <w:tcPr>
            <w:tcW w:w="1568" w:type="dxa"/>
            <w:vAlign w:val="top"/>
            <w:tcBorders>
              <w:bottom w:val="single" w:color="000000" w:sz="10" w:space="0"/>
            </w:tcBorders>
          </w:tcPr>
          <w:p>
            <w:pPr>
              <w:ind w:left="695"/>
              <w:spacing w:before="19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62" w:type="dxa"/>
            <w:vAlign w:val="top"/>
            <w:tcBorders>
              <w:bottom w:val="single" w:color="000000" w:sz="10" w:space="0"/>
            </w:tcBorders>
          </w:tcPr>
          <w:p>
            <w:pPr>
              <w:ind w:left="496"/>
              <w:spacing w:before="19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tc>
        <w:tc>
          <w:tcPr>
            <w:tcW w:w="499" w:type="dxa"/>
            <w:vAlign w:val="top"/>
            <w:tcBorders>
              <w:bottom w:val="single" w:color="000000" w:sz="10" w:space="0"/>
            </w:tcBorders>
          </w:tcPr>
          <w:p>
            <w:pPr>
              <w:ind w:left="205"/>
              <w:spacing w:before="189"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62" w:type="dxa"/>
            <w:vAlign w:val="top"/>
            <w:tcBorders>
              <w:bottom w:val="single" w:color="000000" w:sz="10" w:space="0"/>
              <w:right w:val="nil"/>
            </w:tcBorders>
          </w:tcPr>
          <w:p>
            <w:pPr>
              <w:ind w:left="546"/>
              <w:spacing w:before="19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53</w:t>
            </w:r>
          </w:p>
        </w:tc>
      </w:tr>
    </w:tbl>
    <w:p>
      <w:pPr>
        <w:ind w:left="133" w:right="43" w:firstLine="479"/>
        <w:spacing w:before="32" w:line="372" w:lineRule="auto"/>
        <w:rPr>
          <w:rFonts w:ascii="SimSun" w:hAnsi="SimSun" w:eastAsia="SimSun" w:cs="SimSun"/>
          <w:sz w:val="24"/>
          <w:szCs w:val="24"/>
        </w:rPr>
      </w:pPr>
      <w:r>
        <w:rPr>
          <w:rFonts w:ascii="SimSun" w:hAnsi="SimSun" w:eastAsia="SimSun" w:cs="SimSun"/>
          <w:sz w:val="24"/>
          <w:szCs w:val="24"/>
          <w:spacing w:val="-2"/>
        </w:rPr>
        <w:t>本项目优先选购低噪音设备，高噪声设备底部加减振</w:t>
      </w:r>
      <w:r>
        <w:rPr>
          <w:rFonts w:ascii="SimSun" w:hAnsi="SimSun" w:eastAsia="SimSun" w:cs="SimSun"/>
          <w:sz w:val="24"/>
          <w:szCs w:val="24"/>
          <w:spacing w:val="-3"/>
        </w:rPr>
        <w:t>垫，风机均安装消声器，同时加隔音罩，加强场区绿化，增加树木的吸声量，</w:t>
      </w:r>
      <w:r>
        <w:rPr>
          <w:rFonts w:ascii="SimSun" w:hAnsi="SimSun" w:eastAsia="SimSun" w:cs="SimSun"/>
          <w:sz w:val="24"/>
          <w:szCs w:val="24"/>
          <w:spacing w:val="-2"/>
        </w:rPr>
        <w:t>经采取如上措施后，可使场界满足</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GB12348-2008</w:t>
      </w:r>
      <w:r>
        <w:rPr>
          <w:rFonts w:ascii="SimSun" w:hAnsi="SimSun" w:eastAsia="SimSun" w:cs="SimSun"/>
          <w:sz w:val="24"/>
          <w:szCs w:val="24"/>
          <w:spacing w:val="-2"/>
        </w:rPr>
        <w:t>《工业企业厂界环境噪声排放标准》中 </w:t>
      </w:r>
      <w:r>
        <w:rPr>
          <w:rFonts w:ascii="Times New Roman" w:hAnsi="Times New Roman" w:eastAsia="Times New Roman" w:cs="Times New Roman"/>
          <w:sz w:val="24"/>
          <w:szCs w:val="24"/>
          <w:spacing w:val="-2"/>
        </w:rPr>
        <w:t>1 </w:t>
      </w:r>
      <w:r>
        <w:rPr>
          <w:rFonts w:ascii="SimSun" w:hAnsi="SimSun" w:eastAsia="SimSun" w:cs="SimSun"/>
          <w:sz w:val="24"/>
          <w:szCs w:val="24"/>
          <w:spacing w:val="-2"/>
        </w:rPr>
        <w:t>类区及</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4 </w:t>
      </w:r>
      <w:r>
        <w:rPr>
          <w:rFonts w:ascii="SimSun" w:hAnsi="SimSun" w:eastAsia="SimSun" w:cs="SimSun"/>
          <w:sz w:val="24"/>
          <w:szCs w:val="24"/>
          <w:spacing w:val="-2"/>
        </w:rPr>
        <w:t>类区标准要求。</w:t>
      </w:r>
    </w:p>
    <w:p>
      <w:pPr>
        <w:spacing w:line="372" w:lineRule="auto"/>
        <w:sectPr>
          <w:headerReference w:type="default" r:id="rId79"/>
          <w:pgSz w:w="16839" w:h="11907"/>
          <w:pgMar w:top="1390" w:right="1330" w:bottom="400" w:left="1317" w:header="1054" w:footer="0" w:gutter="0"/>
        </w:sectPr>
        <w:rPr>
          <w:rFonts w:ascii="SimSun" w:hAnsi="SimSun" w:eastAsia="SimSun" w:cs="SimSun"/>
          <w:sz w:val="24"/>
          <w:szCs w:val="24"/>
        </w:rPr>
      </w:pPr>
    </w:p>
    <w:p>
      <w:pPr>
        <w:pStyle w:val="BodyText"/>
        <w:spacing w:line="266" w:lineRule="auto"/>
        <w:rPr/>
      </w:pPr>
      <w:r/>
    </w:p>
    <w:p>
      <w:pPr>
        <w:ind w:left="126"/>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5"/>
        </w:rPr>
        <w:t>3.3.4</w:t>
      </w:r>
      <w:r>
        <w:rPr>
          <w:rFonts w:ascii="Times New Roman" w:hAnsi="Times New Roman" w:eastAsia="Times New Roman" w:cs="Times New Roman"/>
          <w:sz w:val="24"/>
          <w:szCs w:val="24"/>
          <w:b/>
          <w:bCs/>
          <w:spacing w:val="29"/>
          <w:w w:val="101"/>
        </w:rPr>
        <w:t xml:space="preserve"> </w:t>
      </w:r>
      <w:r>
        <w:rPr>
          <w:rFonts w:ascii="SimSun" w:hAnsi="SimSun" w:eastAsia="SimSun" w:cs="SimSun"/>
          <w:sz w:val="24"/>
          <w:szCs w:val="24"/>
          <w:b/>
          <w:bCs/>
          <w:spacing w:val="-5"/>
        </w:rPr>
        <w:t>固废物</w:t>
      </w:r>
    </w:p>
    <w:p>
      <w:pPr>
        <w:pStyle w:val="BodyText"/>
        <w:spacing w:line="340" w:lineRule="auto"/>
        <w:rPr/>
      </w:pPr>
      <w:r/>
    </w:p>
    <w:p>
      <w:pPr>
        <w:ind w:left="612"/>
        <w:spacing w:before="78" w:line="233" w:lineRule="auto"/>
        <w:rPr>
          <w:rFonts w:ascii="SimSun" w:hAnsi="SimSun" w:eastAsia="SimSun" w:cs="SimSun"/>
          <w:sz w:val="24"/>
          <w:szCs w:val="24"/>
        </w:rPr>
      </w:pPr>
      <w:r>
        <w:rPr>
          <w:rFonts w:ascii="Times New Roman" w:hAnsi="Times New Roman" w:eastAsia="Times New Roman" w:cs="Times New Roman"/>
          <w:sz w:val="24"/>
          <w:szCs w:val="24"/>
          <w:spacing w:val="-3"/>
        </w:rPr>
        <w:t>3.3.4.1</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固体废物种类</w:t>
      </w:r>
    </w:p>
    <w:p>
      <w:pPr>
        <w:ind w:left="133" w:right="129" w:firstLine="478"/>
        <w:spacing w:before="164" w:line="359" w:lineRule="auto"/>
        <w:rPr>
          <w:rFonts w:ascii="SimSun" w:hAnsi="SimSun" w:eastAsia="SimSun" w:cs="SimSun"/>
          <w:sz w:val="24"/>
          <w:szCs w:val="24"/>
        </w:rPr>
      </w:pPr>
      <w:r>
        <w:rPr>
          <w:rFonts w:ascii="SimSun" w:hAnsi="SimSun" w:eastAsia="SimSun" w:cs="SimSun"/>
          <w:sz w:val="24"/>
          <w:szCs w:val="24"/>
          <w:spacing w:val="2"/>
        </w:rPr>
        <w:t>养殖场固废物主要来自防疫废物、病死牛、餐厨垃圾、消毒剂废包装袋及废</w:t>
      </w:r>
      <w:r>
        <w:rPr>
          <w:rFonts w:ascii="SimSun" w:hAnsi="SimSun" w:eastAsia="SimSun" w:cs="SimSun"/>
          <w:sz w:val="24"/>
          <w:szCs w:val="24"/>
          <w:spacing w:val="-1"/>
        </w:rPr>
        <w:t>垫料（牛粪、牛尿及菌种）等。</w:t>
      </w:r>
    </w:p>
    <w:p>
      <w:pPr>
        <w:ind w:left="558"/>
        <w:spacing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）废垫料（牛粪、牛尿及菌种）</w:t>
      </w:r>
    </w:p>
    <w:p>
      <w:pPr>
        <w:ind w:left="131" w:firstLine="480"/>
        <w:spacing w:before="162" w:line="357" w:lineRule="auto"/>
        <w:rPr>
          <w:rFonts w:ascii="SimSun" w:hAnsi="SimSun" w:eastAsia="SimSun" w:cs="SimSun"/>
          <w:sz w:val="24"/>
          <w:szCs w:val="24"/>
        </w:rPr>
      </w:pPr>
      <w:r>
        <w:rPr>
          <w:rFonts w:ascii="SimSun" w:hAnsi="SimSun" w:eastAsia="SimSun" w:cs="SimSun"/>
          <w:sz w:val="24"/>
          <w:szCs w:val="24"/>
          <w:spacing w:val="-1"/>
        </w:rPr>
        <w:t>本项目牛粪集中收集在储粪库，根据《排污许可证申请与核发技术规范 畜禽</w:t>
      </w:r>
      <w:r>
        <w:rPr>
          <w:rFonts w:ascii="SimSun" w:hAnsi="SimSun" w:eastAsia="SimSun" w:cs="SimSun"/>
          <w:sz w:val="24"/>
          <w:szCs w:val="24"/>
          <w:spacing w:val="-7"/>
        </w:rPr>
        <w:t>养殖行业》中的肉牛牛粪的产排污系数， 产生量平均以</w:t>
      </w:r>
      <w:r>
        <w:rPr>
          <w:rFonts w:ascii="SimSun" w:hAnsi="SimSun" w:eastAsia="SimSun" w:cs="SimSun"/>
          <w:sz w:val="24"/>
          <w:szCs w:val="24"/>
          <w:spacing w:val="-15"/>
        </w:rPr>
        <w:t xml:space="preserve"> </w:t>
      </w:r>
      <w:r>
        <w:rPr>
          <w:rFonts w:ascii="Times New Roman" w:hAnsi="Times New Roman" w:eastAsia="Times New Roman" w:cs="Times New Roman"/>
          <w:sz w:val="24"/>
          <w:szCs w:val="24"/>
          <w:spacing w:val="-7"/>
        </w:rPr>
        <w:t>10.88kg/d</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7"/>
        </w:rPr>
        <w:t>·头</w:t>
      </w:r>
      <w:r>
        <w:rPr>
          <w:rFonts w:ascii="Times New Roman" w:hAnsi="Times New Roman" w:eastAsia="Times New Roman" w:cs="Times New Roman"/>
          <w:sz w:val="24"/>
          <w:szCs w:val="24"/>
          <w:spacing w:val="-7"/>
        </w:rPr>
        <w:t>/</w:t>
      </w:r>
      <w:r>
        <w:rPr>
          <w:rFonts w:ascii="SimSun" w:hAnsi="SimSun" w:eastAsia="SimSun" w:cs="SimSun"/>
          <w:sz w:val="24"/>
          <w:szCs w:val="24"/>
          <w:spacing w:val="-7"/>
        </w:rPr>
        <w:t>只计，项目</w:t>
      </w:r>
      <w:r>
        <w:rPr>
          <w:rFonts w:ascii="SimSun" w:hAnsi="SimSun" w:eastAsia="SimSun" w:cs="SimSun"/>
          <w:sz w:val="24"/>
          <w:szCs w:val="24"/>
          <w:spacing w:val="-1"/>
        </w:rPr>
        <w:t>产牛粪</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6.528t/d</w:t>
      </w:r>
      <w:r>
        <w:rPr>
          <w:rFonts w:ascii="SimSun" w:hAnsi="SimSun" w:eastAsia="SimSun" w:cs="SimSun"/>
          <w:sz w:val="24"/>
          <w:szCs w:val="24"/>
          <w:spacing w:val="-1"/>
        </w:rPr>
        <w:t>（</w:t>
      </w:r>
      <w:r>
        <w:rPr>
          <w:rFonts w:ascii="Times New Roman" w:hAnsi="Times New Roman" w:eastAsia="Times New Roman" w:cs="Times New Roman"/>
          <w:sz w:val="24"/>
          <w:szCs w:val="24"/>
          <w:spacing w:val="-1"/>
        </w:rPr>
        <w:t>2382.72t/a</w:t>
      </w:r>
      <w:r>
        <w:rPr>
          <w:rFonts w:ascii="SimSun" w:hAnsi="SimSun" w:eastAsia="SimSun" w:cs="SimSun"/>
          <w:sz w:val="24"/>
          <w:szCs w:val="24"/>
          <w:spacing w:val="-1"/>
        </w:rPr>
        <w:t>）。本项目牛舍均铺设垫料，</w:t>
      </w:r>
      <w:r>
        <w:rPr>
          <w:rFonts w:ascii="Times New Roman" w:hAnsi="Times New Roman" w:eastAsia="Times New Roman" w:cs="Times New Roman"/>
          <w:sz w:val="24"/>
          <w:szCs w:val="24"/>
          <w:spacing w:val="-1"/>
        </w:rPr>
        <w:t>4 </w:t>
      </w:r>
      <w:r>
        <w:rPr>
          <w:rFonts w:ascii="SimSun" w:hAnsi="SimSun" w:eastAsia="SimSun" w:cs="SimSun"/>
          <w:sz w:val="24"/>
          <w:szCs w:val="24"/>
          <w:spacing w:val="-1"/>
        </w:rPr>
        <w:t>个月更换一次，垫料总</w:t>
      </w:r>
      <w:r>
        <w:rPr>
          <w:rFonts w:ascii="SimSun" w:hAnsi="SimSun" w:eastAsia="SimSun" w:cs="SimSun"/>
          <w:sz w:val="24"/>
          <w:szCs w:val="24"/>
          <w:spacing w:val="-4"/>
        </w:rPr>
        <w:t>用量约为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1800t/a</w:t>
      </w:r>
      <w:r>
        <w:rPr>
          <w:rFonts w:ascii="SimSun" w:hAnsi="SimSun" w:eastAsia="SimSun" w:cs="SimSun"/>
          <w:sz w:val="24"/>
          <w:szCs w:val="24"/>
          <w:spacing w:val="-4"/>
        </w:rPr>
        <w:t>，发酵床菌种使用量为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72t/a</w:t>
      </w:r>
      <w:r>
        <w:rPr>
          <w:rFonts w:ascii="SimSun" w:hAnsi="SimSun" w:eastAsia="SimSun" w:cs="SimSun"/>
          <w:sz w:val="24"/>
          <w:szCs w:val="24"/>
          <w:spacing w:val="-4"/>
        </w:rPr>
        <w:t>，进入垫料内的牛尿量约</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4"/>
        </w:rPr>
        <w:t>2915.255t/a</w:t>
      </w:r>
      <w:r>
        <w:rPr>
          <w:rFonts w:ascii="SimSun" w:hAnsi="SimSun" w:eastAsia="SimSun" w:cs="SimSun"/>
          <w:sz w:val="24"/>
          <w:szCs w:val="24"/>
          <w:spacing w:val="-4"/>
        </w:rPr>
        <w:t>，</w:t>
      </w:r>
      <w:r>
        <w:rPr>
          <w:rFonts w:ascii="SimSun" w:hAnsi="SimSun" w:eastAsia="SimSun" w:cs="SimSun"/>
          <w:sz w:val="24"/>
          <w:szCs w:val="24"/>
          <w:spacing w:val="1"/>
        </w:rPr>
        <w:t>因此废垫料产生量约</w:t>
      </w:r>
      <w:r>
        <w:rPr>
          <w:rFonts w:ascii="Times New Roman" w:hAnsi="Times New Roman" w:eastAsia="Times New Roman" w:cs="Times New Roman"/>
          <w:sz w:val="24"/>
          <w:szCs w:val="24"/>
          <w:spacing w:val="1"/>
        </w:rPr>
        <w:t>7169.975t/a</w:t>
      </w:r>
      <w:r>
        <w:rPr>
          <w:rFonts w:ascii="SimSun" w:hAnsi="SimSun" w:eastAsia="SimSun" w:cs="SimSun"/>
          <w:sz w:val="24"/>
          <w:szCs w:val="24"/>
          <w:spacing w:val="1"/>
        </w:rPr>
        <w:t>，属一般固废</w:t>
      </w:r>
      <w:r>
        <w:rPr>
          <w:rFonts w:ascii="SimSun" w:hAnsi="SimSun" w:eastAsia="SimSun" w:cs="SimSun"/>
          <w:sz w:val="24"/>
          <w:szCs w:val="24"/>
        </w:rPr>
        <w:t>，根据《固体废物分类与代码目录》 </w:t>
      </w:r>
      <w:r>
        <w:rPr>
          <w:rFonts w:ascii="SimSun" w:hAnsi="SimSun" w:eastAsia="SimSun" w:cs="SimSun"/>
          <w:sz w:val="24"/>
          <w:szCs w:val="24"/>
          <w:spacing w:val="-3"/>
        </w:rPr>
        <w:t>（公告 </w:t>
      </w:r>
      <w:r>
        <w:rPr>
          <w:rFonts w:ascii="Times New Roman" w:hAnsi="Times New Roman" w:eastAsia="Times New Roman" w:cs="Times New Roman"/>
          <w:sz w:val="24"/>
          <w:szCs w:val="24"/>
          <w:spacing w:val="-3"/>
        </w:rPr>
        <w:t>2024</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3"/>
        </w:rPr>
        <w:t>年第</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号）可知，属于</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3"/>
        </w:rPr>
        <w:t>SW82</w:t>
      </w:r>
      <w:r>
        <w:rPr>
          <w:rFonts w:ascii="Times New Roman" w:hAnsi="Times New Roman" w:eastAsia="Times New Roman" w:cs="Times New Roman"/>
          <w:sz w:val="24"/>
          <w:szCs w:val="24"/>
          <w:spacing w:val="42"/>
        </w:rPr>
        <w:t xml:space="preserve"> </w:t>
      </w:r>
      <w:r>
        <w:rPr>
          <w:rFonts w:ascii="SimSun" w:hAnsi="SimSun" w:eastAsia="SimSun" w:cs="SimSun"/>
          <w:sz w:val="24"/>
          <w:szCs w:val="24"/>
          <w:spacing w:val="-3"/>
        </w:rPr>
        <w:t>畜牧业废物，废物代码</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3"/>
        </w:rPr>
        <w:t>030-001</w:t>
      </w:r>
      <w:r>
        <w:rPr>
          <w:rFonts w:ascii="Times New Roman" w:hAnsi="Times New Roman" w:eastAsia="Times New Roman" w:cs="Times New Roman"/>
          <w:sz w:val="24"/>
          <w:szCs w:val="24"/>
          <w:spacing w:val="-4"/>
        </w:rPr>
        <w:t>-S82</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w:t>
      </w:r>
      <w:r>
        <w:rPr>
          <w:rFonts w:ascii="SimSun" w:hAnsi="SimSun" w:eastAsia="SimSun" w:cs="SimSun"/>
          <w:sz w:val="24"/>
          <w:szCs w:val="24"/>
          <w:spacing w:val="-1"/>
        </w:rPr>
        <w:t>暂存于储粪库，外售给相关单位生产有机肥。</w:t>
      </w:r>
    </w:p>
    <w:p>
      <w:pPr>
        <w:ind w:left="558"/>
        <w:spacing w:before="21"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）防疫废物</w:t>
      </w:r>
    </w:p>
    <w:p>
      <w:pPr>
        <w:ind w:left="131" w:right="109" w:firstLine="480"/>
        <w:spacing w:before="163" w:line="354" w:lineRule="auto"/>
        <w:rPr>
          <w:rFonts w:ascii="SimSun" w:hAnsi="SimSun" w:eastAsia="SimSun" w:cs="SimSun"/>
          <w:sz w:val="24"/>
          <w:szCs w:val="24"/>
        </w:rPr>
      </w:pPr>
      <w:r>
        <w:rPr>
          <w:rFonts w:ascii="SimSun" w:hAnsi="SimSun" w:eastAsia="SimSun" w:cs="SimSun"/>
          <w:sz w:val="24"/>
          <w:szCs w:val="24"/>
          <w:spacing w:val="-1"/>
        </w:rPr>
        <w:t>本项目防疫体系兽用废物产生量约为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0.5t/a</w:t>
      </w:r>
      <w:r>
        <w:rPr>
          <w:rFonts w:ascii="SimSun" w:hAnsi="SimSun" w:eastAsia="SimSun" w:cs="SimSun"/>
          <w:sz w:val="24"/>
          <w:szCs w:val="24"/>
          <w:spacing w:val="-1"/>
        </w:rPr>
        <w:t>，属于国家危</w:t>
      </w:r>
      <w:r>
        <w:rPr>
          <w:rFonts w:ascii="SimSun" w:hAnsi="SimSun" w:eastAsia="SimSun" w:cs="SimSun"/>
          <w:sz w:val="24"/>
          <w:szCs w:val="24"/>
          <w:spacing w:val="-2"/>
        </w:rPr>
        <w:t>险废物名录中</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2"/>
        </w:rPr>
        <w:t>HW01</w:t>
      </w:r>
      <w:r>
        <w:rPr>
          <w:rFonts w:ascii="SimSun" w:hAnsi="SimSun" w:eastAsia="SimSun" w:cs="SimSun"/>
          <w:sz w:val="24"/>
          <w:szCs w:val="24"/>
          <w:spacing w:val="-1"/>
        </w:rPr>
        <w:t>医疗废物中 </w:t>
      </w:r>
      <w:r>
        <w:rPr>
          <w:rFonts w:ascii="Times New Roman" w:hAnsi="Times New Roman" w:eastAsia="Times New Roman" w:cs="Times New Roman"/>
          <w:sz w:val="24"/>
          <w:szCs w:val="24"/>
          <w:spacing w:val="-1"/>
        </w:rPr>
        <w:t>841-002-01</w:t>
      </w:r>
      <w:r>
        <w:rPr>
          <w:rFonts w:ascii="Times New Roman" w:hAnsi="Times New Roman" w:eastAsia="Times New Roman" w:cs="Times New Roman"/>
          <w:sz w:val="24"/>
          <w:szCs w:val="24"/>
          <w:spacing w:val="43"/>
          <w:w w:val="101"/>
        </w:rPr>
        <w:t xml:space="preserve"> </w:t>
      </w:r>
      <w:r>
        <w:rPr>
          <w:rFonts w:ascii="SimSun" w:hAnsi="SimSun" w:eastAsia="SimSun" w:cs="SimSun"/>
          <w:sz w:val="24"/>
          <w:szCs w:val="24"/>
          <w:spacing w:val="-1"/>
        </w:rPr>
        <w:t>为损伤性废物，暂存于危险废物贮存</w:t>
      </w:r>
      <w:r>
        <w:rPr>
          <w:rFonts w:ascii="SimSun" w:hAnsi="SimSun" w:eastAsia="SimSun" w:cs="SimSun"/>
          <w:sz w:val="24"/>
          <w:szCs w:val="24"/>
          <w:spacing w:val="-2"/>
        </w:rPr>
        <w:t>间，定期由有资质单</w:t>
      </w:r>
      <w:r>
        <w:rPr>
          <w:rFonts w:ascii="SimSun" w:hAnsi="SimSun" w:eastAsia="SimSun" w:cs="SimSun"/>
          <w:sz w:val="24"/>
          <w:szCs w:val="24"/>
          <w:spacing w:val="-9"/>
        </w:rPr>
        <w:t>位处理。</w:t>
      </w:r>
    </w:p>
    <w:p>
      <w:pPr>
        <w:ind w:left="558"/>
        <w:spacing w:before="19" w:line="235"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）病死牛</w:t>
      </w:r>
    </w:p>
    <w:p>
      <w:pPr>
        <w:ind w:left="133" w:right="7" w:firstLine="478"/>
        <w:spacing w:before="164" w:line="359" w:lineRule="auto"/>
        <w:rPr>
          <w:rFonts w:ascii="SimSun" w:hAnsi="SimSun" w:eastAsia="SimSun" w:cs="SimSun"/>
          <w:sz w:val="24"/>
          <w:szCs w:val="24"/>
        </w:rPr>
      </w:pPr>
      <w:r>
        <w:rPr>
          <w:rFonts w:ascii="SimSun" w:hAnsi="SimSun" w:eastAsia="SimSun" w:cs="SimSun"/>
          <w:sz w:val="24"/>
          <w:szCs w:val="24"/>
          <w:spacing w:val="-2"/>
        </w:rPr>
        <w:t>本项目评价按表</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2"/>
        </w:rPr>
        <w:t>3-14</w:t>
      </w:r>
      <w:r>
        <w:rPr>
          <w:rFonts w:ascii="Times New Roman" w:hAnsi="Times New Roman" w:eastAsia="Times New Roman" w:cs="Times New Roman"/>
          <w:sz w:val="24"/>
          <w:szCs w:val="24"/>
          <w:spacing w:val="44"/>
        </w:rPr>
        <w:t xml:space="preserve"> </w:t>
      </w:r>
      <w:r>
        <w:rPr>
          <w:rFonts w:ascii="SimSun" w:hAnsi="SimSun" w:eastAsia="SimSun" w:cs="SimSun"/>
          <w:sz w:val="24"/>
          <w:szCs w:val="24"/>
          <w:spacing w:val="-2"/>
        </w:rPr>
        <w:t>中死亡率及重量计。经核算，本项目病死牛尸体产生量</w:t>
      </w:r>
      <w:r>
        <w:rPr>
          <w:rFonts w:ascii="SimSun" w:hAnsi="SimSun" w:eastAsia="SimSun" w:cs="SimSun"/>
          <w:sz w:val="24"/>
          <w:szCs w:val="24"/>
          <w:spacing w:val="-7"/>
        </w:rPr>
        <w:t>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18t/a</w:t>
      </w:r>
      <w:r>
        <w:rPr>
          <w:rFonts w:ascii="SimSun" w:hAnsi="SimSun" w:eastAsia="SimSun" w:cs="SimSun"/>
          <w:sz w:val="24"/>
          <w:szCs w:val="24"/>
          <w:spacing w:val="-7"/>
        </w:rPr>
        <w:t>，属于一般固废，根据《固体废物分类与代码目录》（公告</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7"/>
        </w:rPr>
        <w:t>2024 </w:t>
      </w:r>
      <w:r>
        <w:rPr>
          <w:rFonts w:ascii="SimSun" w:hAnsi="SimSun" w:eastAsia="SimSun" w:cs="SimSun"/>
          <w:sz w:val="24"/>
          <w:szCs w:val="24"/>
          <w:spacing w:val="-7"/>
        </w:rPr>
        <w:t>年第</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7"/>
        </w:rPr>
        <w:t>4</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7"/>
        </w:rPr>
        <w:t>号）</w:t>
      </w:r>
      <w:r>
        <w:rPr>
          <w:rFonts w:ascii="SimSun" w:hAnsi="SimSun" w:eastAsia="SimSun" w:cs="SimSun"/>
          <w:sz w:val="24"/>
          <w:szCs w:val="24"/>
          <w:spacing w:val="-2"/>
        </w:rPr>
        <w:t>可知，属于</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2"/>
        </w:rPr>
        <w:t>SW82</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2"/>
        </w:rPr>
        <w:t>畜牧业废物，废物代码</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030-002-</w:t>
      </w:r>
      <w:r>
        <w:rPr>
          <w:rFonts w:ascii="Times New Roman" w:hAnsi="Times New Roman" w:eastAsia="Times New Roman" w:cs="Times New Roman"/>
          <w:sz w:val="24"/>
          <w:szCs w:val="24"/>
          <w:spacing w:val="-3"/>
        </w:rPr>
        <w:t>S82</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，病死牛暂存于冷藏集装箱</w:t>
      </w:r>
      <w:r>
        <w:rPr>
          <w:rFonts w:ascii="SimSun" w:hAnsi="SimSun" w:eastAsia="SimSun" w:cs="SimSun"/>
          <w:sz w:val="24"/>
          <w:szCs w:val="24"/>
          <w:spacing w:val="-3"/>
        </w:rPr>
        <w:t>内，委托相关单位</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3"/>
        </w:rPr>
        <w:t>3d</w:t>
      </w:r>
      <w:r>
        <w:rPr>
          <w:rFonts w:ascii="Times New Roman" w:hAnsi="Times New Roman" w:eastAsia="Times New Roman" w:cs="Times New Roman"/>
          <w:sz w:val="24"/>
          <w:szCs w:val="24"/>
          <w:spacing w:val="38"/>
          <w:w w:val="101"/>
        </w:rPr>
        <w:t xml:space="preserve"> </w:t>
      </w:r>
      <w:r>
        <w:rPr>
          <w:rFonts w:ascii="SimSun" w:hAnsi="SimSun" w:eastAsia="SimSun" w:cs="SimSun"/>
          <w:sz w:val="24"/>
          <w:szCs w:val="24"/>
          <w:spacing w:val="-3"/>
        </w:rPr>
        <w:t>内拉运进行无害化处置。</w:t>
      </w:r>
    </w:p>
    <w:p>
      <w:pPr>
        <w:ind w:left="2144"/>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spacing w:val="-2"/>
        </w:rPr>
        <w:t>3-14      </w:t>
      </w:r>
      <w:r>
        <w:rPr>
          <w:rFonts w:ascii="SimSun" w:hAnsi="SimSun" w:eastAsia="SimSun" w:cs="SimSun"/>
          <w:sz w:val="24"/>
          <w:szCs w:val="24"/>
          <w:b/>
          <w:bCs/>
          <w:spacing w:val="-2"/>
        </w:rPr>
        <w:t>项目各类牛死亡率及平均重量一览表</w:t>
      </w:r>
    </w:p>
    <w:p>
      <w:pPr>
        <w:spacing w:line="12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62"/>
        <w:gridCol w:w="1261"/>
        <w:gridCol w:w="1440"/>
        <w:gridCol w:w="2340"/>
        <w:gridCol w:w="2132"/>
      </w:tblGrid>
      <w:tr>
        <w:trPr>
          <w:trHeight w:val="564" w:hRule="atLeast"/>
        </w:trPr>
        <w:tc>
          <w:tcPr>
            <w:tcW w:w="1562" w:type="dxa"/>
            <w:vAlign w:val="top"/>
            <w:tcBorders>
              <w:top w:val="single" w:color="000000" w:sz="10" w:space="0"/>
              <w:left w:val="nil"/>
            </w:tcBorders>
          </w:tcPr>
          <w:p>
            <w:pPr>
              <w:pStyle w:val="TableText"/>
              <w:ind w:left="584"/>
              <w:spacing w:before="184" w:line="221" w:lineRule="auto"/>
              <w:rPr/>
            </w:pPr>
            <w:r>
              <w:rPr>
                <w:b/>
                <w:bCs/>
                <w:spacing w:val="-4"/>
              </w:rPr>
              <w:t>种类</w:t>
            </w:r>
          </w:p>
        </w:tc>
        <w:tc>
          <w:tcPr>
            <w:tcW w:w="1261" w:type="dxa"/>
            <w:vAlign w:val="top"/>
            <w:tcBorders>
              <w:top w:val="single" w:color="000000" w:sz="10" w:space="0"/>
            </w:tcBorders>
          </w:tcPr>
          <w:p>
            <w:pPr>
              <w:pStyle w:val="TableText"/>
              <w:ind w:left="214"/>
              <w:spacing w:before="185" w:line="221" w:lineRule="auto"/>
              <w:rPr/>
            </w:pPr>
            <w:r>
              <w:rPr>
                <w:b/>
                <w:bCs/>
                <w:spacing w:val="-3"/>
              </w:rPr>
              <w:t>平均重量</w:t>
            </w:r>
          </w:p>
        </w:tc>
        <w:tc>
          <w:tcPr>
            <w:tcW w:w="1440" w:type="dxa"/>
            <w:vAlign w:val="top"/>
            <w:tcBorders>
              <w:top w:val="single" w:color="000000" w:sz="10" w:space="0"/>
            </w:tcBorders>
          </w:tcPr>
          <w:p>
            <w:pPr>
              <w:pStyle w:val="TableText"/>
              <w:ind w:left="196"/>
              <w:spacing w:before="184" w:line="221" w:lineRule="auto"/>
              <w:rPr/>
            </w:pPr>
            <w:r>
              <w:rPr>
                <w:b/>
                <w:bCs/>
                <w:spacing w:val="-3"/>
              </w:rPr>
              <w:t>平均死亡率</w:t>
            </w:r>
          </w:p>
        </w:tc>
        <w:tc>
          <w:tcPr>
            <w:tcW w:w="2340" w:type="dxa"/>
            <w:vAlign w:val="top"/>
            <w:tcBorders>
              <w:top w:val="single" w:color="000000" w:sz="10" w:space="0"/>
            </w:tcBorders>
          </w:tcPr>
          <w:p>
            <w:pPr>
              <w:pStyle w:val="TableText"/>
              <w:spacing w:before="185" w:line="234" w:lineRule="auto"/>
              <w:jc w:val="right"/>
              <w:rPr/>
            </w:pPr>
            <w:r>
              <w:rPr>
                <w:b/>
                <w:bCs/>
                <w:spacing w:val="-7"/>
              </w:rPr>
              <w:t>病死牛产生头数（头</w:t>
            </w:r>
            <w:r>
              <w:rPr>
                <w:rFonts w:ascii="Times New Roman" w:hAnsi="Times New Roman" w:eastAsia="Times New Roman" w:cs="Times New Roman"/>
                <w:b/>
                <w:bCs/>
                <w:spacing w:val="-7"/>
              </w:rPr>
              <w:t>/a</w:t>
            </w:r>
            <w:r>
              <w:rPr>
                <w:b/>
                <w:bCs/>
                <w:spacing w:val="-7"/>
              </w:rPr>
              <w:t>）</w:t>
            </w:r>
          </w:p>
        </w:tc>
        <w:tc>
          <w:tcPr>
            <w:tcW w:w="2132" w:type="dxa"/>
            <w:vAlign w:val="top"/>
            <w:tcBorders>
              <w:top w:val="single" w:color="000000" w:sz="10" w:space="0"/>
              <w:right w:val="nil"/>
            </w:tcBorders>
          </w:tcPr>
          <w:p>
            <w:pPr>
              <w:pStyle w:val="TableText"/>
              <w:ind w:left="332"/>
              <w:spacing w:before="47" w:line="221" w:lineRule="auto"/>
              <w:rPr/>
            </w:pPr>
            <w:r>
              <w:rPr>
                <w:b/>
                <w:bCs/>
                <w:spacing w:val="-3"/>
              </w:rPr>
              <w:t>病死牛产生重量</w:t>
            </w:r>
          </w:p>
          <w:p>
            <w:pPr>
              <w:pStyle w:val="TableText"/>
              <w:ind w:left="749"/>
              <w:spacing w:before="20" w:line="206" w:lineRule="auto"/>
              <w:rPr/>
            </w:pPr>
            <w:r>
              <w:rPr>
                <w:b/>
                <w:bCs/>
                <w:spacing w:val="-4"/>
              </w:rPr>
              <w:t>（</w:t>
            </w:r>
            <w:r>
              <w:rPr>
                <w:rFonts w:ascii="Times New Roman" w:hAnsi="Times New Roman" w:eastAsia="Times New Roman" w:cs="Times New Roman"/>
                <w:b/>
                <w:bCs/>
                <w:spacing w:val="-4"/>
              </w:rPr>
              <w:t>t/a</w:t>
            </w:r>
            <w:r>
              <w:rPr>
                <w:b/>
                <w:bCs/>
                <w:spacing w:val="-4"/>
              </w:rPr>
              <w:t>）</w:t>
            </w:r>
          </w:p>
        </w:tc>
      </w:tr>
      <w:tr>
        <w:trPr>
          <w:trHeight w:val="343" w:hRule="atLeast"/>
        </w:trPr>
        <w:tc>
          <w:tcPr>
            <w:tcW w:w="1562" w:type="dxa"/>
            <w:vAlign w:val="top"/>
            <w:tcBorders>
              <w:bottom w:val="single" w:color="000000" w:sz="10" w:space="0"/>
              <w:left w:val="nil"/>
            </w:tcBorders>
          </w:tcPr>
          <w:p>
            <w:pPr>
              <w:pStyle w:val="TableText"/>
              <w:ind w:left="588"/>
              <w:spacing w:before="71" w:line="222" w:lineRule="auto"/>
              <w:rPr/>
            </w:pPr>
            <w:r>
              <w:rPr>
                <w:spacing w:val="-2"/>
              </w:rPr>
              <w:t>成牛</w:t>
            </w:r>
          </w:p>
        </w:tc>
        <w:tc>
          <w:tcPr>
            <w:tcW w:w="1261" w:type="dxa"/>
            <w:vAlign w:val="top"/>
            <w:tcBorders>
              <w:bottom w:val="single" w:color="000000" w:sz="10" w:space="0"/>
            </w:tcBorders>
          </w:tcPr>
          <w:p>
            <w:pPr>
              <w:pStyle w:val="TableText"/>
              <w:ind w:left="240"/>
              <w:spacing w:before="86" w:line="213" w:lineRule="auto"/>
              <w:rPr/>
            </w:pPr>
            <w:r>
              <w:rPr>
                <w:rFonts w:ascii="Times New Roman" w:hAnsi="Times New Roman" w:eastAsia="Times New Roman" w:cs="Times New Roman"/>
                <w:spacing w:val="-1"/>
              </w:rPr>
              <w:t>600kg/</w:t>
            </w:r>
            <w:r>
              <w:rPr>
                <w:spacing w:val="-1"/>
              </w:rPr>
              <w:t>头</w:t>
            </w:r>
          </w:p>
        </w:tc>
        <w:tc>
          <w:tcPr>
            <w:tcW w:w="1440" w:type="dxa"/>
            <w:vAlign w:val="top"/>
            <w:tcBorders>
              <w:bottom w:val="single" w:color="000000" w:sz="10" w:space="0"/>
            </w:tcBorders>
          </w:tcPr>
          <w:p>
            <w:pPr>
              <w:ind w:left="506"/>
              <w:spacing w:before="121"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2340" w:type="dxa"/>
            <w:vAlign w:val="top"/>
            <w:tcBorders>
              <w:bottom w:val="single" w:color="000000" w:sz="10" w:space="0"/>
            </w:tcBorders>
          </w:tcPr>
          <w:p>
            <w:pPr>
              <w:ind w:left="1085"/>
              <w:spacing w:before="121"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132" w:type="dxa"/>
            <w:vAlign w:val="top"/>
            <w:tcBorders>
              <w:bottom w:val="single" w:color="000000" w:sz="10" w:space="0"/>
              <w:right w:val="nil"/>
            </w:tcBorders>
          </w:tcPr>
          <w:p>
            <w:pPr>
              <w:ind w:left="1020"/>
              <w:spacing w:before="121"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bl>
    <w:p>
      <w:pPr>
        <w:ind w:left="618"/>
        <w:spacing w:before="34"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）餐厨垃圾</w:t>
      </w:r>
    </w:p>
    <w:p>
      <w:pPr>
        <w:ind w:left="130" w:right="43" w:firstLine="484"/>
        <w:spacing w:before="164" w:line="355" w:lineRule="auto"/>
        <w:rPr>
          <w:rFonts w:ascii="SimSun" w:hAnsi="SimSun" w:eastAsia="SimSun" w:cs="SimSun"/>
          <w:sz w:val="24"/>
          <w:szCs w:val="24"/>
        </w:rPr>
      </w:pPr>
      <w:r>
        <w:rPr>
          <w:rFonts w:ascii="SimSun" w:hAnsi="SimSun" w:eastAsia="SimSun" w:cs="SimSun"/>
          <w:sz w:val="24"/>
          <w:szCs w:val="24"/>
        </w:rPr>
        <w:t>项目建成后，食堂就餐人数为</w:t>
      </w:r>
      <w:r>
        <w:rPr>
          <w:rFonts w:ascii="SimSun" w:hAnsi="SimSun" w:eastAsia="SimSun" w:cs="SimSun"/>
          <w:sz w:val="24"/>
          <w:szCs w:val="24"/>
          <w:spacing w:val="-26"/>
        </w:rPr>
        <w:t xml:space="preserve"> </w:t>
      </w:r>
      <w:r>
        <w:rPr>
          <w:rFonts w:ascii="Times New Roman" w:hAnsi="Times New Roman" w:eastAsia="Times New Roman" w:cs="Times New Roman"/>
          <w:sz w:val="24"/>
          <w:szCs w:val="24"/>
        </w:rPr>
        <w:t>10</w:t>
      </w:r>
      <w:r>
        <w:rPr>
          <w:rFonts w:ascii="Times New Roman" w:hAnsi="Times New Roman" w:eastAsia="Times New Roman" w:cs="Times New Roman"/>
          <w:sz w:val="24"/>
          <w:szCs w:val="24"/>
          <w:spacing w:val="16"/>
        </w:rPr>
        <w:t xml:space="preserve"> </w:t>
      </w:r>
      <w:r>
        <w:rPr>
          <w:rFonts w:ascii="SimSun" w:hAnsi="SimSun" w:eastAsia="SimSun" w:cs="SimSun"/>
          <w:sz w:val="24"/>
          <w:szCs w:val="24"/>
        </w:rPr>
        <w:t>人，餐厨垃圾产生量按</w:t>
      </w:r>
      <w:r>
        <w:rPr>
          <w:rFonts w:ascii="Times New Roman" w:hAnsi="Times New Roman" w:eastAsia="Times New Roman" w:cs="Times New Roman"/>
          <w:sz w:val="24"/>
          <w:szCs w:val="24"/>
        </w:rPr>
        <w:t>0.2kg/</w:t>
      </w:r>
      <w:r>
        <w:rPr>
          <w:rFonts w:ascii="SimSun" w:hAnsi="SimSun" w:eastAsia="SimSun" w:cs="SimSun"/>
          <w:sz w:val="24"/>
          <w:szCs w:val="24"/>
        </w:rPr>
        <w:t>人</w:t>
      </w:r>
      <w:r>
        <w:rPr>
          <w:rFonts w:ascii="Times New Roman" w:hAnsi="Times New Roman" w:eastAsia="Times New Roman" w:cs="Times New Roman"/>
          <w:sz w:val="24"/>
          <w:szCs w:val="24"/>
        </w:rPr>
        <w:t>·d</w:t>
      </w:r>
      <w:r>
        <w:rPr>
          <w:rFonts w:ascii="Times New Roman" w:hAnsi="Times New Roman" w:eastAsia="Times New Roman" w:cs="Times New Roman"/>
          <w:sz w:val="24"/>
          <w:szCs w:val="24"/>
          <w:spacing w:val="16"/>
        </w:rPr>
        <w:t xml:space="preserve"> </w:t>
      </w:r>
      <w:r>
        <w:rPr>
          <w:rFonts w:ascii="SimSun" w:hAnsi="SimSun" w:eastAsia="SimSun" w:cs="SimSun"/>
          <w:sz w:val="24"/>
          <w:szCs w:val="24"/>
        </w:rPr>
        <w:t>计，餐厨</w:t>
      </w:r>
      <w:r>
        <w:rPr>
          <w:rFonts w:ascii="SimSun" w:hAnsi="SimSun" w:eastAsia="SimSun" w:cs="SimSun"/>
          <w:sz w:val="24"/>
          <w:szCs w:val="24"/>
          <w:spacing w:val="-1"/>
        </w:rPr>
        <w:t>垃圾产生量为 </w:t>
      </w:r>
      <w:r>
        <w:rPr>
          <w:rFonts w:ascii="Times New Roman" w:hAnsi="Times New Roman" w:eastAsia="Times New Roman" w:cs="Times New Roman"/>
          <w:sz w:val="24"/>
          <w:szCs w:val="24"/>
          <w:spacing w:val="-1"/>
        </w:rPr>
        <w:t>0.002t/d</w:t>
      </w:r>
      <w:r>
        <w:rPr>
          <w:rFonts w:ascii="SimSun" w:hAnsi="SimSun" w:eastAsia="SimSun" w:cs="SimSun"/>
          <w:sz w:val="24"/>
          <w:szCs w:val="24"/>
          <w:spacing w:val="-1"/>
        </w:rPr>
        <w:t>（</w:t>
      </w:r>
      <w:r>
        <w:rPr>
          <w:rFonts w:ascii="Times New Roman" w:hAnsi="Times New Roman" w:eastAsia="Times New Roman" w:cs="Times New Roman"/>
          <w:sz w:val="24"/>
          <w:szCs w:val="24"/>
          <w:spacing w:val="-1"/>
        </w:rPr>
        <w:t>0.73t/a</w:t>
      </w:r>
      <w:r>
        <w:rPr>
          <w:rFonts w:ascii="SimSun" w:hAnsi="SimSun" w:eastAsia="SimSun" w:cs="SimSun"/>
          <w:sz w:val="24"/>
          <w:szCs w:val="24"/>
          <w:spacing w:val="5"/>
        </w:rPr>
        <w:t>），</w:t>
      </w:r>
      <w:r>
        <w:rPr>
          <w:rFonts w:ascii="SimSun" w:hAnsi="SimSun" w:eastAsia="SimSun" w:cs="SimSun"/>
          <w:sz w:val="24"/>
          <w:szCs w:val="24"/>
          <w:spacing w:val="-1"/>
        </w:rPr>
        <w:t>属于一般固废，根据《固体废</w:t>
      </w:r>
      <w:r>
        <w:rPr>
          <w:rFonts w:ascii="SimSun" w:hAnsi="SimSun" w:eastAsia="SimSun" w:cs="SimSun"/>
          <w:sz w:val="24"/>
          <w:szCs w:val="24"/>
          <w:spacing w:val="-2"/>
        </w:rPr>
        <w:t>物分类与代码目</w:t>
      </w:r>
      <w:r>
        <w:rPr>
          <w:rFonts w:ascii="SimSun" w:hAnsi="SimSun" w:eastAsia="SimSun" w:cs="SimSun"/>
          <w:sz w:val="24"/>
          <w:szCs w:val="24"/>
          <w:spacing w:val="-3"/>
        </w:rPr>
        <w:t>录》（公告</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3"/>
        </w:rPr>
        <w:t>2024 </w:t>
      </w:r>
      <w:r>
        <w:rPr>
          <w:rFonts w:ascii="SimSun" w:hAnsi="SimSun" w:eastAsia="SimSun" w:cs="SimSun"/>
          <w:sz w:val="24"/>
          <w:szCs w:val="24"/>
          <w:spacing w:val="-3"/>
        </w:rPr>
        <w:t>年第</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号）可知，属于</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3"/>
        </w:rPr>
        <w:t>SW61</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3"/>
        </w:rPr>
        <w:t>厨余垃圾</w:t>
      </w:r>
      <w:r>
        <w:rPr>
          <w:rFonts w:ascii="SimSun" w:hAnsi="SimSun" w:eastAsia="SimSun" w:cs="SimSun"/>
          <w:sz w:val="24"/>
          <w:szCs w:val="24"/>
          <w:spacing w:val="-4"/>
        </w:rPr>
        <w:t>，废物代码</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900-002-S61</w:t>
      </w:r>
      <w:r>
        <w:rPr>
          <w:rFonts w:ascii="SimSun" w:hAnsi="SimSun" w:eastAsia="SimSun" w:cs="SimSun"/>
          <w:sz w:val="24"/>
          <w:szCs w:val="24"/>
          <w:spacing w:val="-4"/>
        </w:rPr>
        <w:t>，</w:t>
      </w:r>
      <w:r>
        <w:rPr>
          <w:rFonts w:ascii="SimSun" w:hAnsi="SimSun" w:eastAsia="SimSun" w:cs="SimSun"/>
          <w:sz w:val="24"/>
          <w:szCs w:val="24"/>
          <w:spacing w:val="3"/>
        </w:rPr>
        <w:t>对餐饮废物分类桶装收集（加盖、标识）。食品加工过程</w:t>
      </w:r>
      <w:r>
        <w:rPr>
          <w:rFonts w:ascii="SimSun" w:hAnsi="SimSun" w:eastAsia="SimSun" w:cs="SimSun"/>
          <w:sz w:val="24"/>
          <w:szCs w:val="24"/>
          <w:spacing w:val="2"/>
        </w:rPr>
        <w:t>中产生的根茎及剩饭剩</w:t>
      </w:r>
    </w:p>
    <w:p>
      <w:pPr>
        <w:spacing w:line="355" w:lineRule="auto"/>
        <w:sectPr>
          <w:headerReference w:type="default" r:id="rId80"/>
          <w:pgSz w:w="11907" w:h="16839"/>
          <w:pgMar w:top="1390" w:right="1587" w:bottom="400" w:left="1579" w:header="1054" w:footer="0" w:gutter="0"/>
        </w:sectPr>
        <w:rPr>
          <w:rFonts w:ascii="SimSun" w:hAnsi="SimSun" w:eastAsia="SimSun" w:cs="SimSun"/>
          <w:sz w:val="24"/>
          <w:szCs w:val="24"/>
        </w:rPr>
      </w:pPr>
    </w:p>
    <w:p>
      <w:pPr>
        <w:ind w:left="133" w:right="38" w:hanging="2"/>
        <w:spacing w:before="84" w:line="359" w:lineRule="auto"/>
        <w:rPr>
          <w:rFonts w:ascii="SimSun" w:hAnsi="SimSun" w:eastAsia="SimSun" w:cs="SimSun"/>
          <w:sz w:val="24"/>
          <w:szCs w:val="24"/>
        </w:rPr>
      </w:pPr>
      <w:r>
        <w:rPr>
          <w:rFonts w:ascii="SimSun" w:hAnsi="SimSun" w:eastAsia="SimSun" w:cs="SimSun"/>
          <w:sz w:val="24"/>
          <w:szCs w:val="24"/>
          <w:spacing w:val="2"/>
        </w:rPr>
        <w:t>菜及其它废物，均属于餐厨垃圾，这部分固废每日使用加盖塑料桶进行收集，定</w:t>
      </w:r>
      <w:r>
        <w:rPr>
          <w:rFonts w:ascii="SimSun" w:hAnsi="SimSun" w:eastAsia="SimSun" w:cs="SimSun"/>
          <w:sz w:val="24"/>
          <w:szCs w:val="24"/>
          <w:spacing w:val="-3"/>
        </w:rPr>
        <w:t>期交由环卫部门进行统一处理。</w:t>
      </w:r>
    </w:p>
    <w:p>
      <w:pPr>
        <w:ind w:left="618"/>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）生活垃圾</w:t>
      </w:r>
    </w:p>
    <w:p>
      <w:pPr>
        <w:ind w:left="136" w:right="27" w:firstLine="476"/>
        <w:spacing w:before="165" w:line="355" w:lineRule="auto"/>
        <w:rPr>
          <w:rFonts w:ascii="SimSun" w:hAnsi="SimSun" w:eastAsia="SimSun" w:cs="SimSun"/>
          <w:sz w:val="24"/>
          <w:szCs w:val="24"/>
        </w:rPr>
      </w:pPr>
      <w:r>
        <w:rPr>
          <w:rFonts w:ascii="SimSun" w:hAnsi="SimSun" w:eastAsia="SimSun" w:cs="SimSun"/>
          <w:sz w:val="24"/>
          <w:szCs w:val="24"/>
          <w:spacing w:val="1"/>
        </w:rPr>
        <w:t>本项目劳动定员</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1"/>
        </w:rPr>
        <w:t>10</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1"/>
        </w:rPr>
        <w:t>人，生活垃圾按</w:t>
      </w:r>
      <w:r>
        <w:rPr>
          <w:rFonts w:ascii="Times New Roman" w:hAnsi="Times New Roman" w:eastAsia="Times New Roman" w:cs="Times New Roman"/>
          <w:sz w:val="24"/>
          <w:szCs w:val="24"/>
          <w:spacing w:val="1"/>
        </w:rPr>
        <w:t>0.5</w:t>
      </w:r>
      <w:r>
        <w:rPr>
          <w:rFonts w:ascii="Times New Roman" w:hAnsi="Times New Roman" w:eastAsia="Times New Roman" w:cs="Times New Roman"/>
          <w:sz w:val="24"/>
          <w:szCs w:val="24"/>
        </w:rPr>
        <w:t>kg/</w:t>
      </w:r>
      <w:r>
        <w:rPr>
          <w:rFonts w:ascii="SimSun" w:hAnsi="SimSun" w:eastAsia="SimSun" w:cs="SimSun"/>
          <w:sz w:val="24"/>
          <w:szCs w:val="24"/>
        </w:rPr>
        <w:t>人</w:t>
      </w:r>
      <w:r>
        <w:rPr>
          <w:rFonts w:ascii="Times New Roman" w:hAnsi="Times New Roman" w:eastAsia="Times New Roman" w:cs="Times New Roman"/>
          <w:sz w:val="24"/>
          <w:szCs w:val="24"/>
        </w:rPr>
        <w:t>·d </w:t>
      </w:r>
      <w:r>
        <w:rPr>
          <w:rFonts w:ascii="SimSun" w:hAnsi="SimSun" w:eastAsia="SimSun" w:cs="SimSun"/>
          <w:sz w:val="24"/>
          <w:szCs w:val="24"/>
        </w:rPr>
        <w:t>计，则职工生活垃圾产生量为</w:t>
      </w:r>
      <w:r>
        <w:rPr>
          <w:rFonts w:ascii="Times New Roman" w:hAnsi="Times New Roman" w:eastAsia="Times New Roman" w:cs="Times New Roman"/>
          <w:sz w:val="24"/>
          <w:szCs w:val="24"/>
          <w:spacing w:val="-2"/>
        </w:rPr>
        <w:t>1.825t/a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，根据《固体废物分类与代码目</w:t>
      </w:r>
      <w:r>
        <w:rPr>
          <w:rFonts w:ascii="SimSun" w:hAnsi="SimSun" w:eastAsia="SimSun" w:cs="SimSun"/>
          <w:sz w:val="24"/>
          <w:szCs w:val="24"/>
          <w:spacing w:val="-3"/>
        </w:rPr>
        <w:t>录》（公告 </w:t>
      </w:r>
      <w:r>
        <w:rPr>
          <w:rFonts w:ascii="Times New Roman" w:hAnsi="Times New Roman" w:eastAsia="Times New Roman" w:cs="Times New Roman"/>
          <w:sz w:val="24"/>
          <w:szCs w:val="24"/>
          <w:spacing w:val="-3"/>
        </w:rPr>
        <w:t>2024</w:t>
      </w:r>
      <w:r>
        <w:rPr>
          <w:rFonts w:ascii="Times New Roman" w:hAnsi="Times New Roman" w:eastAsia="Times New Roman" w:cs="Times New Roman"/>
          <w:sz w:val="24"/>
          <w:szCs w:val="24"/>
          <w:spacing w:val="51"/>
          <w:w w:val="101"/>
        </w:rPr>
        <w:t xml:space="preserve"> </w:t>
      </w:r>
      <w:r>
        <w:rPr>
          <w:rFonts w:ascii="SimSun" w:hAnsi="SimSun" w:eastAsia="SimSun" w:cs="SimSun"/>
          <w:sz w:val="24"/>
          <w:szCs w:val="24"/>
          <w:spacing w:val="-3"/>
        </w:rPr>
        <w:t>年第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56"/>
        </w:rPr>
        <w:t xml:space="preserve"> </w:t>
      </w:r>
      <w:r>
        <w:rPr>
          <w:rFonts w:ascii="SimSun" w:hAnsi="SimSun" w:eastAsia="SimSun" w:cs="SimSun"/>
          <w:sz w:val="24"/>
          <w:szCs w:val="24"/>
          <w:spacing w:val="-3"/>
        </w:rPr>
        <w:t>号）可知，属于</w:t>
      </w:r>
      <w:r>
        <w:rPr>
          <w:rFonts w:ascii="Times New Roman" w:hAnsi="Times New Roman" w:eastAsia="Times New Roman" w:cs="Times New Roman"/>
          <w:sz w:val="24"/>
          <w:szCs w:val="24"/>
          <w:spacing w:val="-1"/>
        </w:rPr>
        <w:t>SW64</w:t>
      </w:r>
      <w:r>
        <w:rPr>
          <w:rFonts w:ascii="Times New Roman" w:hAnsi="Times New Roman" w:eastAsia="Times New Roman" w:cs="Times New Roman"/>
          <w:sz w:val="24"/>
          <w:szCs w:val="24"/>
          <w:spacing w:val="37"/>
          <w:w w:val="101"/>
        </w:rPr>
        <w:t xml:space="preserve"> </w:t>
      </w:r>
      <w:r>
        <w:rPr>
          <w:rFonts w:ascii="SimSun" w:hAnsi="SimSun" w:eastAsia="SimSun" w:cs="SimSun"/>
          <w:sz w:val="24"/>
          <w:szCs w:val="24"/>
          <w:spacing w:val="-1"/>
        </w:rPr>
        <w:t>其他垃圾，废物代码</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1"/>
        </w:rPr>
        <w:t>900-09</w:t>
      </w:r>
      <w:r>
        <w:rPr>
          <w:rFonts w:ascii="Times New Roman" w:hAnsi="Times New Roman" w:eastAsia="Times New Roman" w:cs="Times New Roman"/>
          <w:sz w:val="24"/>
          <w:szCs w:val="24"/>
          <w:spacing w:val="-2"/>
        </w:rPr>
        <w:t>9-S64</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，集中堆放，定期交由环卫部门进行统一</w:t>
      </w:r>
      <w:r>
        <w:rPr>
          <w:rFonts w:ascii="SimSun" w:hAnsi="SimSun" w:eastAsia="SimSun" w:cs="SimSun"/>
          <w:sz w:val="24"/>
          <w:szCs w:val="24"/>
          <w:spacing w:val="-5"/>
        </w:rPr>
        <w:t>处理。</w:t>
      </w:r>
    </w:p>
    <w:p>
      <w:pPr>
        <w:ind w:left="618"/>
        <w:spacing w:before="18"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）消毒剂废包装袋</w:t>
      </w:r>
    </w:p>
    <w:p>
      <w:pPr>
        <w:ind w:left="131" w:right="27" w:firstLine="480"/>
        <w:spacing w:before="164" w:line="358" w:lineRule="auto"/>
        <w:rPr>
          <w:rFonts w:ascii="SimSun" w:hAnsi="SimSun" w:eastAsia="SimSun" w:cs="SimSun"/>
          <w:sz w:val="24"/>
          <w:szCs w:val="24"/>
        </w:rPr>
      </w:pPr>
      <w:r>
        <w:rPr>
          <w:rFonts w:ascii="SimSun" w:hAnsi="SimSun" w:eastAsia="SimSun" w:cs="SimSun"/>
          <w:sz w:val="24"/>
          <w:szCs w:val="24"/>
          <w:spacing w:val="-1"/>
        </w:rPr>
        <w:t>本项目消毒剂为高锰酸钾，袋装，故产生废包装袋，产生量约</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0.1t/a</w:t>
      </w:r>
      <w:r>
        <w:rPr>
          <w:rFonts w:ascii="SimSun" w:hAnsi="SimSun" w:eastAsia="SimSun" w:cs="SimSun"/>
          <w:sz w:val="24"/>
          <w:szCs w:val="24"/>
          <w:spacing w:val="-1"/>
        </w:rPr>
        <w:t>，属于危</w:t>
      </w:r>
      <w:r>
        <w:rPr>
          <w:rFonts w:ascii="SimSun" w:hAnsi="SimSun" w:eastAsia="SimSun" w:cs="SimSun"/>
          <w:sz w:val="24"/>
          <w:szCs w:val="24"/>
          <w:spacing w:val="-2"/>
        </w:rPr>
        <w:t>险废物，废物代码为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HW49</w:t>
      </w:r>
      <w:r>
        <w:rPr>
          <w:rFonts w:ascii="SimSun" w:hAnsi="SimSun" w:eastAsia="SimSun" w:cs="SimSun"/>
          <w:sz w:val="24"/>
          <w:szCs w:val="24"/>
          <w:spacing w:val="-2"/>
        </w:rPr>
        <w:t>（</w:t>
      </w:r>
      <w:r>
        <w:rPr>
          <w:rFonts w:ascii="Times New Roman" w:hAnsi="Times New Roman" w:eastAsia="Times New Roman" w:cs="Times New Roman"/>
          <w:sz w:val="24"/>
          <w:szCs w:val="24"/>
          <w:spacing w:val="-2"/>
        </w:rPr>
        <w:t>900-04</w:t>
      </w:r>
      <w:r>
        <w:rPr>
          <w:rFonts w:ascii="Times New Roman" w:hAnsi="Times New Roman" w:eastAsia="Times New Roman" w:cs="Times New Roman"/>
          <w:sz w:val="24"/>
          <w:szCs w:val="24"/>
          <w:spacing w:val="-3"/>
        </w:rPr>
        <w:t>1-49 </w:t>
      </w:r>
      <w:r>
        <w:rPr>
          <w:rFonts w:ascii="SimSun" w:hAnsi="SimSun" w:eastAsia="SimSun" w:cs="SimSun"/>
          <w:sz w:val="24"/>
          <w:szCs w:val="24"/>
          <w:spacing w:val="-3"/>
        </w:rPr>
        <w:t>含有或沾染毒性、感染性危险废物的废弃</w:t>
      </w:r>
      <w:r>
        <w:rPr>
          <w:rFonts w:ascii="SimSun" w:hAnsi="SimSun" w:eastAsia="SimSun" w:cs="SimSun"/>
          <w:sz w:val="24"/>
          <w:szCs w:val="24"/>
          <w:spacing w:val="2"/>
        </w:rPr>
        <w:t>包装物、容器、过滤吸附介质</w:t>
      </w:r>
      <w:r>
        <w:rPr>
          <w:rFonts w:ascii="SimSun" w:hAnsi="SimSun" w:eastAsia="SimSun" w:cs="SimSun"/>
          <w:sz w:val="24"/>
          <w:szCs w:val="24"/>
          <w:spacing w:val="14"/>
        </w:rPr>
        <w:t>），</w:t>
      </w:r>
      <w:r>
        <w:rPr>
          <w:rFonts w:ascii="SimSun" w:hAnsi="SimSun" w:eastAsia="SimSun" w:cs="SimSun"/>
          <w:sz w:val="24"/>
          <w:szCs w:val="24"/>
          <w:spacing w:val="2"/>
        </w:rPr>
        <w:t>暂存于危险废物贮存间内，定</w:t>
      </w:r>
      <w:r>
        <w:rPr>
          <w:rFonts w:ascii="SimSun" w:hAnsi="SimSun" w:eastAsia="SimSun" w:cs="SimSun"/>
          <w:sz w:val="24"/>
          <w:szCs w:val="24"/>
          <w:spacing w:val="1"/>
        </w:rPr>
        <w:t>期送有资质单位</w:t>
      </w:r>
      <w:r>
        <w:rPr>
          <w:rFonts w:ascii="SimSun" w:hAnsi="SimSun" w:eastAsia="SimSun" w:cs="SimSun"/>
          <w:sz w:val="24"/>
          <w:szCs w:val="24"/>
          <w:spacing w:val="-10"/>
        </w:rPr>
        <w:t>处理。</w:t>
      </w:r>
    </w:p>
    <w:p>
      <w:pPr>
        <w:ind w:left="612"/>
        <w:spacing w:before="4" w:line="233" w:lineRule="auto"/>
        <w:rPr>
          <w:rFonts w:ascii="SimSun" w:hAnsi="SimSun" w:eastAsia="SimSun" w:cs="SimSun"/>
          <w:sz w:val="24"/>
          <w:szCs w:val="24"/>
        </w:rPr>
      </w:pPr>
      <w:r>
        <w:rPr>
          <w:rFonts w:ascii="SimSun" w:hAnsi="SimSun" w:eastAsia="SimSun" w:cs="SimSun"/>
          <w:sz w:val="24"/>
          <w:szCs w:val="24"/>
          <w:spacing w:val="-1"/>
        </w:rPr>
        <w:t>本项目固废物产生情况及处理</w:t>
      </w:r>
      <w:r>
        <w:rPr>
          <w:rFonts w:ascii="Times New Roman" w:hAnsi="Times New Roman" w:eastAsia="Times New Roman" w:cs="Times New Roman"/>
          <w:sz w:val="24"/>
          <w:szCs w:val="24"/>
          <w:spacing w:val="-1"/>
        </w:rPr>
        <w:t>/</w:t>
      </w:r>
      <w:r>
        <w:rPr>
          <w:rFonts w:ascii="SimSun" w:hAnsi="SimSun" w:eastAsia="SimSun" w:cs="SimSun"/>
          <w:sz w:val="24"/>
          <w:szCs w:val="24"/>
          <w:spacing w:val="-1"/>
        </w:rPr>
        <w:t>处置措施详见表</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
        </w:rPr>
        <w:t>3-15</w:t>
      </w:r>
      <w:r>
        <w:rPr>
          <w:rFonts w:ascii="SimSun" w:hAnsi="SimSun" w:eastAsia="SimSun" w:cs="SimSun"/>
          <w:sz w:val="24"/>
          <w:szCs w:val="24"/>
          <w:spacing w:val="-1"/>
        </w:rPr>
        <w:t>。</w:t>
      </w:r>
    </w:p>
    <w:p>
      <w:pPr>
        <w:ind w:left="2351"/>
        <w:spacing w:before="166"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1"/>
        </w:rPr>
        <w:t xml:space="preserve"> </w:t>
      </w:r>
      <w:r>
        <w:rPr>
          <w:rFonts w:ascii="Times New Roman" w:hAnsi="Times New Roman" w:eastAsia="Times New Roman" w:cs="Times New Roman"/>
          <w:sz w:val="24"/>
          <w:szCs w:val="24"/>
          <w:b/>
          <w:bCs/>
          <w:spacing w:val="-2"/>
        </w:rPr>
        <w:t>3-15      </w:t>
      </w:r>
      <w:r>
        <w:rPr>
          <w:rFonts w:ascii="SimSun" w:hAnsi="SimSun" w:eastAsia="SimSun" w:cs="SimSun"/>
          <w:sz w:val="24"/>
          <w:szCs w:val="24"/>
          <w:b/>
          <w:bCs/>
          <w:spacing w:val="-2"/>
        </w:rPr>
        <w:t>养殖场固废物处理</w:t>
      </w:r>
      <w:r>
        <w:rPr>
          <w:rFonts w:ascii="Times New Roman" w:hAnsi="Times New Roman" w:eastAsia="Times New Roman" w:cs="Times New Roman"/>
          <w:sz w:val="24"/>
          <w:szCs w:val="24"/>
          <w:b/>
          <w:bCs/>
          <w:spacing w:val="-2"/>
        </w:rPr>
        <w:t>/</w:t>
      </w:r>
      <w:r>
        <w:rPr>
          <w:rFonts w:ascii="SimSun" w:hAnsi="SimSun" w:eastAsia="SimSun" w:cs="SimSun"/>
          <w:sz w:val="24"/>
          <w:szCs w:val="24"/>
          <w:b/>
          <w:bCs/>
          <w:spacing w:val="-2"/>
        </w:rPr>
        <w:t>处置措施</w:t>
      </w:r>
    </w:p>
    <w:p>
      <w:pPr>
        <w:spacing w:line="129" w:lineRule="exact"/>
        <w:rPr/>
      </w:pPr>
      <w:r/>
    </w:p>
    <w:tbl>
      <w:tblPr>
        <w:tblStyle w:val="TableNormal"/>
        <w:tblW w:w="8596"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2"/>
        <w:gridCol w:w="799"/>
        <w:gridCol w:w="761"/>
        <w:gridCol w:w="1332"/>
        <w:gridCol w:w="1126"/>
        <w:gridCol w:w="420"/>
        <w:gridCol w:w="799"/>
        <w:gridCol w:w="819"/>
        <w:gridCol w:w="2038"/>
      </w:tblGrid>
      <w:tr>
        <w:trPr>
          <w:trHeight w:val="553" w:hRule="atLeast"/>
        </w:trPr>
        <w:tc>
          <w:tcPr>
            <w:tcW w:w="502" w:type="dxa"/>
            <w:vAlign w:val="top"/>
            <w:textDirection w:val="tbRlV"/>
            <w:tcBorders>
              <w:top w:val="single" w:color="000000" w:sz="10" w:space="0"/>
              <w:left w:val="nil"/>
            </w:tcBorders>
          </w:tcPr>
          <w:p>
            <w:pPr>
              <w:pStyle w:val="TableText"/>
              <w:ind w:left="35"/>
              <w:spacing w:before="137" w:line="211" w:lineRule="auto"/>
              <w:rPr/>
            </w:pPr>
            <w:r>
              <w:rPr>
                <w:b/>
                <w:bCs/>
                <w:spacing w:val="28"/>
              </w:rPr>
              <w:t>序号</w:t>
            </w:r>
          </w:p>
        </w:tc>
        <w:tc>
          <w:tcPr>
            <w:tcW w:w="799" w:type="dxa"/>
            <w:vAlign w:val="top"/>
            <w:tcBorders>
              <w:top w:val="single" w:color="000000" w:sz="10" w:space="0"/>
            </w:tcBorders>
          </w:tcPr>
          <w:p>
            <w:pPr>
              <w:pStyle w:val="TableText"/>
              <w:ind w:left="191"/>
              <w:spacing w:before="36" w:line="221" w:lineRule="auto"/>
              <w:rPr/>
            </w:pPr>
            <w:r>
              <w:rPr>
                <w:b/>
                <w:bCs/>
                <w:spacing w:val="-4"/>
              </w:rPr>
              <w:t>废物</w:t>
            </w:r>
          </w:p>
          <w:p>
            <w:pPr>
              <w:pStyle w:val="TableText"/>
              <w:ind w:left="194"/>
              <w:spacing w:before="19" w:line="207" w:lineRule="auto"/>
              <w:rPr/>
            </w:pPr>
            <w:r>
              <w:rPr>
                <w:b/>
                <w:bCs/>
                <w:spacing w:val="-5"/>
              </w:rPr>
              <w:t>名称</w:t>
            </w:r>
          </w:p>
        </w:tc>
        <w:tc>
          <w:tcPr>
            <w:tcW w:w="761" w:type="dxa"/>
            <w:vAlign w:val="top"/>
            <w:tcBorders>
              <w:top w:val="single" w:color="000000" w:sz="10" w:space="0"/>
            </w:tcBorders>
          </w:tcPr>
          <w:p>
            <w:pPr>
              <w:pStyle w:val="TableText"/>
              <w:ind w:left="172"/>
              <w:spacing w:before="36" w:line="221" w:lineRule="auto"/>
              <w:rPr/>
            </w:pPr>
            <w:r>
              <w:rPr>
                <w:b/>
                <w:bCs/>
                <w:spacing w:val="-4"/>
              </w:rPr>
              <w:t>废物</w:t>
            </w:r>
          </w:p>
          <w:p>
            <w:pPr>
              <w:pStyle w:val="TableText"/>
              <w:ind w:left="173"/>
              <w:spacing w:before="19" w:line="207" w:lineRule="auto"/>
              <w:rPr/>
            </w:pPr>
            <w:r>
              <w:rPr>
                <w:b/>
                <w:bCs/>
                <w:spacing w:val="-4"/>
              </w:rPr>
              <w:t>类别</w:t>
            </w:r>
          </w:p>
        </w:tc>
        <w:tc>
          <w:tcPr>
            <w:tcW w:w="1332" w:type="dxa"/>
            <w:vAlign w:val="top"/>
            <w:tcBorders>
              <w:top w:val="single" w:color="000000" w:sz="10" w:space="0"/>
            </w:tcBorders>
          </w:tcPr>
          <w:p>
            <w:pPr>
              <w:pStyle w:val="TableText"/>
              <w:ind w:left="249"/>
              <w:spacing w:before="172" w:line="219" w:lineRule="auto"/>
              <w:rPr/>
            </w:pPr>
            <w:r>
              <w:rPr>
                <w:b/>
                <w:bCs/>
                <w:spacing w:val="-3"/>
              </w:rPr>
              <w:t>废物代码</w:t>
            </w:r>
          </w:p>
        </w:tc>
        <w:tc>
          <w:tcPr>
            <w:tcW w:w="1126" w:type="dxa"/>
            <w:vAlign w:val="top"/>
            <w:tcBorders>
              <w:top w:val="single" w:color="000000" w:sz="10" w:space="0"/>
            </w:tcBorders>
          </w:tcPr>
          <w:p>
            <w:pPr>
              <w:pStyle w:val="TableText"/>
              <w:ind w:left="247" w:right="244" w:firstLine="3"/>
              <w:spacing w:before="35" w:line="223" w:lineRule="auto"/>
              <w:rPr/>
            </w:pPr>
            <w:r>
              <w:rPr>
                <w:b/>
                <w:bCs/>
                <w:spacing w:val="-4"/>
              </w:rPr>
              <w:t>产生量</w:t>
            </w:r>
            <w:r>
              <w:rPr>
                <w:b/>
                <w:bCs/>
                <w:spacing w:val="-7"/>
              </w:rPr>
              <w:t>（</w:t>
            </w:r>
            <w:r>
              <w:rPr>
                <w:rFonts w:ascii="Times New Roman" w:hAnsi="Times New Roman" w:eastAsia="Times New Roman" w:cs="Times New Roman"/>
                <w:b/>
                <w:bCs/>
                <w:spacing w:val="-7"/>
              </w:rPr>
              <w:t>t/a</w:t>
            </w:r>
            <w:r>
              <w:rPr>
                <w:b/>
                <w:bCs/>
                <w:spacing w:val="-7"/>
              </w:rPr>
              <w:t>）</w:t>
            </w:r>
          </w:p>
        </w:tc>
        <w:tc>
          <w:tcPr>
            <w:tcW w:w="420" w:type="dxa"/>
            <w:vAlign w:val="top"/>
            <w:textDirection w:val="tbRlV"/>
            <w:tcBorders>
              <w:top w:val="single" w:color="000000" w:sz="10" w:space="0"/>
            </w:tcBorders>
          </w:tcPr>
          <w:p>
            <w:pPr>
              <w:pStyle w:val="TableText"/>
              <w:ind w:left="35"/>
              <w:spacing w:before="97" w:line="209" w:lineRule="auto"/>
              <w:rPr/>
            </w:pPr>
            <w:r>
              <w:rPr>
                <w:b/>
                <w:bCs/>
                <w:spacing w:val="28"/>
              </w:rPr>
              <w:t>性状</w:t>
            </w:r>
          </w:p>
        </w:tc>
        <w:tc>
          <w:tcPr>
            <w:tcW w:w="799" w:type="dxa"/>
            <w:vAlign w:val="top"/>
            <w:tcBorders>
              <w:top w:val="single" w:color="000000" w:sz="10" w:space="0"/>
            </w:tcBorders>
          </w:tcPr>
          <w:p>
            <w:pPr>
              <w:pStyle w:val="TableText"/>
              <w:ind w:left="192"/>
              <w:spacing w:before="35" w:line="221" w:lineRule="auto"/>
              <w:rPr/>
            </w:pPr>
            <w:r>
              <w:rPr>
                <w:b/>
                <w:bCs/>
                <w:spacing w:val="-4"/>
              </w:rPr>
              <w:t>储存</w:t>
            </w:r>
          </w:p>
          <w:p>
            <w:pPr>
              <w:pStyle w:val="TableText"/>
              <w:ind w:left="193"/>
              <w:spacing w:before="20" w:line="207" w:lineRule="auto"/>
              <w:rPr/>
            </w:pPr>
            <w:r>
              <w:rPr>
                <w:b/>
                <w:bCs/>
                <w:spacing w:val="-4"/>
              </w:rPr>
              <w:t>位置</w:t>
            </w:r>
          </w:p>
        </w:tc>
        <w:tc>
          <w:tcPr>
            <w:tcW w:w="819" w:type="dxa"/>
            <w:vAlign w:val="top"/>
            <w:tcBorders>
              <w:top w:val="single" w:color="000000" w:sz="10" w:space="0"/>
            </w:tcBorders>
          </w:tcPr>
          <w:p>
            <w:pPr>
              <w:pStyle w:val="TableText"/>
              <w:ind w:left="202"/>
              <w:spacing w:before="35" w:line="221" w:lineRule="auto"/>
              <w:rPr/>
            </w:pPr>
            <w:r>
              <w:rPr>
                <w:b/>
                <w:bCs/>
                <w:spacing w:val="-4"/>
              </w:rPr>
              <w:t>储存</w:t>
            </w:r>
          </w:p>
          <w:p>
            <w:pPr>
              <w:pStyle w:val="TableText"/>
              <w:ind w:left="203"/>
              <w:spacing w:before="20" w:line="207" w:lineRule="auto"/>
              <w:rPr/>
            </w:pPr>
            <w:r>
              <w:rPr>
                <w:b/>
                <w:bCs/>
                <w:spacing w:val="-4"/>
              </w:rPr>
              <w:t>方式</w:t>
            </w:r>
          </w:p>
        </w:tc>
        <w:tc>
          <w:tcPr>
            <w:tcW w:w="2038" w:type="dxa"/>
            <w:vAlign w:val="top"/>
            <w:tcBorders>
              <w:top w:val="single" w:color="000000" w:sz="10" w:space="0"/>
              <w:right w:val="nil"/>
            </w:tcBorders>
          </w:tcPr>
          <w:p>
            <w:pPr>
              <w:pStyle w:val="TableText"/>
              <w:ind w:left="394"/>
              <w:spacing w:before="173" w:line="221" w:lineRule="auto"/>
              <w:rPr/>
            </w:pPr>
            <w:r>
              <w:rPr>
                <w:b/>
                <w:bCs/>
                <w:spacing w:val="-3"/>
              </w:rPr>
              <w:t>污染防治措施</w:t>
            </w:r>
          </w:p>
        </w:tc>
      </w:tr>
      <w:tr>
        <w:trPr>
          <w:trHeight w:val="547" w:hRule="atLeast"/>
        </w:trPr>
        <w:tc>
          <w:tcPr>
            <w:tcW w:w="502" w:type="dxa"/>
            <w:vAlign w:val="top"/>
            <w:tcBorders>
              <w:left w:val="nil"/>
            </w:tcBorders>
          </w:tcPr>
          <w:p>
            <w:pPr>
              <w:ind w:left="228"/>
              <w:spacing w:before="19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99" w:type="dxa"/>
            <w:vAlign w:val="top"/>
          </w:tcPr>
          <w:p>
            <w:pPr>
              <w:pStyle w:val="TableText"/>
              <w:ind w:left="298" w:right="184" w:hanging="104"/>
              <w:spacing w:before="31" w:line="222" w:lineRule="auto"/>
              <w:rPr/>
            </w:pPr>
            <w:r>
              <w:rPr>
                <w:spacing w:val="-3"/>
              </w:rPr>
              <w:t>废垫</w:t>
            </w:r>
            <w:r>
              <w:rPr/>
              <w:t>料</w:t>
            </w:r>
          </w:p>
        </w:tc>
        <w:tc>
          <w:tcPr>
            <w:tcW w:w="761" w:type="dxa"/>
            <w:vAlign w:val="top"/>
          </w:tcPr>
          <w:p>
            <w:pPr>
              <w:pStyle w:val="TableText"/>
              <w:ind w:left="179"/>
              <w:spacing w:before="32" w:line="222" w:lineRule="auto"/>
              <w:rPr/>
            </w:pPr>
            <w:r>
              <w:rPr>
                <w:spacing w:val="-5"/>
              </w:rPr>
              <w:t>一般</w:t>
            </w:r>
          </w:p>
          <w:p>
            <w:pPr>
              <w:pStyle w:val="TableText"/>
              <w:ind w:left="194"/>
              <w:spacing w:before="20" w:line="203" w:lineRule="auto"/>
              <w:rPr/>
            </w:pPr>
            <w:r>
              <w:rPr>
                <w:spacing w:val="-7"/>
              </w:rPr>
              <w:t>固废</w:t>
            </w:r>
          </w:p>
        </w:tc>
        <w:tc>
          <w:tcPr>
            <w:tcW w:w="1332" w:type="dxa"/>
            <w:vAlign w:val="top"/>
          </w:tcPr>
          <w:p>
            <w:pPr>
              <w:ind w:left="122"/>
              <w:spacing w:before="19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030-001-S82</w:t>
            </w:r>
          </w:p>
        </w:tc>
        <w:tc>
          <w:tcPr>
            <w:tcW w:w="1126" w:type="dxa"/>
            <w:vAlign w:val="top"/>
          </w:tcPr>
          <w:p>
            <w:pPr>
              <w:ind w:left="173"/>
              <w:spacing w:before="19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7169.975</w:t>
            </w:r>
          </w:p>
        </w:tc>
        <w:tc>
          <w:tcPr>
            <w:tcW w:w="420" w:type="dxa"/>
            <w:vAlign w:val="top"/>
            <w:textDirection w:val="tbRlV"/>
          </w:tcPr>
          <w:p>
            <w:pPr>
              <w:pStyle w:val="TableText"/>
              <w:ind w:left="32"/>
              <w:spacing w:before="98" w:line="209" w:lineRule="auto"/>
              <w:rPr/>
            </w:pPr>
            <w:r>
              <w:rPr>
                <w:spacing w:val="1"/>
              </w:rPr>
              <w:t>固</w:t>
            </w:r>
            <w:r>
              <w:rPr>
                <w:spacing w:val="-43"/>
              </w:rPr>
              <w:t xml:space="preserve"> </w:t>
            </w:r>
            <w:r>
              <w:rPr>
                <w:spacing w:val="1"/>
              </w:rPr>
              <w:t>态</w:t>
            </w:r>
          </w:p>
        </w:tc>
        <w:tc>
          <w:tcPr>
            <w:tcW w:w="799" w:type="dxa"/>
            <w:vAlign w:val="top"/>
          </w:tcPr>
          <w:p>
            <w:pPr>
              <w:pStyle w:val="TableText"/>
              <w:ind w:left="298" w:right="184" w:hanging="104"/>
              <w:spacing w:before="31" w:line="222" w:lineRule="auto"/>
              <w:rPr/>
            </w:pPr>
            <w:r>
              <w:rPr>
                <w:spacing w:val="-3"/>
              </w:rPr>
              <w:t>储粪</w:t>
            </w:r>
            <w:r>
              <w:rPr/>
              <w:t>库</w:t>
            </w:r>
          </w:p>
        </w:tc>
        <w:tc>
          <w:tcPr>
            <w:tcW w:w="819" w:type="dxa"/>
            <w:vAlign w:val="top"/>
          </w:tcPr>
          <w:p>
            <w:pPr>
              <w:ind w:left="307"/>
              <w:spacing w:before="76"/>
              <w:tabs>
                <w:tab w:val="left" w:pos="512"/>
              </w:tabs>
              <w:rPr>
                <w:rFonts w:ascii="Arial"/>
                <w:sz w:val="21"/>
              </w:rPr>
            </w:pPr>
            <w:r>
              <w:rPr>
                <w:rFonts w:ascii="Arial" w:hAnsi="Arial" w:eastAsia="Arial" w:cs="Arial"/>
                <w:sz w:val="21"/>
                <w:szCs w:val="21"/>
                <w:u w:val="single" w:color="auto"/>
              </w:rPr>
              <w:tab/>
            </w:r>
          </w:p>
        </w:tc>
        <w:tc>
          <w:tcPr>
            <w:tcW w:w="2038" w:type="dxa"/>
            <w:vAlign w:val="top"/>
            <w:tcBorders>
              <w:right w:val="nil"/>
            </w:tcBorders>
          </w:tcPr>
          <w:p>
            <w:pPr>
              <w:pStyle w:val="TableText"/>
              <w:ind w:left="602" w:right="177" w:hanging="415"/>
              <w:spacing w:before="31" w:line="222" w:lineRule="auto"/>
              <w:rPr/>
            </w:pPr>
            <w:r>
              <w:rPr>
                <w:spacing w:val="-2"/>
              </w:rPr>
              <w:t>外卖有机肥厂家生</w:t>
            </w:r>
            <w:r>
              <w:rPr>
                <w:spacing w:val="-2"/>
              </w:rPr>
              <w:t>产有机肥</w:t>
            </w:r>
          </w:p>
        </w:tc>
      </w:tr>
      <w:tr>
        <w:trPr>
          <w:trHeight w:val="1090" w:hRule="atLeast"/>
        </w:trPr>
        <w:tc>
          <w:tcPr>
            <w:tcW w:w="502" w:type="dxa"/>
            <w:vAlign w:val="top"/>
            <w:tcBorders>
              <w:left w:val="nil"/>
            </w:tcBorders>
          </w:tcPr>
          <w:p>
            <w:pPr>
              <w:spacing w:line="410" w:lineRule="auto"/>
              <w:rPr>
                <w:rFonts w:ascii="Arial"/>
                <w:sz w:val="21"/>
              </w:rPr>
            </w:pPr>
            <w:r/>
          </w:p>
          <w:p>
            <w:pPr>
              <w:ind w:left="208"/>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99" w:type="dxa"/>
            <w:vAlign w:val="top"/>
          </w:tcPr>
          <w:p>
            <w:pPr>
              <w:pStyle w:val="TableText"/>
              <w:ind w:left="194" w:right="184" w:firstLine="14"/>
              <w:spacing w:before="308" w:line="241" w:lineRule="auto"/>
              <w:rPr/>
            </w:pPr>
            <w:r>
              <w:rPr>
                <w:spacing w:val="-10"/>
              </w:rPr>
              <w:t>防疫</w:t>
            </w:r>
            <w:r>
              <w:rPr>
                <w:spacing w:val="-3"/>
              </w:rPr>
              <w:t>废物</w:t>
            </w:r>
          </w:p>
        </w:tc>
        <w:tc>
          <w:tcPr>
            <w:tcW w:w="761" w:type="dxa"/>
            <w:vAlign w:val="top"/>
          </w:tcPr>
          <w:p>
            <w:pPr>
              <w:pStyle w:val="TableText"/>
              <w:ind w:left="175" w:right="165" w:firstLine="3"/>
              <w:spacing w:before="308" w:line="241" w:lineRule="auto"/>
              <w:rPr/>
            </w:pPr>
            <w:r>
              <w:rPr>
                <w:spacing w:val="-5"/>
              </w:rPr>
              <w:t>危险</w:t>
            </w:r>
            <w:r>
              <w:rPr>
                <w:spacing w:val="-3"/>
              </w:rPr>
              <w:t>废物</w:t>
            </w:r>
          </w:p>
        </w:tc>
        <w:tc>
          <w:tcPr>
            <w:tcW w:w="1332" w:type="dxa"/>
            <w:vAlign w:val="top"/>
          </w:tcPr>
          <w:p>
            <w:pPr>
              <w:spacing w:line="410" w:lineRule="auto"/>
              <w:rPr>
                <w:rFonts w:ascii="Arial"/>
                <w:sz w:val="21"/>
              </w:rPr>
            </w:pPr>
            <w:r/>
          </w:p>
          <w:p>
            <w:pPr>
              <w:ind w:left="185"/>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841-002-01</w:t>
            </w:r>
          </w:p>
        </w:tc>
        <w:tc>
          <w:tcPr>
            <w:tcW w:w="1126" w:type="dxa"/>
            <w:vAlign w:val="top"/>
          </w:tcPr>
          <w:p>
            <w:pPr>
              <w:spacing w:line="410" w:lineRule="auto"/>
              <w:rPr>
                <w:rFonts w:ascii="Arial"/>
                <w:sz w:val="21"/>
              </w:rPr>
            </w:pPr>
            <w:r/>
          </w:p>
          <w:p>
            <w:pPr>
              <w:ind w:left="437"/>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420" w:type="dxa"/>
            <w:vAlign w:val="top"/>
            <w:textDirection w:val="tbRlV"/>
          </w:tcPr>
          <w:p>
            <w:pPr>
              <w:pStyle w:val="TableText"/>
              <w:ind w:left="308"/>
              <w:spacing w:before="98" w:line="209" w:lineRule="auto"/>
              <w:rPr/>
            </w:pPr>
            <w:r>
              <w:rPr>
                <w:spacing w:val="31"/>
              </w:rPr>
              <w:t>固态</w:t>
            </w:r>
          </w:p>
        </w:tc>
        <w:tc>
          <w:tcPr>
            <w:tcW w:w="799" w:type="dxa"/>
            <w:vAlign w:val="top"/>
          </w:tcPr>
          <w:p>
            <w:pPr>
              <w:pStyle w:val="TableText"/>
              <w:ind w:left="197"/>
              <w:spacing w:before="35" w:line="221" w:lineRule="auto"/>
              <w:rPr/>
            </w:pPr>
            <w:r>
              <w:rPr>
                <w:spacing w:val="-3"/>
              </w:rPr>
              <w:t>危险</w:t>
            </w:r>
          </w:p>
          <w:p>
            <w:pPr>
              <w:pStyle w:val="TableText"/>
              <w:ind w:left="194"/>
              <w:spacing w:before="22" w:line="221" w:lineRule="auto"/>
              <w:rPr/>
            </w:pPr>
            <w:r>
              <w:rPr>
                <w:spacing w:val="-2"/>
              </w:rPr>
              <w:t>废物</w:t>
            </w:r>
          </w:p>
          <w:p>
            <w:pPr>
              <w:pStyle w:val="TableText"/>
              <w:ind w:left="315" w:right="184" w:hanging="113"/>
              <w:spacing w:before="18" w:line="220" w:lineRule="auto"/>
              <w:rPr/>
            </w:pPr>
            <w:r>
              <w:rPr>
                <w:spacing w:val="-7"/>
              </w:rPr>
              <w:t>暂存</w:t>
            </w:r>
            <w:r>
              <w:rPr/>
              <w:t>间</w:t>
            </w:r>
          </w:p>
        </w:tc>
        <w:tc>
          <w:tcPr>
            <w:tcW w:w="819" w:type="dxa"/>
            <w:vAlign w:val="top"/>
          </w:tcPr>
          <w:p>
            <w:pPr>
              <w:pStyle w:val="TableText"/>
              <w:ind w:left="204" w:right="196"/>
              <w:spacing w:before="308" w:line="241" w:lineRule="auto"/>
              <w:rPr/>
            </w:pPr>
            <w:r>
              <w:rPr>
                <w:spacing w:val="-5"/>
              </w:rPr>
              <w:t>容器</w:t>
            </w:r>
            <w:r>
              <w:rPr>
                <w:spacing w:val="-4"/>
              </w:rPr>
              <w:t>盛装</w:t>
            </w:r>
          </w:p>
        </w:tc>
        <w:tc>
          <w:tcPr>
            <w:tcW w:w="2038" w:type="dxa"/>
            <w:vAlign w:val="top"/>
            <w:tcBorders>
              <w:right w:val="nil"/>
            </w:tcBorders>
          </w:tcPr>
          <w:p>
            <w:pPr>
              <w:pStyle w:val="TableText"/>
              <w:ind w:left="120"/>
              <w:spacing w:before="171" w:line="221" w:lineRule="auto"/>
              <w:rPr/>
            </w:pPr>
            <w:r>
              <w:rPr>
                <w:spacing w:val="-8"/>
              </w:rPr>
              <w:t>暂存于危废间内，定</w:t>
            </w:r>
          </w:p>
          <w:p>
            <w:pPr>
              <w:pStyle w:val="TableText"/>
              <w:ind w:left="186"/>
              <w:spacing w:before="20" w:line="217" w:lineRule="auto"/>
              <w:rPr/>
            </w:pPr>
            <w:r>
              <w:rPr>
                <w:spacing w:val="-1"/>
              </w:rPr>
              <w:t>期委托有资质部门</w:t>
            </w:r>
          </w:p>
          <w:p>
            <w:pPr>
              <w:pStyle w:val="TableText"/>
              <w:ind w:left="819"/>
              <w:spacing w:before="26" w:line="225" w:lineRule="auto"/>
              <w:rPr/>
            </w:pPr>
            <w:r>
              <w:rPr>
                <w:spacing w:val="-3"/>
              </w:rPr>
              <w:t>处理</w:t>
            </w:r>
          </w:p>
        </w:tc>
      </w:tr>
      <w:tr>
        <w:trPr>
          <w:trHeight w:val="820" w:hRule="atLeast"/>
        </w:trPr>
        <w:tc>
          <w:tcPr>
            <w:tcW w:w="502" w:type="dxa"/>
            <w:vAlign w:val="top"/>
            <w:tcBorders>
              <w:left w:val="nil"/>
            </w:tcBorders>
          </w:tcPr>
          <w:p>
            <w:pPr>
              <w:spacing w:line="278" w:lineRule="auto"/>
              <w:rPr>
                <w:rFonts w:ascii="Arial"/>
                <w:sz w:val="21"/>
              </w:rPr>
            </w:pPr>
            <w:r/>
          </w:p>
          <w:p>
            <w:pPr>
              <w:ind w:left="212"/>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99" w:type="dxa"/>
            <w:vAlign w:val="top"/>
          </w:tcPr>
          <w:p>
            <w:pPr>
              <w:pStyle w:val="TableText"/>
              <w:ind w:left="303" w:right="184" w:hanging="109"/>
              <w:spacing w:before="176" w:line="241" w:lineRule="auto"/>
              <w:rPr/>
            </w:pPr>
            <w:r>
              <w:rPr>
                <w:spacing w:val="-3"/>
              </w:rPr>
              <w:t>病死</w:t>
            </w:r>
            <w:r>
              <w:rPr/>
              <w:t>牛</w:t>
            </w:r>
          </w:p>
        </w:tc>
        <w:tc>
          <w:tcPr>
            <w:tcW w:w="761" w:type="dxa"/>
            <w:vAlign w:val="top"/>
          </w:tcPr>
          <w:p>
            <w:pPr>
              <w:pStyle w:val="TableText"/>
              <w:ind w:left="193" w:right="165" w:hanging="14"/>
              <w:spacing w:before="175" w:line="241" w:lineRule="auto"/>
              <w:rPr/>
            </w:pPr>
            <w:r>
              <w:rPr>
                <w:spacing w:val="-5"/>
              </w:rPr>
              <w:t>一般</w:t>
            </w:r>
            <w:r>
              <w:rPr>
                <w:spacing w:val="-13"/>
              </w:rPr>
              <w:t>固废</w:t>
            </w:r>
          </w:p>
        </w:tc>
        <w:tc>
          <w:tcPr>
            <w:tcW w:w="1332" w:type="dxa"/>
            <w:vAlign w:val="top"/>
          </w:tcPr>
          <w:p>
            <w:pPr>
              <w:spacing w:line="278" w:lineRule="auto"/>
              <w:rPr>
                <w:rFonts w:ascii="Arial"/>
                <w:sz w:val="21"/>
              </w:rPr>
            </w:pPr>
            <w:r/>
          </w:p>
          <w:p>
            <w:pPr>
              <w:ind w:left="122"/>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030-002-S82</w:t>
            </w:r>
          </w:p>
        </w:tc>
        <w:tc>
          <w:tcPr>
            <w:tcW w:w="1126" w:type="dxa"/>
            <w:vAlign w:val="top"/>
          </w:tcPr>
          <w:p>
            <w:pPr>
              <w:spacing w:line="278" w:lineRule="auto"/>
              <w:rPr>
                <w:rFonts w:ascii="Arial"/>
                <w:sz w:val="21"/>
              </w:rPr>
            </w:pPr>
            <w:r/>
          </w:p>
          <w:p>
            <w:pPr>
              <w:ind w:left="515"/>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420" w:type="dxa"/>
            <w:vAlign w:val="top"/>
            <w:textDirection w:val="tbRlV"/>
          </w:tcPr>
          <w:p>
            <w:pPr>
              <w:pStyle w:val="TableText"/>
              <w:ind w:left="176"/>
              <w:spacing w:before="98" w:line="209" w:lineRule="auto"/>
              <w:rPr/>
            </w:pPr>
            <w:r>
              <w:rPr>
                <w:spacing w:val="31"/>
              </w:rPr>
              <w:t>固态</w:t>
            </w:r>
          </w:p>
        </w:tc>
        <w:tc>
          <w:tcPr>
            <w:tcW w:w="799" w:type="dxa"/>
            <w:vAlign w:val="top"/>
          </w:tcPr>
          <w:p>
            <w:pPr>
              <w:ind w:left="296"/>
              <w:spacing w:before="220"/>
              <w:tabs>
                <w:tab w:val="left" w:pos="500"/>
              </w:tabs>
              <w:rPr>
                <w:rFonts w:ascii="Arial"/>
                <w:sz w:val="21"/>
              </w:rPr>
            </w:pPr>
            <w:r>
              <w:rPr>
                <w:rFonts w:ascii="Arial" w:hAnsi="Arial" w:eastAsia="Arial" w:cs="Arial"/>
                <w:sz w:val="21"/>
                <w:szCs w:val="21"/>
                <w:u w:val="single" w:color="auto"/>
              </w:rPr>
              <w:tab/>
            </w:r>
          </w:p>
        </w:tc>
        <w:tc>
          <w:tcPr>
            <w:tcW w:w="819" w:type="dxa"/>
            <w:vAlign w:val="top"/>
          </w:tcPr>
          <w:p>
            <w:pPr>
              <w:ind w:left="307"/>
              <w:spacing w:before="220"/>
              <w:tabs>
                <w:tab w:val="left" w:pos="512"/>
              </w:tabs>
              <w:rPr>
                <w:rFonts w:ascii="Arial"/>
                <w:sz w:val="21"/>
              </w:rPr>
            </w:pPr>
            <w:r>
              <w:rPr>
                <w:rFonts w:ascii="Arial" w:hAnsi="Arial" w:eastAsia="Arial" w:cs="Arial"/>
                <w:sz w:val="21"/>
                <w:szCs w:val="21"/>
                <w:u w:val="single" w:color="auto"/>
              </w:rPr>
              <w:tab/>
            </w:r>
          </w:p>
        </w:tc>
        <w:tc>
          <w:tcPr>
            <w:tcW w:w="2038" w:type="dxa"/>
            <w:vAlign w:val="top"/>
            <w:tcBorders>
              <w:right w:val="nil"/>
            </w:tcBorders>
          </w:tcPr>
          <w:p>
            <w:pPr>
              <w:pStyle w:val="TableText"/>
              <w:ind w:left="209"/>
              <w:spacing w:before="39" w:line="219" w:lineRule="auto"/>
              <w:rPr/>
            </w:pPr>
            <w:r>
              <w:rPr>
                <w:spacing w:val="-4"/>
              </w:rPr>
              <w:t>由西乌珠穆沁旗康</w:t>
            </w:r>
          </w:p>
          <w:p>
            <w:pPr>
              <w:pStyle w:val="TableText"/>
              <w:ind w:left="186"/>
              <w:spacing w:before="23" w:line="221" w:lineRule="auto"/>
              <w:rPr/>
            </w:pPr>
            <w:r>
              <w:rPr>
                <w:spacing w:val="-1"/>
              </w:rPr>
              <w:t>净环保有限公司集</w:t>
            </w:r>
          </w:p>
          <w:p>
            <w:pPr>
              <w:pStyle w:val="TableText"/>
              <w:ind w:left="729"/>
              <w:spacing w:before="19" w:line="199" w:lineRule="auto"/>
              <w:rPr/>
            </w:pPr>
            <w:r>
              <w:rPr>
                <w:spacing w:val="-6"/>
              </w:rPr>
              <w:t>中处理</w:t>
            </w:r>
          </w:p>
        </w:tc>
      </w:tr>
      <w:tr>
        <w:trPr>
          <w:trHeight w:val="817" w:hRule="atLeast"/>
        </w:trPr>
        <w:tc>
          <w:tcPr>
            <w:tcW w:w="502" w:type="dxa"/>
            <w:vAlign w:val="top"/>
            <w:tcBorders>
              <w:left w:val="nil"/>
            </w:tcBorders>
          </w:tcPr>
          <w:p>
            <w:pPr>
              <w:spacing w:line="281" w:lineRule="auto"/>
              <w:rPr>
                <w:rFonts w:ascii="Arial"/>
                <w:sz w:val="21"/>
              </w:rPr>
            </w:pPr>
            <w:r/>
          </w:p>
          <w:p>
            <w:pPr>
              <w:ind w:left="207"/>
              <w:spacing w:before="6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799" w:type="dxa"/>
            <w:vAlign w:val="top"/>
          </w:tcPr>
          <w:p>
            <w:pPr>
              <w:pStyle w:val="TableText"/>
              <w:ind w:left="196" w:right="184"/>
              <w:spacing w:before="178" w:line="241" w:lineRule="auto"/>
              <w:rPr/>
            </w:pPr>
            <w:r>
              <w:rPr>
                <w:spacing w:val="-4"/>
              </w:rPr>
              <w:t>生活</w:t>
            </w:r>
            <w:r>
              <w:rPr>
                <w:spacing w:val="-4"/>
              </w:rPr>
              <w:t>垃圾</w:t>
            </w:r>
          </w:p>
        </w:tc>
        <w:tc>
          <w:tcPr>
            <w:tcW w:w="761" w:type="dxa"/>
            <w:vAlign w:val="top"/>
          </w:tcPr>
          <w:p>
            <w:pPr>
              <w:pStyle w:val="TableText"/>
              <w:ind w:left="193" w:right="165" w:hanging="14"/>
              <w:spacing w:before="178" w:line="241" w:lineRule="auto"/>
              <w:rPr/>
            </w:pPr>
            <w:r>
              <w:rPr>
                <w:spacing w:val="-5"/>
              </w:rPr>
              <w:t>一般</w:t>
            </w:r>
            <w:r>
              <w:rPr>
                <w:spacing w:val="-13"/>
              </w:rPr>
              <w:t>固废</w:t>
            </w:r>
          </w:p>
        </w:tc>
        <w:tc>
          <w:tcPr>
            <w:tcW w:w="1332" w:type="dxa"/>
            <w:vAlign w:val="top"/>
          </w:tcPr>
          <w:p>
            <w:pPr>
              <w:spacing w:line="281" w:lineRule="auto"/>
              <w:rPr>
                <w:rFonts w:ascii="Arial"/>
                <w:sz w:val="21"/>
              </w:rPr>
            </w:pPr>
            <w:r/>
          </w:p>
          <w:p>
            <w:pPr>
              <w:ind w:left="123"/>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900-099-S64</w:t>
            </w:r>
          </w:p>
        </w:tc>
        <w:tc>
          <w:tcPr>
            <w:tcW w:w="1126" w:type="dxa"/>
            <w:vAlign w:val="top"/>
          </w:tcPr>
          <w:p>
            <w:pPr>
              <w:spacing w:line="281" w:lineRule="auto"/>
              <w:rPr>
                <w:rFonts w:ascii="Arial"/>
                <w:sz w:val="21"/>
              </w:rPr>
            </w:pPr>
            <w:r/>
          </w:p>
          <w:p>
            <w:pPr>
              <w:ind w:left="348"/>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1.825</w:t>
            </w:r>
          </w:p>
        </w:tc>
        <w:tc>
          <w:tcPr>
            <w:tcW w:w="420" w:type="dxa"/>
            <w:vAlign w:val="top"/>
            <w:textDirection w:val="tbRlV"/>
          </w:tcPr>
          <w:p>
            <w:pPr>
              <w:pStyle w:val="TableText"/>
              <w:ind w:left="179"/>
              <w:spacing w:before="98" w:line="209" w:lineRule="auto"/>
              <w:rPr/>
            </w:pPr>
            <w:r>
              <w:rPr>
                <w:spacing w:val="31"/>
              </w:rPr>
              <w:t>固态</w:t>
            </w:r>
          </w:p>
        </w:tc>
        <w:tc>
          <w:tcPr>
            <w:tcW w:w="799" w:type="dxa"/>
            <w:vAlign w:val="top"/>
          </w:tcPr>
          <w:p>
            <w:pPr>
              <w:pStyle w:val="TableText"/>
              <w:ind w:left="300" w:right="184" w:hanging="103"/>
              <w:spacing w:before="178" w:line="241" w:lineRule="auto"/>
              <w:rPr/>
            </w:pPr>
            <w:r>
              <w:rPr>
                <w:spacing w:val="-4"/>
              </w:rPr>
              <w:t>垃圾</w:t>
            </w:r>
            <w:r>
              <w:rPr/>
              <w:t>箱</w:t>
            </w:r>
          </w:p>
        </w:tc>
        <w:tc>
          <w:tcPr>
            <w:tcW w:w="819" w:type="dxa"/>
            <w:vAlign w:val="top"/>
          </w:tcPr>
          <w:p>
            <w:pPr>
              <w:ind w:left="307"/>
              <w:spacing w:before="220"/>
              <w:tabs>
                <w:tab w:val="left" w:pos="512"/>
              </w:tabs>
              <w:rPr>
                <w:rFonts w:ascii="Arial"/>
                <w:sz w:val="21"/>
              </w:rPr>
            </w:pPr>
            <w:r>
              <w:rPr>
                <w:rFonts w:ascii="Arial" w:hAnsi="Arial" w:eastAsia="Arial" w:cs="Arial"/>
                <w:sz w:val="21"/>
                <w:szCs w:val="21"/>
                <w:u w:val="single" w:color="auto"/>
              </w:rPr>
              <w:tab/>
            </w:r>
          </w:p>
        </w:tc>
        <w:tc>
          <w:tcPr>
            <w:tcW w:w="2038" w:type="dxa"/>
            <w:vAlign w:val="top"/>
            <w:tcBorders>
              <w:right w:val="nil"/>
            </w:tcBorders>
          </w:tcPr>
          <w:p>
            <w:pPr>
              <w:pStyle w:val="TableText"/>
              <w:ind w:left="114"/>
              <w:spacing w:before="41" w:line="221" w:lineRule="auto"/>
              <w:rPr/>
            </w:pPr>
            <w:r>
              <w:rPr>
                <w:spacing w:val="-9"/>
              </w:rPr>
              <w:t>集中堆放，定期交由</w:t>
            </w:r>
          </w:p>
          <w:p>
            <w:pPr>
              <w:pStyle w:val="TableText"/>
              <w:ind w:left="183"/>
              <w:spacing w:before="19" w:line="221" w:lineRule="auto"/>
              <w:rPr/>
            </w:pPr>
            <w:r>
              <w:rPr/>
              <w:t>环卫部门进行统一</w:t>
            </w:r>
          </w:p>
          <w:p>
            <w:pPr>
              <w:pStyle w:val="TableText"/>
              <w:ind w:left="819"/>
              <w:spacing w:before="22" w:line="193" w:lineRule="auto"/>
              <w:rPr/>
            </w:pPr>
            <w:r>
              <w:rPr>
                <w:spacing w:val="-3"/>
              </w:rPr>
              <w:t>处理</w:t>
            </w:r>
          </w:p>
        </w:tc>
      </w:tr>
      <w:tr>
        <w:trPr>
          <w:trHeight w:val="1090" w:hRule="atLeast"/>
        </w:trPr>
        <w:tc>
          <w:tcPr>
            <w:tcW w:w="502" w:type="dxa"/>
            <w:vAlign w:val="top"/>
            <w:tcBorders>
              <w:left w:val="nil"/>
            </w:tcBorders>
          </w:tcPr>
          <w:p>
            <w:pPr>
              <w:spacing w:line="421" w:lineRule="auto"/>
              <w:rPr>
                <w:rFonts w:ascii="Arial"/>
                <w:sz w:val="21"/>
              </w:rPr>
            </w:pPr>
            <w:r/>
          </w:p>
          <w:p>
            <w:pPr>
              <w:ind w:left="214"/>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799" w:type="dxa"/>
            <w:vAlign w:val="top"/>
          </w:tcPr>
          <w:p>
            <w:pPr>
              <w:pStyle w:val="TableText"/>
              <w:ind w:left="199"/>
              <w:spacing w:before="45" w:line="221" w:lineRule="auto"/>
              <w:rPr/>
            </w:pPr>
            <w:r>
              <w:rPr>
                <w:spacing w:val="-3"/>
              </w:rPr>
              <w:t>消毒</w:t>
            </w:r>
          </w:p>
          <w:p>
            <w:pPr>
              <w:pStyle w:val="TableText"/>
              <w:ind w:left="195"/>
              <w:spacing w:before="23" w:line="220" w:lineRule="auto"/>
              <w:rPr/>
            </w:pPr>
            <w:r>
              <w:rPr>
                <w:spacing w:val="-2"/>
              </w:rPr>
              <w:t>剂废</w:t>
            </w:r>
          </w:p>
          <w:p>
            <w:pPr>
              <w:pStyle w:val="TableText"/>
              <w:ind w:left="297" w:right="184" w:hanging="103"/>
              <w:spacing w:before="20" w:line="215" w:lineRule="auto"/>
              <w:rPr/>
            </w:pPr>
            <w:r>
              <w:rPr>
                <w:spacing w:val="-3"/>
              </w:rPr>
              <w:t>包装</w:t>
            </w:r>
            <w:r>
              <w:rPr/>
              <w:t>袋</w:t>
            </w:r>
          </w:p>
        </w:tc>
        <w:tc>
          <w:tcPr>
            <w:tcW w:w="761" w:type="dxa"/>
            <w:vAlign w:val="top"/>
          </w:tcPr>
          <w:p>
            <w:pPr>
              <w:spacing w:line="249" w:lineRule="auto"/>
              <w:rPr>
                <w:rFonts w:ascii="Arial"/>
                <w:sz w:val="21"/>
              </w:rPr>
            </w:pPr>
            <w:r/>
          </w:p>
          <w:p>
            <w:pPr>
              <w:pStyle w:val="TableText"/>
              <w:ind w:left="175" w:right="165" w:firstLine="3"/>
              <w:spacing w:before="69" w:line="241" w:lineRule="auto"/>
              <w:rPr/>
            </w:pPr>
            <w:r>
              <w:rPr>
                <w:spacing w:val="-5"/>
              </w:rPr>
              <w:t>危险</w:t>
            </w:r>
            <w:r>
              <w:rPr>
                <w:spacing w:val="-3"/>
              </w:rPr>
              <w:t>废物</w:t>
            </w:r>
          </w:p>
        </w:tc>
        <w:tc>
          <w:tcPr>
            <w:tcW w:w="1332" w:type="dxa"/>
            <w:vAlign w:val="top"/>
          </w:tcPr>
          <w:p>
            <w:pPr>
              <w:spacing w:line="421" w:lineRule="auto"/>
              <w:rPr>
                <w:rFonts w:ascii="Arial"/>
                <w:sz w:val="21"/>
              </w:rPr>
            </w:pPr>
            <w:r/>
          </w:p>
          <w:p>
            <w:pPr>
              <w:ind w:left="181"/>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900-041-49</w:t>
            </w:r>
          </w:p>
        </w:tc>
        <w:tc>
          <w:tcPr>
            <w:tcW w:w="1126" w:type="dxa"/>
            <w:vAlign w:val="top"/>
          </w:tcPr>
          <w:p>
            <w:pPr>
              <w:spacing w:line="421" w:lineRule="auto"/>
              <w:rPr>
                <w:rFonts w:ascii="Arial"/>
                <w:sz w:val="21"/>
              </w:rPr>
            </w:pPr>
            <w:r/>
          </w:p>
          <w:p>
            <w:pPr>
              <w:ind w:left="437"/>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p>
        </w:tc>
        <w:tc>
          <w:tcPr>
            <w:tcW w:w="420" w:type="dxa"/>
            <w:vAlign w:val="top"/>
            <w:textDirection w:val="tbRlV"/>
          </w:tcPr>
          <w:p>
            <w:pPr>
              <w:pStyle w:val="TableText"/>
              <w:ind w:left="320"/>
              <w:spacing w:before="98" w:line="209" w:lineRule="auto"/>
              <w:rPr/>
            </w:pPr>
            <w:r>
              <w:rPr>
                <w:spacing w:val="31"/>
              </w:rPr>
              <w:t>固态</w:t>
            </w:r>
          </w:p>
        </w:tc>
        <w:tc>
          <w:tcPr>
            <w:tcW w:w="799" w:type="dxa"/>
            <w:vAlign w:val="top"/>
          </w:tcPr>
          <w:p>
            <w:pPr>
              <w:pStyle w:val="TableText"/>
              <w:ind w:left="197"/>
              <w:spacing w:before="46" w:line="221" w:lineRule="auto"/>
              <w:rPr/>
            </w:pPr>
            <w:r>
              <w:rPr>
                <w:spacing w:val="-3"/>
              </w:rPr>
              <w:t>危险</w:t>
            </w:r>
          </w:p>
          <w:p>
            <w:pPr>
              <w:pStyle w:val="TableText"/>
              <w:ind w:left="194"/>
              <w:spacing w:before="22" w:line="221" w:lineRule="auto"/>
              <w:rPr/>
            </w:pPr>
            <w:r>
              <w:rPr>
                <w:spacing w:val="-2"/>
              </w:rPr>
              <w:t>废物</w:t>
            </w:r>
          </w:p>
          <w:p>
            <w:pPr>
              <w:pStyle w:val="TableText"/>
              <w:ind w:left="315" w:right="184" w:hanging="113"/>
              <w:spacing w:before="18" w:line="215" w:lineRule="auto"/>
              <w:rPr/>
            </w:pPr>
            <w:r>
              <w:rPr>
                <w:spacing w:val="-7"/>
              </w:rPr>
              <w:t>暂存</w:t>
            </w:r>
            <w:r>
              <w:rPr/>
              <w:t>间</w:t>
            </w:r>
          </w:p>
        </w:tc>
        <w:tc>
          <w:tcPr>
            <w:tcW w:w="819" w:type="dxa"/>
            <w:vAlign w:val="top"/>
          </w:tcPr>
          <w:p>
            <w:pPr>
              <w:spacing w:line="386" w:lineRule="auto"/>
              <w:rPr>
                <w:rFonts w:ascii="Arial"/>
                <w:sz w:val="21"/>
              </w:rPr>
            </w:pPr>
            <w:r/>
          </w:p>
          <w:p>
            <w:pPr>
              <w:pStyle w:val="TableText"/>
              <w:ind w:left="202"/>
              <w:spacing w:before="68" w:line="221" w:lineRule="auto"/>
              <w:rPr/>
            </w:pPr>
            <w:r>
              <w:rPr>
                <w:spacing w:val="-2"/>
              </w:rPr>
              <w:t>袋装</w:t>
            </w:r>
          </w:p>
        </w:tc>
        <w:tc>
          <w:tcPr>
            <w:tcW w:w="2038" w:type="dxa"/>
            <w:vAlign w:val="top"/>
            <w:tcBorders>
              <w:right w:val="nil"/>
            </w:tcBorders>
          </w:tcPr>
          <w:p>
            <w:pPr>
              <w:pStyle w:val="TableText"/>
              <w:ind w:left="120"/>
              <w:spacing w:before="182" w:line="221" w:lineRule="auto"/>
              <w:rPr/>
            </w:pPr>
            <w:r>
              <w:rPr>
                <w:spacing w:val="-8"/>
              </w:rPr>
              <w:t>暂存于危废间内，定</w:t>
            </w:r>
          </w:p>
          <w:p>
            <w:pPr>
              <w:pStyle w:val="TableText"/>
              <w:ind w:left="186"/>
              <w:spacing w:before="22" w:line="217" w:lineRule="auto"/>
              <w:rPr/>
            </w:pPr>
            <w:r>
              <w:rPr>
                <w:spacing w:val="-1"/>
              </w:rPr>
              <w:t>期委托有资质部门</w:t>
            </w:r>
          </w:p>
          <w:p>
            <w:pPr>
              <w:pStyle w:val="TableText"/>
              <w:ind w:left="819"/>
              <w:spacing w:before="24" w:line="225" w:lineRule="auto"/>
              <w:rPr/>
            </w:pPr>
            <w:r>
              <w:rPr>
                <w:spacing w:val="-3"/>
              </w:rPr>
              <w:t>处理</w:t>
            </w:r>
          </w:p>
        </w:tc>
      </w:tr>
      <w:tr>
        <w:trPr>
          <w:trHeight w:val="1116" w:hRule="atLeast"/>
        </w:trPr>
        <w:tc>
          <w:tcPr>
            <w:tcW w:w="502" w:type="dxa"/>
            <w:vAlign w:val="top"/>
            <w:tcBorders>
              <w:bottom w:val="single" w:color="000000" w:sz="10" w:space="0"/>
              <w:left w:val="nil"/>
            </w:tcBorders>
          </w:tcPr>
          <w:p>
            <w:pPr>
              <w:spacing w:line="425" w:lineRule="auto"/>
              <w:rPr>
                <w:rFonts w:ascii="Arial"/>
                <w:sz w:val="21"/>
              </w:rPr>
            </w:pPr>
            <w:r/>
          </w:p>
          <w:p>
            <w:pPr>
              <w:ind w:left="213"/>
              <w:spacing w:before="6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799" w:type="dxa"/>
            <w:vAlign w:val="top"/>
            <w:tcBorders>
              <w:bottom w:val="single" w:color="000000" w:sz="10" w:space="0"/>
            </w:tcBorders>
          </w:tcPr>
          <w:p>
            <w:pPr>
              <w:spacing w:line="254" w:lineRule="auto"/>
              <w:rPr>
                <w:rFonts w:ascii="Arial"/>
                <w:sz w:val="21"/>
              </w:rPr>
            </w:pPr>
            <w:r/>
          </w:p>
          <w:p>
            <w:pPr>
              <w:pStyle w:val="TableText"/>
              <w:ind w:left="196" w:right="184"/>
              <w:spacing w:before="68" w:line="241" w:lineRule="auto"/>
              <w:rPr/>
            </w:pPr>
            <w:r>
              <w:rPr>
                <w:spacing w:val="-4"/>
              </w:rPr>
              <w:t>餐厨</w:t>
            </w:r>
            <w:r>
              <w:rPr>
                <w:spacing w:val="-4"/>
              </w:rPr>
              <w:t>垃圾</w:t>
            </w:r>
          </w:p>
        </w:tc>
        <w:tc>
          <w:tcPr>
            <w:tcW w:w="761" w:type="dxa"/>
            <w:vAlign w:val="top"/>
            <w:tcBorders>
              <w:bottom w:val="single" w:color="000000" w:sz="10" w:space="0"/>
            </w:tcBorders>
          </w:tcPr>
          <w:p>
            <w:pPr>
              <w:spacing w:line="254" w:lineRule="auto"/>
              <w:rPr>
                <w:rFonts w:ascii="Arial"/>
                <w:sz w:val="21"/>
              </w:rPr>
            </w:pPr>
            <w:r/>
          </w:p>
          <w:p>
            <w:pPr>
              <w:pStyle w:val="TableText"/>
              <w:ind w:left="193" w:right="165" w:hanging="14"/>
              <w:spacing w:before="68" w:line="241" w:lineRule="auto"/>
              <w:rPr/>
            </w:pPr>
            <w:r>
              <w:rPr>
                <w:spacing w:val="-5"/>
              </w:rPr>
              <w:t>一般</w:t>
            </w:r>
            <w:r>
              <w:rPr>
                <w:spacing w:val="-13"/>
              </w:rPr>
              <w:t>固废</w:t>
            </w:r>
          </w:p>
        </w:tc>
        <w:tc>
          <w:tcPr>
            <w:tcW w:w="1332" w:type="dxa"/>
            <w:vAlign w:val="top"/>
            <w:tcBorders>
              <w:bottom w:val="single" w:color="000000" w:sz="10" w:space="0"/>
            </w:tcBorders>
          </w:tcPr>
          <w:p>
            <w:pPr>
              <w:spacing w:line="425" w:lineRule="auto"/>
              <w:rPr>
                <w:rFonts w:ascii="Arial"/>
                <w:sz w:val="21"/>
              </w:rPr>
            </w:pPr>
            <w:r/>
          </w:p>
          <w:p>
            <w:pPr>
              <w:ind w:left="123"/>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900-002-S61</w:t>
            </w:r>
          </w:p>
        </w:tc>
        <w:tc>
          <w:tcPr>
            <w:tcW w:w="1126" w:type="dxa"/>
            <w:vAlign w:val="top"/>
            <w:tcBorders>
              <w:bottom w:val="single" w:color="000000" w:sz="10" w:space="0"/>
            </w:tcBorders>
          </w:tcPr>
          <w:p>
            <w:pPr>
              <w:spacing w:line="426" w:lineRule="auto"/>
              <w:rPr>
                <w:rFonts w:ascii="Arial"/>
                <w:sz w:val="21"/>
              </w:rPr>
            </w:pPr>
            <w:r/>
          </w:p>
          <w:p>
            <w:pPr>
              <w:ind w:left="384"/>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0.73</w:t>
            </w:r>
          </w:p>
        </w:tc>
        <w:tc>
          <w:tcPr>
            <w:tcW w:w="420" w:type="dxa"/>
            <w:vAlign w:val="top"/>
            <w:textDirection w:val="tbRlV"/>
            <w:tcBorders>
              <w:bottom w:val="single" w:color="000000" w:sz="10" w:space="0"/>
            </w:tcBorders>
          </w:tcPr>
          <w:p>
            <w:pPr>
              <w:pStyle w:val="TableText"/>
              <w:ind w:left="324"/>
              <w:spacing w:before="98" w:line="209" w:lineRule="auto"/>
              <w:rPr/>
            </w:pPr>
            <w:r>
              <w:rPr>
                <w:spacing w:val="31"/>
              </w:rPr>
              <w:t>固态</w:t>
            </w:r>
          </w:p>
        </w:tc>
        <w:tc>
          <w:tcPr>
            <w:tcW w:w="799" w:type="dxa"/>
            <w:vAlign w:val="top"/>
            <w:tcBorders>
              <w:bottom w:val="single" w:color="000000" w:sz="10" w:space="0"/>
            </w:tcBorders>
          </w:tcPr>
          <w:p>
            <w:pPr>
              <w:spacing w:line="255" w:lineRule="auto"/>
              <w:rPr>
                <w:rFonts w:ascii="Arial"/>
                <w:sz w:val="21"/>
              </w:rPr>
            </w:pPr>
            <w:r/>
          </w:p>
          <w:p>
            <w:pPr>
              <w:pStyle w:val="TableText"/>
              <w:ind w:left="299" w:right="184" w:hanging="97"/>
              <w:spacing w:before="68"/>
              <w:rPr/>
            </w:pPr>
            <w:r>
              <w:rPr>
                <w:spacing w:val="-7"/>
              </w:rPr>
              <w:t>收集</w:t>
            </w:r>
            <w:r>
              <w:rPr/>
              <w:t>桶</w:t>
            </w:r>
          </w:p>
        </w:tc>
        <w:tc>
          <w:tcPr>
            <w:tcW w:w="819" w:type="dxa"/>
            <w:vAlign w:val="top"/>
            <w:tcBorders>
              <w:bottom w:val="single" w:color="000000" w:sz="10" w:space="0"/>
            </w:tcBorders>
          </w:tcPr>
          <w:p>
            <w:pPr>
              <w:spacing w:line="390" w:lineRule="auto"/>
              <w:rPr>
                <w:rFonts w:ascii="Arial"/>
                <w:sz w:val="21"/>
              </w:rPr>
            </w:pPr>
            <w:r/>
          </w:p>
          <w:p>
            <w:pPr>
              <w:pStyle w:val="TableText"/>
              <w:ind w:left="204"/>
              <w:spacing w:before="68" w:line="221" w:lineRule="auto"/>
              <w:rPr/>
            </w:pPr>
            <w:r>
              <w:rPr>
                <w:spacing w:val="-2"/>
              </w:rPr>
              <w:t>桶装</w:t>
            </w:r>
          </w:p>
        </w:tc>
        <w:tc>
          <w:tcPr>
            <w:tcW w:w="2038" w:type="dxa"/>
            <w:vAlign w:val="top"/>
            <w:tcBorders>
              <w:bottom w:val="single" w:color="000000" w:sz="10" w:space="0"/>
              <w:right w:val="nil"/>
            </w:tcBorders>
          </w:tcPr>
          <w:p>
            <w:pPr>
              <w:pStyle w:val="TableText"/>
              <w:ind w:left="183"/>
              <w:spacing w:before="52" w:line="221" w:lineRule="auto"/>
              <w:rPr/>
            </w:pPr>
            <w:r>
              <w:rPr>
                <w:spacing w:val="-1"/>
              </w:rPr>
              <w:t>每日使用加盖塑料</w:t>
            </w:r>
          </w:p>
          <w:p>
            <w:pPr>
              <w:pStyle w:val="TableText"/>
              <w:ind w:left="115"/>
              <w:spacing w:before="19" w:line="221" w:lineRule="auto"/>
              <w:rPr/>
            </w:pPr>
            <w:r>
              <w:rPr>
                <w:spacing w:val="-9"/>
              </w:rPr>
              <w:t>桶进行收集，定期交</w:t>
            </w:r>
          </w:p>
          <w:p>
            <w:pPr>
              <w:pStyle w:val="TableText"/>
              <w:ind w:left="209"/>
              <w:spacing w:before="19" w:line="221" w:lineRule="auto"/>
              <w:rPr/>
            </w:pPr>
            <w:r>
              <w:rPr>
                <w:spacing w:val="-4"/>
              </w:rPr>
              <w:t>由环卫部门进行统</w:t>
            </w:r>
          </w:p>
          <w:p>
            <w:pPr>
              <w:pStyle w:val="TableText"/>
              <w:ind w:left="712"/>
              <w:spacing w:before="23" w:line="208" w:lineRule="auto"/>
              <w:rPr/>
            </w:pPr>
            <w:r>
              <w:rPr>
                <w:spacing w:val="-3"/>
              </w:rPr>
              <w:t>一处理</w:t>
            </w:r>
          </w:p>
        </w:tc>
      </w:tr>
    </w:tbl>
    <w:p>
      <w:pPr>
        <w:pStyle w:val="BodyText"/>
        <w:rPr/>
      </w:pPr>
      <w:r/>
    </w:p>
    <w:p>
      <w:pPr>
        <w:sectPr>
          <w:headerReference w:type="default" r:id="rId81"/>
          <w:pgSz w:w="11907" w:h="16839"/>
          <w:pgMar w:top="1390" w:right="1670" w:bottom="400" w:left="1579" w:header="1054" w:footer="0" w:gutter="0"/>
        </w:sectPr>
        <w:rPr/>
      </w:pPr>
    </w:p>
    <w:p>
      <w:pPr>
        <w:ind w:left="2807"/>
        <w:spacing w:before="84"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3-16    </w:t>
      </w:r>
      <w:r>
        <w:rPr>
          <w:rFonts w:ascii="SimSun" w:hAnsi="SimSun" w:eastAsia="SimSun" w:cs="SimSun"/>
          <w:sz w:val="24"/>
          <w:szCs w:val="24"/>
          <w:b/>
          <w:bCs/>
          <w:spacing w:val="-2"/>
        </w:rPr>
        <w:t>危险废物特性一览表</w:t>
      </w:r>
    </w:p>
    <w:p>
      <w:pPr>
        <w:spacing w:line="131" w:lineRule="exact"/>
        <w:rPr/>
      </w:pPr>
      <w:r/>
    </w:p>
    <w:tbl>
      <w:tblPr>
        <w:tblStyle w:val="TableNormal"/>
        <w:tblW w:w="873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1"/>
        <w:gridCol w:w="761"/>
        <w:gridCol w:w="776"/>
        <w:gridCol w:w="1197"/>
        <w:gridCol w:w="982"/>
        <w:gridCol w:w="871"/>
        <w:gridCol w:w="1234"/>
        <w:gridCol w:w="1234"/>
        <w:gridCol w:w="1234"/>
      </w:tblGrid>
      <w:tr>
        <w:trPr>
          <w:trHeight w:val="817" w:hRule="atLeast"/>
        </w:trPr>
        <w:tc>
          <w:tcPr>
            <w:tcW w:w="441" w:type="dxa"/>
            <w:vAlign w:val="top"/>
            <w:textDirection w:val="tbRlV"/>
            <w:tcBorders>
              <w:top w:val="single" w:color="000000" w:sz="10" w:space="0"/>
              <w:left w:val="nil"/>
            </w:tcBorders>
          </w:tcPr>
          <w:p>
            <w:pPr>
              <w:pStyle w:val="TableText"/>
              <w:ind w:left="170"/>
              <w:spacing w:before="104" w:line="211" w:lineRule="auto"/>
              <w:rPr/>
            </w:pPr>
            <w:r>
              <w:rPr>
                <w:b/>
                <w:bCs/>
                <w:spacing w:val="28"/>
              </w:rPr>
              <w:t>序号</w:t>
            </w:r>
          </w:p>
        </w:tc>
        <w:tc>
          <w:tcPr>
            <w:tcW w:w="761" w:type="dxa"/>
            <w:vAlign w:val="top"/>
            <w:tcBorders>
              <w:top w:val="single" w:color="000000" w:sz="10" w:space="0"/>
            </w:tcBorders>
          </w:tcPr>
          <w:p>
            <w:pPr>
              <w:pStyle w:val="TableText"/>
              <w:ind w:left="176"/>
              <w:spacing w:before="33" w:line="221" w:lineRule="auto"/>
              <w:rPr/>
            </w:pPr>
            <w:r>
              <w:rPr>
                <w:b/>
                <w:bCs/>
                <w:spacing w:val="-5"/>
              </w:rPr>
              <w:t>危险</w:t>
            </w:r>
          </w:p>
          <w:p>
            <w:pPr>
              <w:pStyle w:val="TableText"/>
              <w:ind w:left="173"/>
              <w:spacing w:before="22" w:line="221" w:lineRule="auto"/>
              <w:rPr/>
            </w:pPr>
            <w:r>
              <w:rPr>
                <w:b/>
                <w:bCs/>
                <w:spacing w:val="-4"/>
              </w:rPr>
              <w:t>废物</w:t>
            </w:r>
          </w:p>
          <w:p>
            <w:pPr>
              <w:pStyle w:val="TableText"/>
              <w:ind w:left="176"/>
              <w:spacing w:before="19" w:line="201" w:lineRule="auto"/>
              <w:rPr/>
            </w:pPr>
            <w:r>
              <w:rPr>
                <w:b/>
                <w:bCs/>
                <w:spacing w:val="-5"/>
              </w:rPr>
              <w:t>名称</w:t>
            </w:r>
          </w:p>
        </w:tc>
        <w:tc>
          <w:tcPr>
            <w:tcW w:w="776" w:type="dxa"/>
            <w:vAlign w:val="top"/>
            <w:tcBorders>
              <w:top w:val="single" w:color="000000" w:sz="10" w:space="0"/>
            </w:tcBorders>
          </w:tcPr>
          <w:p>
            <w:pPr>
              <w:pStyle w:val="TableText"/>
              <w:ind w:left="183"/>
              <w:spacing w:before="33" w:line="221" w:lineRule="auto"/>
              <w:rPr/>
            </w:pPr>
            <w:r>
              <w:rPr>
                <w:b/>
                <w:bCs/>
                <w:spacing w:val="-5"/>
              </w:rPr>
              <w:t>危险</w:t>
            </w:r>
          </w:p>
          <w:p>
            <w:pPr>
              <w:pStyle w:val="TableText"/>
              <w:ind w:left="180"/>
              <w:spacing w:before="22" w:line="221" w:lineRule="auto"/>
              <w:rPr/>
            </w:pPr>
            <w:r>
              <w:rPr>
                <w:b/>
                <w:bCs/>
                <w:spacing w:val="-4"/>
              </w:rPr>
              <w:t>废物</w:t>
            </w:r>
          </w:p>
          <w:p>
            <w:pPr>
              <w:pStyle w:val="TableText"/>
              <w:ind w:left="181"/>
              <w:spacing w:before="19" w:line="201" w:lineRule="auto"/>
              <w:rPr/>
            </w:pPr>
            <w:r>
              <w:rPr>
                <w:b/>
                <w:bCs/>
                <w:spacing w:val="-4"/>
              </w:rPr>
              <w:t>类别</w:t>
            </w:r>
          </w:p>
        </w:tc>
        <w:tc>
          <w:tcPr>
            <w:tcW w:w="1197" w:type="dxa"/>
            <w:vAlign w:val="top"/>
            <w:tcBorders>
              <w:top w:val="single" w:color="000000" w:sz="10" w:space="0"/>
            </w:tcBorders>
          </w:tcPr>
          <w:p>
            <w:pPr>
              <w:pStyle w:val="TableText"/>
              <w:ind w:left="390" w:right="174" w:hanging="207"/>
              <w:spacing w:before="169"/>
              <w:rPr/>
            </w:pPr>
            <w:r>
              <w:rPr>
                <w:b/>
                <w:bCs/>
                <w:spacing w:val="-4"/>
              </w:rPr>
              <w:t>危险废物</w:t>
            </w:r>
            <w:r>
              <w:rPr>
                <w:b/>
                <w:bCs/>
                <w:spacing w:val="-4"/>
              </w:rPr>
              <w:t>代码</w:t>
            </w:r>
          </w:p>
        </w:tc>
        <w:tc>
          <w:tcPr>
            <w:tcW w:w="982" w:type="dxa"/>
            <w:vAlign w:val="top"/>
            <w:tcBorders>
              <w:top w:val="single" w:color="000000" w:sz="10" w:space="0"/>
            </w:tcBorders>
          </w:tcPr>
          <w:p>
            <w:pPr>
              <w:pStyle w:val="TableText"/>
              <w:ind w:left="179"/>
              <w:spacing w:before="33" w:line="221" w:lineRule="auto"/>
              <w:rPr/>
            </w:pPr>
            <w:r>
              <w:rPr>
                <w:b/>
                <w:bCs/>
                <w:spacing w:val="-4"/>
              </w:rPr>
              <w:t>产生工</w:t>
            </w:r>
          </w:p>
          <w:p>
            <w:pPr>
              <w:pStyle w:val="TableText"/>
              <w:ind w:left="388" w:right="172" w:hanging="210"/>
              <w:spacing w:before="22" w:line="220" w:lineRule="auto"/>
              <w:rPr/>
            </w:pPr>
            <w:r>
              <w:rPr>
                <w:b/>
                <w:bCs/>
                <w:spacing w:val="-4"/>
              </w:rPr>
              <w:t>序及装</w:t>
            </w:r>
            <w:r>
              <w:rPr>
                <w:b/>
                <w:bCs/>
                <w:spacing w:val="-3"/>
              </w:rPr>
              <w:t>置</w:t>
            </w:r>
          </w:p>
        </w:tc>
        <w:tc>
          <w:tcPr>
            <w:tcW w:w="871" w:type="dxa"/>
            <w:vAlign w:val="top"/>
            <w:tcBorders>
              <w:top w:val="single" w:color="000000" w:sz="10" w:space="0"/>
            </w:tcBorders>
          </w:tcPr>
          <w:p>
            <w:pPr>
              <w:pStyle w:val="TableText"/>
              <w:ind w:left="232"/>
              <w:spacing w:before="306" w:line="223" w:lineRule="auto"/>
              <w:rPr/>
            </w:pPr>
            <w:r>
              <w:rPr>
                <w:b/>
                <w:bCs/>
                <w:spacing w:val="-5"/>
              </w:rPr>
              <w:t>形态</w:t>
            </w:r>
          </w:p>
        </w:tc>
        <w:tc>
          <w:tcPr>
            <w:tcW w:w="1234" w:type="dxa"/>
            <w:vAlign w:val="top"/>
            <w:tcBorders>
              <w:top w:val="single" w:color="000000" w:sz="10" w:space="0"/>
            </w:tcBorders>
          </w:tcPr>
          <w:p>
            <w:pPr>
              <w:pStyle w:val="TableText"/>
              <w:ind w:left="199"/>
              <w:spacing w:before="307" w:line="221" w:lineRule="auto"/>
              <w:rPr/>
            </w:pPr>
            <w:r>
              <w:rPr>
                <w:b/>
                <w:bCs/>
                <w:spacing w:val="-4"/>
              </w:rPr>
              <w:t>有害成分</w:t>
            </w:r>
          </w:p>
        </w:tc>
        <w:tc>
          <w:tcPr>
            <w:tcW w:w="1234" w:type="dxa"/>
            <w:vAlign w:val="top"/>
            <w:tcBorders>
              <w:top w:val="single" w:color="000000" w:sz="10" w:space="0"/>
            </w:tcBorders>
          </w:tcPr>
          <w:p>
            <w:pPr>
              <w:pStyle w:val="TableText"/>
              <w:ind w:left="201"/>
              <w:spacing w:before="306" w:line="221" w:lineRule="auto"/>
              <w:rPr/>
            </w:pPr>
            <w:r>
              <w:rPr>
                <w:b/>
                <w:bCs/>
                <w:spacing w:val="-3"/>
              </w:rPr>
              <w:t>产废周期</w:t>
            </w:r>
          </w:p>
        </w:tc>
        <w:tc>
          <w:tcPr>
            <w:tcW w:w="1234" w:type="dxa"/>
            <w:vAlign w:val="top"/>
            <w:tcBorders>
              <w:top w:val="single" w:color="000000" w:sz="10" w:space="0"/>
              <w:right w:val="nil"/>
            </w:tcBorders>
          </w:tcPr>
          <w:p>
            <w:pPr>
              <w:pStyle w:val="TableText"/>
              <w:ind w:left="203"/>
              <w:spacing w:before="306" w:line="221" w:lineRule="auto"/>
              <w:rPr/>
            </w:pPr>
            <w:r>
              <w:rPr>
                <w:b/>
                <w:bCs/>
                <w:spacing w:val="-4"/>
              </w:rPr>
              <w:t>危险特性</w:t>
            </w:r>
          </w:p>
        </w:tc>
      </w:tr>
      <w:tr>
        <w:trPr>
          <w:trHeight w:val="784" w:hRule="atLeast"/>
        </w:trPr>
        <w:tc>
          <w:tcPr>
            <w:tcW w:w="441" w:type="dxa"/>
            <w:vAlign w:val="top"/>
            <w:tcBorders>
              <w:left w:val="nil"/>
            </w:tcBorders>
          </w:tcPr>
          <w:p>
            <w:pPr>
              <w:spacing w:line="262" w:lineRule="auto"/>
              <w:rPr>
                <w:rFonts w:ascii="Arial"/>
                <w:sz w:val="21"/>
              </w:rPr>
            </w:pPr>
            <w:r/>
          </w:p>
          <w:p>
            <w:pPr>
              <w:ind w:left="199"/>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61" w:type="dxa"/>
            <w:vAlign w:val="top"/>
          </w:tcPr>
          <w:p>
            <w:pPr>
              <w:pStyle w:val="TableText"/>
              <w:ind w:left="175" w:right="165" w:firstLine="14"/>
              <w:spacing w:before="159" w:line="241" w:lineRule="auto"/>
              <w:rPr/>
            </w:pPr>
            <w:r>
              <w:rPr>
                <w:spacing w:val="-10"/>
              </w:rPr>
              <w:t>防疫</w:t>
            </w:r>
            <w:r>
              <w:rPr>
                <w:spacing w:val="-3"/>
              </w:rPr>
              <w:t>废物</w:t>
            </w:r>
          </w:p>
        </w:tc>
        <w:tc>
          <w:tcPr>
            <w:tcW w:w="776" w:type="dxa"/>
            <w:vAlign w:val="top"/>
          </w:tcPr>
          <w:p>
            <w:pPr>
              <w:ind w:left="109"/>
              <w:spacing w:before="5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HW01</w:t>
            </w:r>
          </w:p>
          <w:p>
            <w:pPr>
              <w:pStyle w:val="TableText"/>
              <w:ind w:left="193"/>
              <w:spacing w:before="35" w:line="221" w:lineRule="auto"/>
              <w:rPr/>
            </w:pPr>
            <w:r>
              <w:rPr>
                <w:spacing w:val="-4"/>
              </w:rPr>
              <w:t>医疗</w:t>
            </w:r>
          </w:p>
          <w:p>
            <w:pPr>
              <w:pStyle w:val="TableText"/>
              <w:ind w:left="182"/>
              <w:spacing w:before="22" w:line="194" w:lineRule="auto"/>
              <w:rPr/>
            </w:pPr>
            <w:r>
              <w:rPr>
                <w:spacing w:val="-2"/>
              </w:rPr>
              <w:t>废物</w:t>
            </w:r>
          </w:p>
        </w:tc>
        <w:tc>
          <w:tcPr>
            <w:tcW w:w="1197" w:type="dxa"/>
            <w:vAlign w:val="top"/>
          </w:tcPr>
          <w:p>
            <w:pPr>
              <w:spacing w:line="261" w:lineRule="auto"/>
              <w:rPr>
                <w:rFonts w:ascii="Arial"/>
                <w:sz w:val="21"/>
              </w:rPr>
            </w:pPr>
            <w:r/>
          </w:p>
          <w:p>
            <w:pPr>
              <w:ind w:left="118"/>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841-002-01</w:t>
            </w:r>
          </w:p>
        </w:tc>
        <w:tc>
          <w:tcPr>
            <w:tcW w:w="982" w:type="dxa"/>
            <w:vAlign w:val="top"/>
          </w:tcPr>
          <w:p>
            <w:pPr>
              <w:pStyle w:val="TableText"/>
              <w:ind w:left="184"/>
              <w:spacing w:before="295" w:line="221" w:lineRule="auto"/>
              <w:rPr/>
            </w:pPr>
            <w:r>
              <w:rPr>
                <w:spacing w:val="-3"/>
              </w:rPr>
              <w:t>牛饲养</w:t>
            </w:r>
          </w:p>
        </w:tc>
        <w:tc>
          <w:tcPr>
            <w:tcW w:w="871" w:type="dxa"/>
            <w:vAlign w:val="top"/>
          </w:tcPr>
          <w:p>
            <w:pPr>
              <w:pStyle w:val="TableText"/>
              <w:ind w:left="247"/>
              <w:spacing w:before="296" w:line="221" w:lineRule="auto"/>
              <w:rPr/>
            </w:pPr>
            <w:r>
              <w:rPr>
                <w:spacing w:val="-7"/>
              </w:rPr>
              <w:t>固态</w:t>
            </w:r>
          </w:p>
        </w:tc>
        <w:tc>
          <w:tcPr>
            <w:tcW w:w="1234" w:type="dxa"/>
            <w:vAlign w:val="top"/>
          </w:tcPr>
          <w:p>
            <w:pPr>
              <w:pStyle w:val="TableText"/>
              <w:ind w:left="200" w:right="193" w:firstLine="1"/>
              <w:spacing w:before="160"/>
              <w:rPr/>
            </w:pPr>
            <w:r>
              <w:rPr>
                <w:spacing w:val="-2"/>
              </w:rPr>
              <w:t>疫苗包装</w:t>
            </w:r>
            <w:r>
              <w:rPr>
                <w:spacing w:val="-2"/>
              </w:rPr>
              <w:t>及针头等</w:t>
            </w:r>
          </w:p>
        </w:tc>
        <w:tc>
          <w:tcPr>
            <w:tcW w:w="1234" w:type="dxa"/>
            <w:vAlign w:val="top"/>
          </w:tcPr>
          <w:p>
            <w:pPr>
              <w:pStyle w:val="TableText"/>
              <w:ind w:left="310"/>
              <w:spacing w:before="296" w:line="221" w:lineRule="auto"/>
              <w:rPr/>
            </w:pPr>
            <w:r>
              <w:rPr>
                <w:spacing w:val="-2"/>
              </w:rPr>
              <w:t>不定期</w:t>
            </w:r>
          </w:p>
        </w:tc>
        <w:tc>
          <w:tcPr>
            <w:tcW w:w="1234" w:type="dxa"/>
            <w:vAlign w:val="top"/>
            <w:tcBorders>
              <w:right w:val="nil"/>
            </w:tcBorders>
          </w:tcPr>
          <w:p>
            <w:pPr>
              <w:pStyle w:val="TableText"/>
              <w:ind w:right="11"/>
              <w:spacing w:before="296" w:line="235" w:lineRule="auto"/>
              <w:jc w:val="right"/>
              <w:rPr/>
            </w:pPr>
            <w:r>
              <w:rPr>
                <w:rFonts w:ascii="Times New Roman" w:hAnsi="Times New Roman" w:eastAsia="Times New Roman" w:cs="Times New Roman"/>
                <w:spacing w:val="-17"/>
              </w:rPr>
              <w:t>In</w:t>
            </w:r>
            <w:r>
              <w:rPr>
                <w:spacing w:val="-17"/>
              </w:rPr>
              <w:t>（感染性）</w:t>
            </w:r>
          </w:p>
        </w:tc>
      </w:tr>
      <w:tr>
        <w:trPr>
          <w:trHeight w:val="1110" w:hRule="atLeast"/>
        </w:trPr>
        <w:tc>
          <w:tcPr>
            <w:tcW w:w="441" w:type="dxa"/>
            <w:vAlign w:val="top"/>
            <w:tcBorders>
              <w:bottom w:val="single" w:color="000000" w:sz="10" w:space="0"/>
              <w:left w:val="nil"/>
            </w:tcBorders>
          </w:tcPr>
          <w:p>
            <w:pPr>
              <w:spacing w:line="420" w:lineRule="auto"/>
              <w:rPr>
                <w:rFonts w:ascii="Arial"/>
                <w:sz w:val="21"/>
              </w:rPr>
            </w:pPr>
            <w:r/>
          </w:p>
          <w:p>
            <w:pPr>
              <w:ind w:left="179"/>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61" w:type="dxa"/>
            <w:vAlign w:val="top"/>
            <w:tcBorders>
              <w:bottom w:val="single" w:color="000000" w:sz="10" w:space="0"/>
            </w:tcBorders>
          </w:tcPr>
          <w:p>
            <w:pPr>
              <w:pStyle w:val="TableText"/>
              <w:ind w:left="180"/>
              <w:spacing w:before="44" w:line="221" w:lineRule="auto"/>
              <w:rPr/>
            </w:pPr>
            <w:r>
              <w:rPr>
                <w:spacing w:val="-3"/>
              </w:rPr>
              <w:t>消毒</w:t>
            </w:r>
          </w:p>
          <w:p>
            <w:pPr>
              <w:pStyle w:val="TableText"/>
              <w:ind w:left="177"/>
              <w:spacing w:before="22" w:line="220" w:lineRule="auto"/>
              <w:rPr/>
            </w:pPr>
            <w:r>
              <w:rPr>
                <w:spacing w:val="-2"/>
              </w:rPr>
              <w:t>剂废</w:t>
            </w:r>
          </w:p>
          <w:p>
            <w:pPr>
              <w:pStyle w:val="TableText"/>
              <w:ind w:left="279" w:right="165" w:hanging="103"/>
              <w:spacing w:before="21" w:line="224" w:lineRule="auto"/>
              <w:rPr/>
            </w:pPr>
            <w:r>
              <w:rPr>
                <w:spacing w:val="-3"/>
              </w:rPr>
              <w:t>包装</w:t>
            </w:r>
            <w:r>
              <w:rPr/>
              <w:t>袋</w:t>
            </w:r>
          </w:p>
        </w:tc>
        <w:tc>
          <w:tcPr>
            <w:tcW w:w="776" w:type="dxa"/>
            <w:vAlign w:val="top"/>
            <w:tcBorders>
              <w:bottom w:val="single" w:color="000000" w:sz="10" w:space="0"/>
            </w:tcBorders>
          </w:tcPr>
          <w:p>
            <w:pPr>
              <w:pStyle w:val="TableText"/>
              <w:ind w:left="182" w:right="103" w:hanging="73"/>
              <w:spacing w:before="212" w:line="232" w:lineRule="auto"/>
              <w:jc w:val="both"/>
              <w:rPr/>
            </w:pPr>
            <w:r>
              <w:rPr>
                <w:rFonts w:ascii="Times New Roman" w:hAnsi="Times New Roman" w:eastAsia="Times New Roman" w:cs="Times New Roman"/>
                <w:spacing w:val="-1"/>
              </w:rPr>
              <w:t>HW49</w:t>
            </w:r>
            <w:r>
              <w:rPr>
                <w:spacing w:val="-3"/>
              </w:rPr>
              <w:t>其他</w:t>
            </w:r>
            <w:r>
              <w:rPr>
                <w:spacing w:val="-2"/>
              </w:rPr>
              <w:t>废物</w:t>
            </w:r>
          </w:p>
        </w:tc>
        <w:tc>
          <w:tcPr>
            <w:tcW w:w="1197" w:type="dxa"/>
            <w:vAlign w:val="top"/>
            <w:tcBorders>
              <w:bottom w:val="single" w:color="000000" w:sz="10" w:space="0"/>
            </w:tcBorders>
          </w:tcPr>
          <w:p>
            <w:pPr>
              <w:spacing w:line="420" w:lineRule="auto"/>
              <w:rPr>
                <w:rFonts w:ascii="Arial"/>
                <w:sz w:val="21"/>
              </w:rPr>
            </w:pPr>
            <w:r/>
          </w:p>
          <w:p>
            <w:pPr>
              <w:ind w:left="114"/>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900-041-49</w:t>
            </w:r>
          </w:p>
        </w:tc>
        <w:tc>
          <w:tcPr>
            <w:tcW w:w="982" w:type="dxa"/>
            <w:vAlign w:val="top"/>
            <w:tcBorders>
              <w:bottom w:val="single" w:color="000000" w:sz="10" w:space="0"/>
            </w:tcBorders>
          </w:tcPr>
          <w:p>
            <w:pPr>
              <w:spacing w:line="384" w:lineRule="auto"/>
              <w:rPr>
                <w:rFonts w:ascii="Arial"/>
                <w:sz w:val="21"/>
              </w:rPr>
            </w:pPr>
            <w:r/>
          </w:p>
          <w:p>
            <w:pPr>
              <w:pStyle w:val="TableText"/>
              <w:ind w:left="184"/>
              <w:spacing w:before="68" w:line="221" w:lineRule="auto"/>
              <w:rPr/>
            </w:pPr>
            <w:r>
              <w:rPr>
                <w:spacing w:val="-3"/>
              </w:rPr>
              <w:t>牛饲养</w:t>
            </w:r>
          </w:p>
        </w:tc>
        <w:tc>
          <w:tcPr>
            <w:tcW w:w="871" w:type="dxa"/>
            <w:vAlign w:val="top"/>
            <w:tcBorders>
              <w:bottom w:val="single" w:color="000000" w:sz="10" w:space="0"/>
            </w:tcBorders>
          </w:tcPr>
          <w:p>
            <w:pPr>
              <w:spacing w:line="385" w:lineRule="auto"/>
              <w:rPr>
                <w:rFonts w:ascii="Arial"/>
                <w:sz w:val="21"/>
              </w:rPr>
            </w:pPr>
            <w:r/>
          </w:p>
          <w:p>
            <w:pPr>
              <w:pStyle w:val="TableText"/>
              <w:ind w:left="247"/>
              <w:spacing w:before="68" w:line="221" w:lineRule="auto"/>
              <w:rPr/>
            </w:pPr>
            <w:r>
              <w:rPr>
                <w:spacing w:val="-7"/>
              </w:rPr>
              <w:t>固态</w:t>
            </w:r>
          </w:p>
        </w:tc>
        <w:tc>
          <w:tcPr>
            <w:tcW w:w="1234" w:type="dxa"/>
            <w:vAlign w:val="top"/>
            <w:tcBorders>
              <w:bottom w:val="single" w:color="000000" w:sz="10" w:space="0"/>
            </w:tcBorders>
          </w:tcPr>
          <w:p>
            <w:pPr>
              <w:spacing w:line="248" w:lineRule="auto"/>
              <w:rPr>
                <w:rFonts w:ascii="Arial"/>
                <w:sz w:val="21"/>
              </w:rPr>
            </w:pPr>
            <w:r/>
          </w:p>
          <w:p>
            <w:pPr>
              <w:pStyle w:val="TableText"/>
              <w:ind w:left="530" w:right="193" w:hanging="325"/>
              <w:spacing w:before="68" w:line="241" w:lineRule="auto"/>
              <w:rPr/>
            </w:pPr>
            <w:r>
              <w:rPr>
                <w:spacing w:val="-3"/>
              </w:rPr>
              <w:t>消毒剂残</w:t>
            </w:r>
            <w:r>
              <w:rPr/>
              <w:t>留</w:t>
            </w:r>
          </w:p>
        </w:tc>
        <w:tc>
          <w:tcPr>
            <w:tcW w:w="1234" w:type="dxa"/>
            <w:vAlign w:val="top"/>
            <w:tcBorders>
              <w:bottom w:val="single" w:color="000000" w:sz="10" w:space="0"/>
            </w:tcBorders>
          </w:tcPr>
          <w:p>
            <w:pPr>
              <w:spacing w:line="385" w:lineRule="auto"/>
              <w:rPr>
                <w:rFonts w:ascii="Arial"/>
                <w:sz w:val="21"/>
              </w:rPr>
            </w:pPr>
            <w:r/>
          </w:p>
          <w:p>
            <w:pPr>
              <w:pStyle w:val="TableText"/>
              <w:ind w:left="310"/>
              <w:spacing w:before="68" w:line="221" w:lineRule="auto"/>
              <w:rPr/>
            </w:pPr>
            <w:r>
              <w:rPr>
                <w:spacing w:val="-2"/>
              </w:rPr>
              <w:t>不定期</w:t>
            </w:r>
          </w:p>
        </w:tc>
        <w:tc>
          <w:tcPr>
            <w:tcW w:w="1234" w:type="dxa"/>
            <w:vAlign w:val="top"/>
            <w:tcBorders>
              <w:bottom w:val="single" w:color="000000" w:sz="10" w:space="0"/>
              <w:right w:val="nil"/>
            </w:tcBorders>
          </w:tcPr>
          <w:p>
            <w:pPr>
              <w:spacing w:line="384" w:lineRule="auto"/>
              <w:rPr>
                <w:rFonts w:ascii="Arial"/>
                <w:sz w:val="21"/>
              </w:rPr>
            </w:pPr>
            <w:r/>
          </w:p>
          <w:p>
            <w:pPr>
              <w:pStyle w:val="TableText"/>
              <w:ind w:left="136"/>
              <w:spacing w:before="68" w:line="221" w:lineRule="auto"/>
              <w:rPr/>
            </w:pPr>
            <w:r>
              <w:rPr>
                <w:rFonts w:ascii="Times New Roman" w:hAnsi="Times New Roman" w:eastAsia="Times New Roman" w:cs="Times New Roman"/>
                <w:spacing w:val="-1"/>
              </w:rPr>
              <w:t>T</w:t>
            </w:r>
            <w:r>
              <w:rPr>
                <w:spacing w:val="-1"/>
              </w:rPr>
              <w:t>（毒性）</w:t>
            </w:r>
          </w:p>
        </w:tc>
      </w:tr>
    </w:tbl>
    <w:p>
      <w:pPr>
        <w:ind w:left="612"/>
        <w:spacing w:before="34" w:line="233" w:lineRule="auto"/>
        <w:rPr>
          <w:rFonts w:ascii="SimSun" w:hAnsi="SimSun" w:eastAsia="SimSun" w:cs="SimSun"/>
          <w:sz w:val="24"/>
          <w:szCs w:val="24"/>
        </w:rPr>
      </w:pPr>
      <w:r>
        <w:rPr>
          <w:rFonts w:ascii="Times New Roman" w:hAnsi="Times New Roman" w:eastAsia="Times New Roman" w:cs="Times New Roman"/>
          <w:sz w:val="24"/>
          <w:szCs w:val="24"/>
          <w:spacing w:val="-1"/>
        </w:rPr>
        <w:t>3.3.4.2 </w:t>
      </w:r>
      <w:r>
        <w:rPr>
          <w:rFonts w:ascii="SimSun" w:hAnsi="SimSun" w:eastAsia="SimSun" w:cs="SimSun"/>
          <w:sz w:val="24"/>
          <w:szCs w:val="24"/>
          <w:spacing w:val="-1"/>
        </w:rPr>
        <w:t>危废暂存间要求</w:t>
      </w:r>
    </w:p>
    <w:p>
      <w:pPr>
        <w:ind w:left="131" w:right="34" w:firstLine="479"/>
        <w:spacing w:before="161" w:line="356" w:lineRule="auto"/>
        <w:rPr>
          <w:rFonts w:ascii="SimSun" w:hAnsi="SimSun" w:eastAsia="SimSun" w:cs="SimSun"/>
          <w:sz w:val="24"/>
          <w:szCs w:val="24"/>
        </w:rPr>
      </w:pPr>
      <w:r>
        <w:rPr>
          <w:rFonts w:ascii="SimSun" w:hAnsi="SimSun" w:eastAsia="SimSun" w:cs="SimSun"/>
          <w:sz w:val="24"/>
          <w:szCs w:val="24"/>
          <w:spacing w:val="-13"/>
        </w:rPr>
        <w:t>根据《危险废物贮存污染控制标准》（</w:t>
      </w:r>
      <w:r>
        <w:rPr>
          <w:rFonts w:ascii="Times New Roman" w:hAnsi="Times New Roman" w:eastAsia="Times New Roman" w:cs="Times New Roman"/>
          <w:sz w:val="24"/>
          <w:szCs w:val="24"/>
          <w:spacing w:val="-13"/>
        </w:rPr>
        <w:t>GB18597-2023</w:t>
      </w:r>
      <w:r>
        <w:rPr>
          <w:rFonts w:ascii="SimSun" w:hAnsi="SimSun" w:eastAsia="SimSun" w:cs="SimSun"/>
          <w:sz w:val="24"/>
          <w:szCs w:val="24"/>
          <w:spacing w:val="-13"/>
        </w:rPr>
        <w:t>）</w:t>
      </w:r>
      <w:r>
        <w:rPr>
          <w:rFonts w:ascii="Times New Roman" w:hAnsi="Times New Roman" w:eastAsia="Times New Roman" w:cs="Times New Roman"/>
          <w:sz w:val="24"/>
          <w:szCs w:val="24"/>
          <w:spacing w:val="-13"/>
        </w:rPr>
        <w:t>3.8</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13"/>
        </w:rPr>
        <w:t>贮存点定义为“</w:t>
      </w:r>
      <w:r>
        <w:rPr>
          <w:rFonts w:ascii="Times New Roman" w:hAnsi="Times New Roman" w:eastAsia="Times New Roman" w:cs="Times New Roman"/>
          <w:sz w:val="24"/>
          <w:szCs w:val="24"/>
          <w:spacing w:val="-13"/>
        </w:rPr>
        <w:t>HJ1259</w:t>
      </w:r>
      <w:r>
        <w:rPr>
          <w:rFonts w:ascii="SimSun" w:hAnsi="SimSun" w:eastAsia="SimSun" w:cs="SimSun"/>
          <w:sz w:val="24"/>
          <w:szCs w:val="24"/>
          <w:spacing w:val="2"/>
        </w:rPr>
        <w:t>规定的纳入危险废物登记管理单位的，用于同一生产经营场所专门贮存危险废物</w:t>
      </w:r>
      <w:r>
        <w:rPr>
          <w:rFonts w:ascii="SimSun" w:hAnsi="SimSun" w:eastAsia="SimSun" w:cs="SimSun"/>
          <w:sz w:val="24"/>
          <w:szCs w:val="24"/>
          <w:spacing w:val="2"/>
        </w:rPr>
        <w:t>的场所；或产生危险废物的单位设置于生产线附近，用于暂时贮存以便于中转其</w:t>
      </w:r>
      <w:r>
        <w:rPr>
          <w:rFonts w:ascii="SimSun" w:hAnsi="SimSun" w:eastAsia="SimSun" w:cs="SimSun"/>
          <w:sz w:val="24"/>
          <w:szCs w:val="24"/>
          <w:spacing w:val="-8"/>
        </w:rPr>
        <w:t>产生的危险废物的场所”，本项目设置</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8"/>
        </w:rPr>
        <w:t>间</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8"/>
        </w:rPr>
        <w:t>10m</w:t>
      </w:r>
      <w:r>
        <w:rPr>
          <w:rFonts w:ascii="Times New Roman" w:hAnsi="Times New Roman" w:eastAsia="Times New Roman" w:cs="Times New Roman"/>
          <w:sz w:val="16"/>
          <w:szCs w:val="16"/>
          <w:spacing w:val="-8"/>
          <w:position w:val="10"/>
        </w:rPr>
        <w:t>2</w:t>
      </w:r>
      <w:r>
        <w:rPr>
          <w:rFonts w:ascii="Times New Roman" w:hAnsi="Times New Roman" w:eastAsia="Times New Roman" w:cs="Times New Roman"/>
          <w:sz w:val="16"/>
          <w:szCs w:val="16"/>
          <w:spacing w:val="14"/>
          <w:w w:val="101"/>
          <w:position w:val="10"/>
        </w:rPr>
        <w:t xml:space="preserve"> </w:t>
      </w:r>
      <w:r>
        <w:rPr>
          <w:rFonts w:ascii="SimSun" w:hAnsi="SimSun" w:eastAsia="SimSun" w:cs="SimSun"/>
          <w:sz w:val="24"/>
          <w:szCs w:val="24"/>
          <w:spacing w:val="-8"/>
        </w:rPr>
        <w:t>危废暂存间，常年</w:t>
      </w:r>
      <w:r>
        <w:rPr>
          <w:rFonts w:ascii="SimSun" w:hAnsi="SimSun" w:eastAsia="SimSun" w:cs="SimSun"/>
          <w:sz w:val="24"/>
          <w:szCs w:val="24"/>
          <w:spacing w:val="-9"/>
        </w:rPr>
        <w:t>存储量小于</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9"/>
        </w:rPr>
        <w:t>3t</w:t>
      </w:r>
      <w:r>
        <w:rPr>
          <w:rFonts w:ascii="SimSun" w:hAnsi="SimSun" w:eastAsia="SimSun" w:cs="SimSun"/>
          <w:sz w:val="24"/>
          <w:szCs w:val="24"/>
          <w:spacing w:val="-9"/>
        </w:rPr>
        <w:t>，</w:t>
      </w:r>
      <w:r>
        <w:rPr>
          <w:rFonts w:ascii="SimSun" w:hAnsi="SimSun" w:eastAsia="SimSun" w:cs="SimSun"/>
          <w:sz w:val="24"/>
          <w:szCs w:val="24"/>
          <w:spacing w:val="-1"/>
        </w:rPr>
        <w:t>位于办公室内，用于暂存养殖过程中产生的危</w:t>
      </w:r>
      <w:r>
        <w:rPr>
          <w:rFonts w:ascii="SimSun" w:hAnsi="SimSun" w:eastAsia="SimSun" w:cs="SimSun"/>
          <w:sz w:val="24"/>
          <w:szCs w:val="24"/>
          <w:spacing w:val="-2"/>
        </w:rPr>
        <w:t>险废物，属于危废贮存点。</w:t>
      </w:r>
    </w:p>
    <w:p>
      <w:pPr>
        <w:ind w:left="130" w:right="35" w:firstLine="481"/>
        <w:spacing w:before="13" w:line="356" w:lineRule="auto"/>
        <w:jc w:val="both"/>
        <w:rPr>
          <w:rFonts w:ascii="SimSun" w:hAnsi="SimSun" w:eastAsia="SimSun" w:cs="SimSun"/>
          <w:sz w:val="24"/>
          <w:szCs w:val="24"/>
        </w:rPr>
      </w:pPr>
      <w:r>
        <w:rPr>
          <w:rFonts w:ascii="SimSun" w:hAnsi="SimSun" w:eastAsia="SimSun" w:cs="SimSun"/>
          <w:sz w:val="24"/>
          <w:szCs w:val="24"/>
          <w:spacing w:val="-3"/>
        </w:rPr>
        <w:t>本项目危险废物预计年产生总量为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0.6t</w:t>
      </w:r>
      <w:r>
        <w:rPr>
          <w:rFonts w:ascii="SimSun" w:hAnsi="SimSun" w:eastAsia="SimSun" w:cs="SimSun"/>
          <w:sz w:val="24"/>
          <w:szCs w:val="24"/>
          <w:spacing w:val="-3"/>
        </w:rPr>
        <w:t>，属于《危险废物管理计</w:t>
      </w:r>
      <w:r>
        <w:rPr>
          <w:rFonts w:ascii="SimSun" w:hAnsi="SimSun" w:eastAsia="SimSun" w:cs="SimSun"/>
          <w:sz w:val="24"/>
          <w:szCs w:val="24"/>
          <w:spacing w:val="-4"/>
        </w:rPr>
        <w:t>划和管理台账</w:t>
      </w:r>
      <w:r>
        <w:rPr>
          <w:rFonts w:ascii="SimSun" w:hAnsi="SimSun" w:eastAsia="SimSun" w:cs="SimSun"/>
          <w:sz w:val="24"/>
          <w:szCs w:val="24"/>
        </w:rPr>
        <w:t>制定技术导则》（</w:t>
      </w:r>
      <w:r>
        <w:rPr>
          <w:rFonts w:ascii="Times New Roman" w:hAnsi="Times New Roman" w:eastAsia="Times New Roman" w:cs="Times New Roman"/>
          <w:sz w:val="24"/>
          <w:szCs w:val="24"/>
        </w:rPr>
        <w:t>HJ1259-2022</w:t>
      </w:r>
      <w:r>
        <w:rPr>
          <w:rFonts w:ascii="SimSun" w:hAnsi="SimSun" w:eastAsia="SimSun" w:cs="SimSun"/>
          <w:sz w:val="24"/>
          <w:szCs w:val="24"/>
        </w:rPr>
        <w:t>）中危险</w:t>
      </w:r>
      <w:r>
        <w:rPr>
          <w:rFonts w:ascii="SimSun" w:hAnsi="SimSun" w:eastAsia="SimSun" w:cs="SimSun"/>
          <w:sz w:val="24"/>
          <w:szCs w:val="24"/>
          <w:spacing w:val="-1"/>
        </w:rPr>
        <w:t>废物登记管理单位，按照《危险废物管理</w:t>
      </w:r>
      <w:r>
        <w:rPr>
          <w:rFonts w:ascii="SimSun" w:hAnsi="SimSun" w:eastAsia="SimSun" w:cs="SimSun"/>
          <w:sz w:val="24"/>
          <w:szCs w:val="24"/>
        </w:rPr>
        <w:t>计划和管理台账制定技术导则》（</w:t>
      </w:r>
      <w:r>
        <w:rPr>
          <w:rFonts w:ascii="Times New Roman" w:hAnsi="Times New Roman" w:eastAsia="Times New Roman" w:cs="Times New Roman"/>
          <w:sz w:val="24"/>
          <w:szCs w:val="24"/>
        </w:rPr>
        <w:t>HJ1259-2022</w:t>
      </w:r>
      <w:r>
        <w:rPr>
          <w:rFonts w:ascii="SimSun" w:hAnsi="SimSun" w:eastAsia="SimSun" w:cs="SimSun"/>
          <w:sz w:val="24"/>
          <w:szCs w:val="24"/>
        </w:rPr>
        <w:t>）中登记管理</w:t>
      </w:r>
      <w:r>
        <w:rPr>
          <w:rFonts w:ascii="SimSun" w:hAnsi="SimSun" w:eastAsia="SimSun" w:cs="SimSun"/>
          <w:sz w:val="24"/>
          <w:szCs w:val="24"/>
          <w:spacing w:val="-1"/>
        </w:rPr>
        <w:t>单位及《危险废物贮</w:t>
      </w:r>
      <w:r>
        <w:rPr>
          <w:rFonts w:ascii="SimSun" w:hAnsi="SimSun" w:eastAsia="SimSun" w:cs="SimSun"/>
          <w:sz w:val="24"/>
          <w:szCs w:val="24"/>
          <w:spacing w:val="-3"/>
        </w:rPr>
        <w:t>存污染控制标准》（</w:t>
      </w:r>
      <w:r>
        <w:rPr>
          <w:rFonts w:ascii="Times New Roman" w:hAnsi="Times New Roman" w:eastAsia="Times New Roman" w:cs="Times New Roman"/>
          <w:sz w:val="24"/>
          <w:szCs w:val="24"/>
          <w:spacing w:val="-3"/>
        </w:rPr>
        <w:t>GB18597-2023</w:t>
      </w:r>
      <w:r>
        <w:rPr>
          <w:rFonts w:ascii="SimSun" w:hAnsi="SimSun" w:eastAsia="SimSun" w:cs="SimSun"/>
          <w:sz w:val="24"/>
          <w:szCs w:val="24"/>
          <w:spacing w:val="-3"/>
        </w:rPr>
        <w:t>）贮存点相关要求制定本危废暂存间管</w:t>
      </w:r>
      <w:r>
        <w:rPr>
          <w:rFonts w:ascii="SimSun" w:hAnsi="SimSun" w:eastAsia="SimSun" w:cs="SimSun"/>
          <w:sz w:val="24"/>
          <w:szCs w:val="24"/>
          <w:spacing w:val="-4"/>
        </w:rPr>
        <w:t>理要求，</w:t>
      </w:r>
      <w:r>
        <w:rPr>
          <w:rFonts w:ascii="SimSun" w:hAnsi="SimSun" w:eastAsia="SimSun" w:cs="SimSun"/>
          <w:sz w:val="24"/>
          <w:szCs w:val="24"/>
          <w:spacing w:val="-8"/>
        </w:rPr>
        <w:t>具体要求如下：</w:t>
      </w:r>
    </w:p>
    <w:p>
      <w:pPr>
        <w:ind w:left="618"/>
        <w:spacing w:before="2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）各类危险废物按照类别分类收集、单独包</w:t>
      </w:r>
      <w:r>
        <w:rPr>
          <w:rFonts w:ascii="SimSun" w:hAnsi="SimSun" w:eastAsia="SimSun" w:cs="SimSun"/>
          <w:sz w:val="24"/>
          <w:szCs w:val="24"/>
          <w:spacing w:val="-4"/>
        </w:rPr>
        <w:t>装；</w:t>
      </w:r>
    </w:p>
    <w:p>
      <w:pPr>
        <w:ind w:left="135" w:right="112" w:firstLine="482"/>
        <w:spacing w:before="162" w:line="29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）按照</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4"/>
        </w:rPr>
        <w:t>HJ1276</w:t>
      </w:r>
      <w:r>
        <w:rPr>
          <w:rFonts w:ascii="SimSun" w:hAnsi="SimSun" w:eastAsia="SimSun" w:cs="SimSun"/>
          <w:sz w:val="24"/>
          <w:szCs w:val="24"/>
          <w:spacing w:val="-4"/>
        </w:rPr>
        <w:t>《危险废物识别标志设置技术规范》要求设置危险废物贮存</w:t>
      </w:r>
      <w:r>
        <w:rPr>
          <w:rFonts w:ascii="SimSun" w:hAnsi="SimSun" w:eastAsia="SimSun" w:cs="SimSun"/>
          <w:sz w:val="24"/>
          <w:szCs w:val="24"/>
          <w:spacing w:val="-7"/>
        </w:rPr>
        <w:t>设施标识，如下图：</w:t>
      </w:r>
    </w:p>
    <w:p>
      <w:pPr>
        <w:ind w:firstLine="2289"/>
        <w:spacing w:before="229" w:line="1471" w:lineRule="exact"/>
        <w:rPr/>
      </w:pPr>
      <w:r>
        <w:rPr>
          <w:position w:val="-29"/>
        </w:rPr>
        <w:drawing>
          <wp:inline distT="0" distB="0" distL="0" distR="0">
            <wp:extent cx="2113914" cy="934085"/>
            <wp:effectExtent l="0" t="0" r="0" b="0"/>
            <wp:docPr id="8" name="IM 8"/>
            <wp:cNvGraphicFramePr/>
            <a:graphic>
              <a:graphicData uri="http://schemas.openxmlformats.org/drawingml/2006/picture">
                <pic:pic>
                  <pic:nvPicPr>
                    <pic:cNvPr id="8" name="IM 8"/>
                    <pic:cNvPicPr/>
                  </pic:nvPicPr>
                  <pic:blipFill>
                    <a:blip r:embed="rId83"/>
                    <a:stretch>
                      <a:fillRect/>
                    </a:stretch>
                  </pic:blipFill>
                  <pic:spPr>
                    <a:xfrm rot="0">
                      <a:off x="0" y="0"/>
                      <a:ext cx="2113914" cy="934085"/>
                    </a:xfrm>
                    <a:prstGeom prst="rect">
                      <a:avLst/>
                    </a:prstGeom>
                  </pic:spPr>
                </pic:pic>
              </a:graphicData>
            </a:graphic>
          </wp:inline>
        </w:drawing>
      </w:r>
    </w:p>
    <w:p>
      <w:pPr>
        <w:ind w:left="131" w:right="117" w:firstLine="486"/>
        <w:spacing w:before="257"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）贮存设施或贮存分区内地面、墙面裙脚、</w:t>
      </w:r>
      <w:r>
        <w:rPr>
          <w:rFonts w:ascii="SimSun" w:hAnsi="SimSun" w:eastAsia="SimSun" w:cs="SimSun"/>
          <w:sz w:val="24"/>
          <w:szCs w:val="24"/>
          <w:spacing w:val="-2"/>
        </w:rPr>
        <w:t>堵截泄漏的围堰、接触危险废</w:t>
      </w:r>
      <w:r>
        <w:rPr>
          <w:rFonts w:ascii="SimSun" w:hAnsi="SimSun" w:eastAsia="SimSun" w:cs="SimSun"/>
          <w:sz w:val="24"/>
          <w:szCs w:val="24"/>
          <w:spacing w:val="-3"/>
        </w:rPr>
        <w:t>物的隔板和墙体等应采用坚固的材料建造，表面无裂缝；</w:t>
      </w:r>
    </w:p>
    <w:p>
      <w:pPr>
        <w:ind w:left="136" w:right="112" w:firstLine="481"/>
        <w:spacing w:before="181" w:line="29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）贮存设施地面与裙脚应采取表面防渗措施，采用抗渗混</w:t>
      </w:r>
      <w:r>
        <w:rPr>
          <w:rFonts w:ascii="SimSun" w:hAnsi="SimSun" w:eastAsia="SimSun" w:cs="SimSun"/>
          <w:sz w:val="24"/>
          <w:szCs w:val="24"/>
          <w:spacing w:val="-2"/>
        </w:rPr>
        <w:t>凝土地面（渗透</w:t>
      </w:r>
      <w:r>
        <w:rPr>
          <w:rFonts w:ascii="SimSun" w:hAnsi="SimSun" w:eastAsia="SimSun" w:cs="SimSun"/>
          <w:sz w:val="24"/>
          <w:szCs w:val="24"/>
          <w:spacing w:val="-3"/>
        </w:rPr>
        <w:t>系数不大于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16"/>
          <w:szCs w:val="16"/>
          <w:spacing w:val="-3"/>
          <w:position w:val="10"/>
        </w:rPr>
        <w:t>-10</w:t>
      </w:r>
      <w:r>
        <w:rPr>
          <w:rFonts w:ascii="Times New Roman" w:hAnsi="Times New Roman" w:eastAsia="Times New Roman" w:cs="Times New Roman"/>
          <w:sz w:val="24"/>
          <w:szCs w:val="24"/>
          <w:spacing w:val="-3"/>
        </w:rPr>
        <w:t>cm/s</w:t>
      </w:r>
      <w:r>
        <w:rPr>
          <w:rFonts w:ascii="SimSun" w:hAnsi="SimSun" w:eastAsia="SimSun" w:cs="SimSun"/>
          <w:sz w:val="24"/>
          <w:szCs w:val="24"/>
          <w:spacing w:val="-14"/>
        </w:rPr>
        <w:t>）；</w:t>
      </w:r>
    </w:p>
    <w:p>
      <w:pPr>
        <w:ind w:left="618"/>
        <w:spacing w:before="162"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）危废间平时应上锁关闭状态，防止无关人员进入。</w:t>
      </w:r>
    </w:p>
    <w:p>
      <w:pPr>
        <w:spacing w:line="233" w:lineRule="auto"/>
        <w:sectPr>
          <w:headerReference w:type="default" r:id="rId82"/>
          <w:pgSz w:w="11907" w:h="16839"/>
          <w:pgMar w:top="1390" w:right="1595" w:bottom="400" w:left="1579" w:header="1054" w:footer="0" w:gutter="0"/>
        </w:sectPr>
        <w:rPr>
          <w:rFonts w:ascii="SimSun" w:hAnsi="SimSun" w:eastAsia="SimSun" w:cs="SimSun"/>
          <w:sz w:val="24"/>
          <w:szCs w:val="24"/>
        </w:rPr>
      </w:pPr>
    </w:p>
    <w:p>
      <w:pPr>
        <w:ind w:left="524"/>
        <w:spacing w:before="83" w:line="233" w:lineRule="auto"/>
        <w:rPr>
          <w:rFonts w:ascii="SimSun" w:hAnsi="SimSun" w:eastAsia="SimSun" w:cs="SimSun"/>
          <w:sz w:val="24"/>
          <w:szCs w:val="24"/>
        </w:rPr>
      </w:pPr>
      <w:r>
        <w:rPr>
          <w:rFonts w:ascii="SimSun" w:hAnsi="SimSun" w:eastAsia="SimSun" w:cs="SimSun"/>
          <w:sz w:val="24"/>
          <w:szCs w:val="24"/>
          <w:spacing w:val="-1"/>
        </w:rPr>
        <w:t>（6）危险废物暂存间裙脚及围堰高度不少于</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30</w:t>
      </w:r>
      <w:r>
        <w:rPr>
          <w:rFonts w:ascii="Times New Roman" w:hAnsi="Times New Roman" w:eastAsia="Times New Roman" w:cs="Times New Roman"/>
          <w:sz w:val="24"/>
          <w:szCs w:val="24"/>
          <w:spacing w:val="-2"/>
        </w:rPr>
        <w:t>cm</w:t>
      </w:r>
      <w:r>
        <w:rPr>
          <w:rFonts w:ascii="SimSun" w:hAnsi="SimSun" w:eastAsia="SimSun" w:cs="SimSun"/>
          <w:sz w:val="24"/>
          <w:szCs w:val="24"/>
          <w:spacing w:val="-2"/>
        </w:rPr>
        <w:t>。</w:t>
      </w:r>
    </w:p>
    <w:p>
      <w:pPr>
        <w:ind w:left="38" w:right="102" w:firstLine="486"/>
        <w:spacing w:before="167" w:line="28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7</w:t>
      </w:r>
      <w:r>
        <w:rPr>
          <w:rFonts w:ascii="SimSun" w:hAnsi="SimSun" w:eastAsia="SimSun" w:cs="SimSun"/>
          <w:sz w:val="24"/>
          <w:szCs w:val="24"/>
          <w:spacing w:val="-1"/>
        </w:rPr>
        <w:t>）做好每次外运处置废弃物的运输登记，认真填写危险废物转移联单，并</w:t>
      </w:r>
      <w:r>
        <w:rPr>
          <w:rFonts w:ascii="SimSun" w:hAnsi="SimSun" w:eastAsia="SimSun" w:cs="SimSun"/>
          <w:sz w:val="24"/>
          <w:szCs w:val="24"/>
          <w:spacing w:val="-6"/>
        </w:rPr>
        <w:t>加盖公司公章。</w:t>
      </w:r>
    </w:p>
    <w:p>
      <w:pPr>
        <w:ind w:left="39" w:right="17" w:firstLine="485"/>
        <w:spacing w:before="185" w:line="331"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8</w:t>
      </w:r>
      <w:r>
        <w:rPr>
          <w:rFonts w:ascii="SimSun" w:hAnsi="SimSun" w:eastAsia="SimSun" w:cs="SimSun"/>
          <w:sz w:val="24"/>
          <w:szCs w:val="24"/>
          <w:spacing w:val="-1"/>
        </w:rPr>
        <w:t>）一旦发生废弃物泄漏事故，公司和废弃物处置单位都应积极协助有关部</w:t>
      </w:r>
      <w:r>
        <w:rPr>
          <w:rFonts w:ascii="SimSun" w:hAnsi="SimSun" w:eastAsia="SimSun" w:cs="SimSun"/>
          <w:sz w:val="24"/>
          <w:szCs w:val="24"/>
          <w:spacing w:val="-7"/>
        </w:rPr>
        <w:t>门采取必要的安全措施，减少事故损失，防止事故蔓延、扩大；</w:t>
      </w:r>
      <w:r>
        <w:rPr>
          <w:rFonts w:ascii="SimSun" w:hAnsi="SimSun" w:eastAsia="SimSun" w:cs="SimSun"/>
          <w:sz w:val="24"/>
          <w:szCs w:val="24"/>
          <w:spacing w:val="70"/>
        </w:rPr>
        <w:t xml:space="preserve"> </w:t>
      </w:r>
      <w:r>
        <w:rPr>
          <w:rFonts w:ascii="SimSun" w:hAnsi="SimSun" w:eastAsia="SimSun" w:cs="SimSun"/>
          <w:sz w:val="24"/>
          <w:szCs w:val="24"/>
          <w:spacing w:val="-7"/>
        </w:rPr>
        <w:t>针对事故对人体、</w:t>
      </w:r>
      <w:r>
        <w:rPr>
          <w:rFonts w:ascii="SimSun" w:hAnsi="SimSun" w:eastAsia="SimSun" w:cs="SimSun"/>
          <w:sz w:val="24"/>
          <w:szCs w:val="24"/>
          <w:spacing w:val="-7"/>
        </w:rPr>
        <w:t>动植物、土壤、水源、空气造成的现实危害和可能产生的危害，</w:t>
      </w:r>
      <w:r>
        <w:rPr>
          <w:rFonts w:ascii="SimSun" w:hAnsi="SimSun" w:eastAsia="SimSun" w:cs="SimSun"/>
          <w:sz w:val="24"/>
          <w:szCs w:val="24"/>
          <w:spacing w:val="71"/>
        </w:rPr>
        <w:t xml:space="preserve"> </w:t>
      </w:r>
      <w:r>
        <w:rPr>
          <w:rFonts w:ascii="SimSun" w:hAnsi="SimSun" w:eastAsia="SimSun" w:cs="SimSun"/>
          <w:sz w:val="24"/>
          <w:szCs w:val="24"/>
          <w:spacing w:val="-7"/>
        </w:rPr>
        <w:t>应迅速采取封闭、</w:t>
      </w:r>
      <w:r>
        <w:rPr>
          <w:rFonts w:ascii="SimSun" w:hAnsi="SimSun" w:eastAsia="SimSun" w:cs="SimSun"/>
          <w:sz w:val="24"/>
          <w:szCs w:val="24"/>
          <w:spacing w:val="2"/>
        </w:rPr>
        <w:t>隔离、洗消等措施，并对事故造成的危害进行监测、处置，直至符合国家环境保</w:t>
      </w:r>
      <w:r>
        <w:rPr>
          <w:rFonts w:ascii="SimSun" w:hAnsi="SimSun" w:eastAsia="SimSun" w:cs="SimSun"/>
          <w:sz w:val="24"/>
          <w:szCs w:val="24"/>
          <w:spacing w:val="-9"/>
        </w:rPr>
        <w:t>护标准。</w:t>
      </w:r>
    </w:p>
    <w:p>
      <w:pPr>
        <w:ind w:left="37" w:right="36" w:firstLine="487"/>
        <w:spacing w:before="180" w:line="331"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9</w:t>
      </w:r>
      <w:r>
        <w:rPr>
          <w:rFonts w:ascii="SimSun" w:hAnsi="SimSun" w:eastAsia="SimSun" w:cs="SimSun"/>
          <w:sz w:val="24"/>
          <w:szCs w:val="24"/>
          <w:spacing w:val="-1"/>
        </w:rPr>
        <w:t>）本项目各危险废物在危废暂存间内分类收集分区存储，场内运输路线为</w:t>
      </w:r>
      <w:r>
        <w:rPr>
          <w:rFonts w:ascii="SimSun" w:hAnsi="SimSun" w:eastAsia="SimSun" w:cs="SimSun"/>
          <w:sz w:val="24"/>
          <w:szCs w:val="24"/>
          <w:spacing w:val="-2"/>
        </w:rPr>
        <w:t>牛舍至危险废物暂存间，不涉及环境敏感目标，场外运输由有资质处</w:t>
      </w:r>
      <w:r>
        <w:rPr>
          <w:rFonts w:ascii="SimSun" w:hAnsi="SimSun" w:eastAsia="SimSun" w:cs="SimSun"/>
          <w:sz w:val="24"/>
          <w:szCs w:val="24"/>
          <w:spacing w:val="-3"/>
        </w:rPr>
        <w:t>理单位负责，</w:t>
      </w:r>
      <w:r>
        <w:rPr>
          <w:rFonts w:ascii="SimSun" w:hAnsi="SimSun" w:eastAsia="SimSun" w:cs="SimSun"/>
          <w:sz w:val="24"/>
          <w:szCs w:val="24"/>
          <w:spacing w:val="2"/>
        </w:rPr>
        <w:t>建议企业做好危险废物台账管理工作，及时委托有资质部门处理本厂区内危险废</w:t>
      </w:r>
      <w:r>
        <w:rPr>
          <w:rFonts w:ascii="SimSun" w:hAnsi="SimSun" w:eastAsia="SimSun" w:cs="SimSun"/>
          <w:sz w:val="24"/>
          <w:szCs w:val="24"/>
          <w:spacing w:val="2"/>
        </w:rPr>
        <w:t>物，避免在危废暂存间内长期堆存，各危险废物采用桶或袋装形式暂存，避免直</w:t>
      </w:r>
      <w:r>
        <w:rPr>
          <w:rFonts w:ascii="SimSun" w:hAnsi="SimSun" w:eastAsia="SimSun" w:cs="SimSun"/>
          <w:sz w:val="24"/>
          <w:szCs w:val="24"/>
          <w:spacing w:val="-2"/>
        </w:rPr>
        <w:t>接接触危废暂存间地面，可有效防治危废泄漏环境风险。</w:t>
      </w:r>
    </w:p>
    <w:p>
      <w:pPr>
        <w:ind w:left="518"/>
        <w:spacing w:before="183" w:line="233" w:lineRule="auto"/>
        <w:rPr>
          <w:rFonts w:ascii="SimSun" w:hAnsi="SimSun" w:eastAsia="SimSun" w:cs="SimSun"/>
          <w:sz w:val="24"/>
          <w:szCs w:val="24"/>
        </w:rPr>
      </w:pPr>
      <w:r>
        <w:rPr>
          <w:rFonts w:ascii="Times New Roman" w:hAnsi="Times New Roman" w:eastAsia="Times New Roman" w:cs="Times New Roman"/>
          <w:sz w:val="24"/>
          <w:szCs w:val="24"/>
          <w:spacing w:val="-1"/>
        </w:rPr>
        <w:t>3.3.4.3 </w:t>
      </w:r>
      <w:r>
        <w:rPr>
          <w:rFonts w:ascii="SimSun" w:hAnsi="SimSun" w:eastAsia="SimSun" w:cs="SimSun"/>
          <w:sz w:val="24"/>
          <w:szCs w:val="24"/>
          <w:spacing w:val="-1"/>
        </w:rPr>
        <w:t>储粪库要求</w:t>
      </w:r>
    </w:p>
    <w:p>
      <w:pPr>
        <w:ind w:left="40" w:firstLine="478"/>
        <w:spacing w:before="161" w:line="357" w:lineRule="auto"/>
        <w:rPr>
          <w:rFonts w:ascii="SimSun" w:hAnsi="SimSun" w:eastAsia="SimSun" w:cs="SimSun"/>
          <w:sz w:val="24"/>
          <w:szCs w:val="24"/>
        </w:rPr>
      </w:pPr>
      <w:r>
        <w:rPr>
          <w:rFonts w:ascii="SimSun" w:hAnsi="SimSun" w:eastAsia="SimSun" w:cs="SimSun"/>
          <w:sz w:val="24"/>
          <w:szCs w:val="24"/>
          <w:spacing w:val="-1"/>
        </w:rPr>
        <w:t>根据农业农村部办公厅 生态环境部办公厅关于印发《畜禽养殖场（户）粪污</w:t>
      </w:r>
      <w:r>
        <w:rPr>
          <w:rFonts w:ascii="SimSun" w:hAnsi="SimSun" w:eastAsia="SimSun" w:cs="SimSun"/>
          <w:sz w:val="24"/>
          <w:szCs w:val="24"/>
          <w:spacing w:val="-9"/>
        </w:rPr>
        <w:t>处理设施建设技术指南》的通知可知，</w:t>
      </w:r>
      <w:r>
        <w:rPr>
          <w:rFonts w:ascii="SimSun" w:hAnsi="SimSun" w:eastAsia="SimSun" w:cs="SimSun"/>
          <w:sz w:val="24"/>
          <w:szCs w:val="24"/>
          <w:spacing w:val="-66"/>
        </w:rPr>
        <w:t xml:space="preserve"> </w:t>
      </w:r>
      <w:r>
        <w:rPr>
          <w:rFonts w:ascii="SimSun" w:hAnsi="SimSun" w:eastAsia="SimSun" w:cs="SimSun"/>
          <w:sz w:val="24"/>
          <w:szCs w:val="24"/>
          <w:spacing w:val="-9"/>
        </w:rPr>
        <w:t>畜禽养殖场（户）建设畜禽粪污暂</w:t>
      </w:r>
      <w:r>
        <w:rPr>
          <w:rFonts w:ascii="SimSun" w:hAnsi="SimSun" w:eastAsia="SimSun" w:cs="SimSun"/>
          <w:sz w:val="24"/>
          <w:szCs w:val="24"/>
          <w:spacing w:val="-10"/>
        </w:rPr>
        <w:t>存池（场）</w:t>
      </w:r>
      <w:r>
        <w:rPr>
          <w:rFonts w:ascii="SimSun" w:hAnsi="SimSun" w:eastAsia="SimSun" w:cs="SimSun"/>
          <w:sz w:val="24"/>
          <w:szCs w:val="24"/>
          <w:spacing w:val="1"/>
        </w:rPr>
        <w:t>的，固体粪污暂存场容积不小于单位畜禽固体粪污日产生量（立方米</w:t>
      </w:r>
      <w:r>
        <w:rPr>
          <w:rFonts w:ascii="Times New Roman" w:hAnsi="Times New Roman" w:eastAsia="Times New Roman" w:cs="Times New Roman"/>
          <w:sz w:val="24"/>
          <w:szCs w:val="24"/>
          <w:spacing w:val="1"/>
        </w:rPr>
        <w:t>/</w:t>
      </w:r>
      <w:r>
        <w:rPr>
          <w:rFonts w:ascii="SimSun" w:hAnsi="SimSun" w:eastAsia="SimSun" w:cs="SimSun"/>
          <w:sz w:val="24"/>
          <w:szCs w:val="24"/>
          <w:spacing w:val="1"/>
        </w:rPr>
        <w:t>天</w:t>
      </w:r>
      <w:r>
        <w:rPr>
          <w:rFonts w:ascii="Times New Roman" w:hAnsi="Times New Roman" w:eastAsia="Times New Roman" w:cs="Times New Roman"/>
          <w:sz w:val="24"/>
          <w:szCs w:val="24"/>
          <w:spacing w:val="1"/>
        </w:rPr>
        <w:t>·</w:t>
      </w:r>
      <w:r>
        <w:rPr>
          <w:rFonts w:ascii="SimSun" w:hAnsi="SimSun" w:eastAsia="SimSun" w:cs="SimSun"/>
          <w:sz w:val="24"/>
          <w:szCs w:val="24"/>
          <w:spacing w:val="1"/>
        </w:rPr>
        <w:t>头、只、</w:t>
      </w:r>
      <w:r>
        <w:rPr>
          <w:rFonts w:ascii="SimSun" w:hAnsi="SimSun" w:eastAsia="SimSun" w:cs="SimSun"/>
          <w:sz w:val="24"/>
          <w:szCs w:val="24"/>
          <w:spacing w:val="1"/>
        </w:rPr>
        <w:t>羽）</w:t>
      </w:r>
      <w:r>
        <w:rPr>
          <w:rFonts w:ascii="Times New Roman" w:hAnsi="Times New Roman" w:eastAsia="Times New Roman" w:cs="Times New Roman"/>
          <w:sz w:val="24"/>
          <w:szCs w:val="24"/>
          <w:spacing w:val="1"/>
        </w:rPr>
        <w:t>×</w:t>
      </w:r>
      <w:r>
        <w:rPr>
          <w:rFonts w:ascii="SimSun" w:hAnsi="SimSun" w:eastAsia="SimSun" w:cs="SimSun"/>
          <w:sz w:val="24"/>
          <w:szCs w:val="24"/>
          <w:spacing w:val="1"/>
        </w:rPr>
        <w:t>暂存周期（天）</w:t>
      </w:r>
      <w:r>
        <w:rPr>
          <w:rFonts w:ascii="Times New Roman" w:hAnsi="Times New Roman" w:eastAsia="Times New Roman" w:cs="Times New Roman"/>
          <w:sz w:val="24"/>
          <w:szCs w:val="24"/>
          <w:spacing w:val="1"/>
        </w:rPr>
        <w:t>×</w:t>
      </w:r>
      <w:r>
        <w:rPr>
          <w:rFonts w:ascii="SimSun" w:hAnsi="SimSun" w:eastAsia="SimSun" w:cs="SimSun"/>
          <w:sz w:val="24"/>
          <w:szCs w:val="24"/>
          <w:spacing w:val="1"/>
        </w:rPr>
        <w:t>设计存栏量（头、只、羽</w:t>
      </w:r>
      <w:r>
        <w:rPr>
          <w:rFonts w:ascii="SimSun" w:hAnsi="SimSun" w:eastAsia="SimSun" w:cs="SimSun"/>
          <w:sz w:val="24"/>
          <w:szCs w:val="24"/>
          <w:spacing w:val="18"/>
        </w:rPr>
        <w:t>），</w:t>
      </w:r>
      <w:r>
        <w:rPr>
          <w:rFonts w:ascii="SimSun" w:hAnsi="SimSun" w:eastAsia="SimSun" w:cs="SimSun"/>
          <w:sz w:val="24"/>
          <w:szCs w:val="24"/>
          <w:spacing w:val="1"/>
        </w:rPr>
        <w:t>暂存周期按</w:t>
      </w:r>
      <w:r>
        <w:rPr>
          <w:rFonts w:ascii="SimSun" w:hAnsi="SimSun" w:eastAsia="SimSun" w:cs="SimSun"/>
          <w:sz w:val="24"/>
          <w:szCs w:val="24"/>
        </w:rPr>
        <w:t>转运处理最大时</w:t>
      </w:r>
      <w:r>
        <w:rPr>
          <w:rFonts w:ascii="SimSun" w:hAnsi="SimSun" w:eastAsia="SimSun" w:cs="SimSun"/>
          <w:sz w:val="24"/>
          <w:szCs w:val="24"/>
          <w:spacing w:val="-2"/>
        </w:rPr>
        <w:t>间间隔确定。鼓励采取加盖等措施，减少恶臭气体排放和雨水进入。</w:t>
      </w:r>
    </w:p>
    <w:p>
      <w:pPr>
        <w:ind w:left="39" w:right="37" w:firstLine="479"/>
        <w:spacing w:before="5" w:line="360" w:lineRule="auto"/>
        <w:jc w:val="both"/>
        <w:rPr>
          <w:rFonts w:ascii="SimSun" w:hAnsi="SimSun" w:eastAsia="SimSun" w:cs="SimSun"/>
          <w:sz w:val="24"/>
          <w:szCs w:val="24"/>
        </w:rPr>
      </w:pPr>
      <w:r>
        <w:rPr>
          <w:rFonts w:ascii="SimSun" w:hAnsi="SimSun" w:eastAsia="SimSun" w:cs="SimSun"/>
          <w:sz w:val="24"/>
          <w:szCs w:val="24"/>
          <w:spacing w:val="1"/>
        </w:rPr>
        <w:t>本项目储粪库面积为总建筑面积为</w:t>
      </w:r>
      <w:r>
        <w:rPr>
          <w:rFonts w:ascii="Times New Roman" w:hAnsi="Times New Roman" w:eastAsia="Times New Roman" w:cs="Times New Roman"/>
          <w:sz w:val="24"/>
          <w:szCs w:val="24"/>
          <w:spacing w:val="1"/>
        </w:rPr>
        <w:t>300m</w:t>
      </w:r>
      <w:r>
        <w:rPr>
          <w:rFonts w:ascii="Times New Roman" w:hAnsi="Times New Roman" w:eastAsia="Times New Roman" w:cs="Times New Roman"/>
          <w:sz w:val="16"/>
          <w:szCs w:val="16"/>
          <w:spacing w:val="1"/>
          <w:position w:val="10"/>
        </w:rPr>
        <w:t>2</w:t>
      </w:r>
      <w:r>
        <w:rPr>
          <w:rFonts w:ascii="Times New Roman" w:hAnsi="Times New Roman" w:eastAsia="Times New Roman" w:cs="Times New Roman"/>
          <w:sz w:val="16"/>
          <w:szCs w:val="16"/>
          <w:spacing w:val="-8"/>
          <w:position w:val="10"/>
        </w:rPr>
        <w:t xml:space="preserve"> </w:t>
      </w:r>
      <w:r>
        <w:rPr>
          <w:rFonts w:ascii="SimSun" w:hAnsi="SimSun" w:eastAsia="SimSun" w:cs="SimSun"/>
          <w:sz w:val="24"/>
          <w:szCs w:val="24"/>
          <w:spacing w:val="1"/>
        </w:rPr>
        <w:t>，高</w:t>
      </w:r>
      <w:r>
        <w:rPr>
          <w:rFonts w:ascii="Times New Roman" w:hAnsi="Times New Roman" w:eastAsia="Times New Roman" w:cs="Times New Roman"/>
          <w:sz w:val="24"/>
          <w:szCs w:val="24"/>
          <w:spacing w:val="1"/>
        </w:rPr>
        <w:t>7m</w:t>
      </w:r>
      <w:r>
        <w:rPr>
          <w:rFonts w:ascii="SimSun" w:hAnsi="SimSun" w:eastAsia="SimSun" w:cs="SimSun"/>
          <w:sz w:val="24"/>
          <w:szCs w:val="24"/>
          <w:spacing w:val="1"/>
        </w:rPr>
        <w:t>，总容积为</w:t>
      </w:r>
      <w:r>
        <w:rPr>
          <w:rFonts w:ascii="Times New Roman" w:hAnsi="Times New Roman" w:eastAsia="Times New Roman" w:cs="Times New Roman"/>
          <w:sz w:val="24"/>
          <w:szCs w:val="24"/>
          <w:spacing w:val="1"/>
        </w:rPr>
        <w:t>210</w:t>
      </w:r>
      <w:r>
        <w:rPr>
          <w:rFonts w:ascii="Times New Roman" w:hAnsi="Times New Roman" w:eastAsia="Times New Roman" w:cs="Times New Roman"/>
          <w:sz w:val="24"/>
          <w:szCs w:val="24"/>
        </w:rPr>
        <w:t>0m</w:t>
      </w:r>
      <w:r>
        <w:rPr>
          <w:rFonts w:ascii="Times New Roman" w:hAnsi="Times New Roman" w:eastAsia="Times New Roman" w:cs="Times New Roman"/>
          <w:sz w:val="16"/>
          <w:szCs w:val="16"/>
          <w:position w:val="10"/>
        </w:rPr>
        <w:t>3</w:t>
      </w:r>
      <w:r>
        <w:rPr>
          <w:rFonts w:ascii="Times New Roman" w:hAnsi="Times New Roman" w:eastAsia="Times New Roman" w:cs="Times New Roman"/>
          <w:sz w:val="16"/>
          <w:szCs w:val="16"/>
          <w:spacing w:val="-7"/>
          <w:position w:val="10"/>
        </w:rPr>
        <w:t xml:space="preserve"> </w:t>
      </w:r>
      <w:r>
        <w:rPr>
          <w:rFonts w:ascii="SimSun" w:hAnsi="SimSun" w:eastAsia="SimSun" w:cs="SimSun"/>
          <w:sz w:val="24"/>
          <w:szCs w:val="24"/>
        </w:rPr>
        <w:t>，本项目</w:t>
      </w:r>
      <w:r>
        <w:rPr>
          <w:rFonts w:ascii="SimSun" w:hAnsi="SimSun" w:eastAsia="SimSun" w:cs="SimSun"/>
          <w:sz w:val="24"/>
          <w:szCs w:val="24"/>
          <w:spacing w:val="-6"/>
        </w:rPr>
        <w:t>年出栏肉牛</w:t>
      </w:r>
      <w:r>
        <w:rPr>
          <w:rFonts w:ascii="Times New Roman" w:hAnsi="Times New Roman" w:eastAsia="Times New Roman" w:cs="Times New Roman"/>
          <w:sz w:val="24"/>
          <w:szCs w:val="24"/>
          <w:spacing w:val="-6"/>
        </w:rPr>
        <w:t>1200</w:t>
      </w:r>
      <w:r>
        <w:rPr>
          <w:rFonts w:ascii="SimSun" w:hAnsi="SimSun" w:eastAsia="SimSun" w:cs="SimSun"/>
          <w:sz w:val="24"/>
          <w:szCs w:val="24"/>
          <w:spacing w:val="-6"/>
        </w:rPr>
        <w:t>头，粪便与尿液全部进入垫料内，定期更换废垫料（每</w:t>
      </w:r>
      <w:r>
        <w:rPr>
          <w:rFonts w:ascii="Times New Roman" w:hAnsi="Times New Roman" w:eastAsia="Times New Roman" w:cs="Times New Roman"/>
          <w:sz w:val="24"/>
          <w:szCs w:val="24"/>
          <w:spacing w:val="-6"/>
        </w:rPr>
        <w:t>4</w:t>
      </w:r>
      <w:r>
        <w:rPr>
          <w:rFonts w:ascii="SimSun" w:hAnsi="SimSun" w:eastAsia="SimSun" w:cs="SimSun"/>
          <w:sz w:val="24"/>
          <w:szCs w:val="24"/>
          <w:spacing w:val="-6"/>
        </w:rPr>
        <w:t>个月</w:t>
      </w:r>
      <w:r>
        <w:rPr>
          <w:rFonts w:ascii="Times New Roman" w:hAnsi="Times New Roman" w:eastAsia="Times New Roman" w:cs="Times New Roman"/>
          <w:sz w:val="24"/>
          <w:szCs w:val="24"/>
          <w:spacing w:val="-6"/>
        </w:rPr>
        <w:t>1</w:t>
      </w:r>
      <w:r>
        <w:rPr>
          <w:rFonts w:ascii="SimSun" w:hAnsi="SimSun" w:eastAsia="SimSun" w:cs="SimSun"/>
          <w:sz w:val="24"/>
          <w:szCs w:val="24"/>
          <w:spacing w:val="-6"/>
        </w:rPr>
        <w:t>次</w:t>
      </w:r>
      <w:r>
        <w:rPr>
          <w:rFonts w:ascii="SimSun" w:hAnsi="SimSun" w:eastAsia="SimSun" w:cs="SimSun"/>
          <w:sz w:val="24"/>
          <w:szCs w:val="24"/>
          <w:spacing w:val="-47"/>
        </w:rPr>
        <w:t>），</w:t>
      </w:r>
      <w:r>
        <w:rPr>
          <w:rFonts w:ascii="SimSun" w:hAnsi="SimSun" w:eastAsia="SimSun" w:cs="SimSun"/>
          <w:sz w:val="24"/>
          <w:szCs w:val="24"/>
          <w:spacing w:val="2"/>
        </w:rPr>
        <w:t>分区清理分区铺设，根据企业经验，牛舍采取交错更换垫料，每次更换牛舍个数</w:t>
      </w:r>
      <w:r>
        <w:rPr>
          <w:rFonts w:ascii="SimSun" w:hAnsi="SimSun" w:eastAsia="SimSun" w:cs="SimSun"/>
          <w:sz w:val="24"/>
          <w:szCs w:val="24"/>
          <w:spacing w:val="-5"/>
        </w:rPr>
        <w:t>约</w:t>
      </w:r>
      <w:r>
        <w:rPr>
          <w:rFonts w:ascii="Times New Roman" w:hAnsi="Times New Roman" w:eastAsia="Times New Roman" w:cs="Times New Roman"/>
          <w:sz w:val="24"/>
          <w:szCs w:val="24"/>
          <w:spacing w:val="-5"/>
        </w:rPr>
        <w:t>2</w:t>
      </w:r>
      <w:r>
        <w:rPr>
          <w:rFonts w:ascii="SimSun" w:hAnsi="SimSun" w:eastAsia="SimSun" w:cs="SimSun"/>
          <w:sz w:val="24"/>
          <w:szCs w:val="24"/>
          <w:spacing w:val="-5"/>
        </w:rPr>
        <w:t>座，通过铲车将定期清理的废垫料（牛</w:t>
      </w:r>
      <w:r>
        <w:rPr>
          <w:rFonts w:ascii="SimSun" w:hAnsi="SimSun" w:eastAsia="SimSun" w:cs="SimSun"/>
          <w:sz w:val="24"/>
          <w:szCs w:val="24"/>
          <w:spacing w:val="-6"/>
        </w:rPr>
        <w:t>粪、牛尿、垫料）</w:t>
      </w:r>
      <w:r>
        <w:rPr>
          <w:rFonts w:ascii="SimSun" w:hAnsi="SimSun" w:eastAsia="SimSun" w:cs="SimSun"/>
          <w:sz w:val="24"/>
          <w:szCs w:val="24"/>
          <w:spacing w:val="52"/>
        </w:rPr>
        <w:t xml:space="preserve"> </w:t>
      </w:r>
      <w:r>
        <w:rPr>
          <w:rFonts w:ascii="SimSun" w:hAnsi="SimSun" w:eastAsia="SimSun" w:cs="SimSun"/>
          <w:sz w:val="24"/>
          <w:szCs w:val="24"/>
          <w:spacing w:val="-6"/>
        </w:rPr>
        <w:t>由牛舍运至储粪库临</w:t>
      </w:r>
      <w:r>
        <w:rPr>
          <w:rFonts w:ascii="SimSun" w:hAnsi="SimSun" w:eastAsia="SimSun" w:cs="SimSun"/>
          <w:sz w:val="24"/>
          <w:szCs w:val="24"/>
          <w:spacing w:val="-1"/>
        </w:rPr>
        <w:t>时贮存，储粪库内最大临时暂存废物量约</w:t>
      </w:r>
      <w:r>
        <w:rPr>
          <w:rFonts w:ascii="Times New Roman" w:hAnsi="Times New Roman" w:eastAsia="Times New Roman" w:cs="Times New Roman"/>
          <w:sz w:val="24"/>
          <w:szCs w:val="24"/>
          <w:spacing w:val="-1"/>
        </w:rPr>
        <w:t>300</w:t>
      </w:r>
      <w:r>
        <w:rPr>
          <w:rFonts w:ascii="Times New Roman" w:hAnsi="Times New Roman" w:eastAsia="Times New Roman" w:cs="Times New Roman"/>
          <w:sz w:val="24"/>
          <w:szCs w:val="24"/>
          <w:spacing w:val="-2"/>
        </w:rPr>
        <w:t>0t</w:t>
      </w:r>
      <w:r>
        <w:rPr>
          <w:rFonts w:ascii="SimSun" w:hAnsi="SimSun" w:eastAsia="SimSun" w:cs="SimSun"/>
          <w:sz w:val="24"/>
          <w:szCs w:val="24"/>
          <w:spacing w:val="-2"/>
        </w:rPr>
        <w:t>，容积满足要求。</w:t>
      </w:r>
    </w:p>
    <w:p>
      <w:pPr>
        <w:ind w:left="37" w:right="102" w:firstLine="480"/>
        <w:spacing w:line="359" w:lineRule="auto"/>
        <w:jc w:val="both"/>
        <w:rPr>
          <w:rFonts w:ascii="SimSun" w:hAnsi="SimSun" w:eastAsia="SimSun" w:cs="SimSun"/>
          <w:sz w:val="24"/>
          <w:szCs w:val="24"/>
        </w:rPr>
      </w:pPr>
      <w:r>
        <w:rPr>
          <w:rFonts w:ascii="SimSun" w:hAnsi="SimSun" w:eastAsia="SimSun" w:cs="SimSun"/>
          <w:sz w:val="24"/>
          <w:szCs w:val="24"/>
          <w:spacing w:val="2"/>
        </w:rPr>
        <w:t>根据《畜禽粪便贮存设施设计要求》</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/T27622-2</w:t>
      </w:r>
      <w:r>
        <w:rPr>
          <w:rFonts w:ascii="Times New Roman" w:hAnsi="Times New Roman" w:eastAsia="Times New Roman" w:cs="Times New Roman"/>
          <w:sz w:val="24"/>
          <w:szCs w:val="24"/>
          <w:spacing w:val="1"/>
        </w:rPr>
        <w:t>011</w:t>
      </w:r>
      <w:r>
        <w:rPr>
          <w:rFonts w:ascii="SimSun" w:hAnsi="SimSun" w:eastAsia="SimSun" w:cs="SimSun"/>
          <w:sz w:val="24"/>
          <w:szCs w:val="24"/>
          <w:spacing w:val="1"/>
        </w:rPr>
        <w:t>可知，本项目储粪库地</w:t>
      </w:r>
      <w:r>
        <w:rPr>
          <w:rFonts w:ascii="SimSun" w:hAnsi="SimSun" w:eastAsia="SimSun" w:cs="SimSun"/>
          <w:sz w:val="24"/>
          <w:szCs w:val="24"/>
          <w:spacing w:val="2"/>
        </w:rPr>
        <w:t>面与墙基应为混凝土结构，地面应为混凝土结构，具有防水、防渗性能。地面素</w:t>
      </w:r>
      <w:r>
        <w:rPr>
          <w:rFonts w:ascii="SimSun" w:hAnsi="SimSun" w:eastAsia="SimSun" w:cs="SimSun"/>
          <w:sz w:val="24"/>
          <w:szCs w:val="24"/>
          <w:spacing w:val="1"/>
        </w:rPr>
        <w:t>土夯实，压实系数</w:t>
      </w:r>
      <w:r>
        <w:rPr>
          <w:rFonts w:ascii="Times New Roman" w:hAnsi="Times New Roman" w:eastAsia="Times New Roman" w:cs="Times New Roman"/>
          <w:sz w:val="24"/>
          <w:szCs w:val="24"/>
          <w:spacing w:val="1"/>
        </w:rPr>
        <w:t>0.9</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，一般有</w:t>
      </w:r>
      <w:r>
        <w:rPr>
          <w:rFonts w:ascii="Times New Roman" w:hAnsi="Times New Roman" w:eastAsia="Times New Roman" w:cs="Times New Roman"/>
          <w:sz w:val="24"/>
          <w:szCs w:val="24"/>
          <w:spacing w:val="1"/>
        </w:rPr>
        <w:t>60</w:t>
      </w:r>
      <w:r>
        <w:rPr>
          <w:rFonts w:ascii="SimSun" w:hAnsi="SimSun" w:eastAsia="SimSun" w:cs="SimSun"/>
          <w:sz w:val="24"/>
          <w:szCs w:val="24"/>
          <w:spacing w:val="1"/>
        </w:rPr>
        <w:t>厚</w:t>
      </w:r>
      <w:r>
        <w:rPr>
          <w:rFonts w:ascii="Times New Roman" w:hAnsi="Times New Roman" w:eastAsia="Times New Roman" w:cs="Times New Roman"/>
          <w:sz w:val="24"/>
          <w:szCs w:val="24"/>
          <w:spacing w:val="1"/>
        </w:rPr>
        <w:t>C1</w:t>
      </w:r>
      <w:r>
        <w:rPr>
          <w:rFonts w:ascii="Times New Roman" w:hAnsi="Times New Roman" w:eastAsia="Times New Roman" w:cs="Times New Roman"/>
          <w:sz w:val="24"/>
          <w:szCs w:val="24"/>
        </w:rPr>
        <w:t>5</w:t>
      </w:r>
      <w:r>
        <w:rPr>
          <w:rFonts w:ascii="SimSun" w:hAnsi="SimSun" w:eastAsia="SimSun" w:cs="SimSun"/>
          <w:sz w:val="24"/>
          <w:szCs w:val="24"/>
        </w:rPr>
        <w:t>混凝土垫层，</w:t>
      </w:r>
      <w:r>
        <w:rPr>
          <w:rFonts w:ascii="Times New Roman" w:hAnsi="Times New Roman" w:eastAsia="Times New Roman" w:cs="Times New Roman"/>
          <w:sz w:val="24"/>
          <w:szCs w:val="24"/>
        </w:rPr>
        <w:t>20</w:t>
      </w:r>
      <w:r>
        <w:rPr>
          <w:rFonts w:ascii="SimSun" w:hAnsi="SimSun" w:eastAsia="SimSun" w:cs="SimSun"/>
          <w:sz w:val="24"/>
          <w:szCs w:val="24"/>
        </w:rPr>
        <w:t>厚</w:t>
      </w:r>
      <w:r>
        <w:rPr>
          <w:rFonts w:ascii="Times New Roman" w:hAnsi="Times New Roman" w:eastAsia="Times New Roman" w:cs="Times New Roman"/>
          <w:sz w:val="24"/>
          <w:szCs w:val="24"/>
        </w:rPr>
        <w:t>1:3</w:t>
      </w:r>
      <w:r>
        <w:rPr>
          <w:rFonts w:ascii="SimSun" w:hAnsi="SimSun" w:eastAsia="SimSun" w:cs="SimSun"/>
          <w:sz w:val="24"/>
          <w:szCs w:val="24"/>
        </w:rPr>
        <w:t>水泥砂浆找平，表面</w:t>
      </w:r>
      <w:r>
        <w:rPr>
          <w:rFonts w:ascii="SimSun" w:hAnsi="SimSun" w:eastAsia="SimSun" w:cs="SimSun"/>
          <w:sz w:val="24"/>
          <w:szCs w:val="24"/>
          <w:spacing w:val="-1"/>
        </w:rPr>
        <w:t>刷</w:t>
      </w:r>
      <w:r>
        <w:rPr>
          <w:rFonts w:ascii="Times New Roman" w:hAnsi="Times New Roman" w:eastAsia="Times New Roman" w:cs="Times New Roman"/>
          <w:sz w:val="24"/>
          <w:szCs w:val="24"/>
          <w:spacing w:val="-1"/>
        </w:rPr>
        <w:t>1.5</w:t>
      </w:r>
      <w:r>
        <w:rPr>
          <w:rFonts w:ascii="SimSun" w:hAnsi="SimSun" w:eastAsia="SimSun" w:cs="SimSun"/>
          <w:sz w:val="24"/>
          <w:szCs w:val="24"/>
          <w:spacing w:val="-1"/>
        </w:rPr>
        <w:t>毫米厚聚合物水泥基防水涂料清光。坡度为</w:t>
      </w:r>
      <w:r>
        <w:rPr>
          <w:rFonts w:ascii="Times New Roman" w:hAnsi="Times New Roman" w:eastAsia="Times New Roman" w:cs="Times New Roman"/>
          <w:sz w:val="24"/>
          <w:szCs w:val="24"/>
          <w:spacing w:val="-1"/>
        </w:rPr>
        <w:t>1%</w:t>
      </w:r>
      <w:r>
        <w:rPr>
          <w:rFonts w:ascii="SimSun" w:hAnsi="SimSun" w:eastAsia="SimSun" w:cs="SimSun"/>
          <w:sz w:val="24"/>
          <w:szCs w:val="24"/>
          <w:spacing w:val="-1"/>
        </w:rPr>
        <w:t>，</w:t>
      </w:r>
      <w:r>
        <w:rPr>
          <w:rFonts w:ascii="SimSun" w:hAnsi="SimSun" w:eastAsia="SimSun" w:cs="SimSun"/>
          <w:sz w:val="24"/>
          <w:szCs w:val="24"/>
          <w:spacing w:val="-2"/>
        </w:rPr>
        <w:t>坡底设排污沟。</w:t>
      </w:r>
    </w:p>
    <w:p>
      <w:pPr>
        <w:ind w:left="43" w:right="104" w:firstLine="474"/>
        <w:spacing w:before="2" w:line="349" w:lineRule="auto"/>
        <w:rPr>
          <w:rFonts w:ascii="SimSun" w:hAnsi="SimSun" w:eastAsia="SimSun" w:cs="SimSun"/>
          <w:sz w:val="24"/>
          <w:szCs w:val="24"/>
        </w:rPr>
      </w:pPr>
      <w:r>
        <w:rPr>
          <w:rFonts w:ascii="SimSun" w:hAnsi="SimSun" w:eastAsia="SimSun" w:cs="SimSun"/>
          <w:sz w:val="24"/>
          <w:szCs w:val="24"/>
          <w:spacing w:val="-9"/>
        </w:rPr>
        <w:t>墙体防渗：墙体采用混凝土结构，墙体厚度不少于</w:t>
      </w:r>
      <w:r>
        <w:rPr>
          <w:rFonts w:ascii="Times New Roman" w:hAnsi="Times New Roman" w:eastAsia="Times New Roman" w:cs="Times New Roman"/>
          <w:sz w:val="24"/>
          <w:szCs w:val="24"/>
          <w:spacing w:val="-9"/>
        </w:rPr>
        <w:t>240mm</w:t>
      </w:r>
      <w:r>
        <w:rPr>
          <w:rFonts w:ascii="SimSun" w:hAnsi="SimSun" w:eastAsia="SimSun" w:cs="SimSun"/>
          <w:sz w:val="24"/>
          <w:szCs w:val="24"/>
          <w:spacing w:val="-9"/>
        </w:rPr>
        <w:t>，水泥抹面，刷</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0"/>
        </w:rPr>
        <w:t>5mm</w:t>
      </w:r>
      <w:r>
        <w:rPr>
          <w:rFonts w:ascii="SimSun" w:hAnsi="SimSun" w:eastAsia="SimSun" w:cs="SimSun"/>
          <w:sz w:val="24"/>
          <w:szCs w:val="24"/>
          <w:spacing w:val="-2"/>
        </w:rPr>
        <w:t>厚聚合物水泥基防水涂料清光以实现墙体防渗，达到标准要求。</w:t>
      </w:r>
    </w:p>
    <w:p>
      <w:pPr>
        <w:spacing w:line="349" w:lineRule="auto"/>
        <w:sectPr>
          <w:headerReference w:type="default" r:id="rId84"/>
          <w:pgSz w:w="11907" w:h="16839"/>
          <w:pgMar w:top="1390" w:right="1596" w:bottom="400" w:left="1673" w:header="1054" w:footer="0" w:gutter="0"/>
        </w:sectPr>
        <w:rPr>
          <w:rFonts w:ascii="SimSun" w:hAnsi="SimSun" w:eastAsia="SimSun" w:cs="SimSun"/>
          <w:sz w:val="24"/>
          <w:szCs w:val="24"/>
        </w:rPr>
      </w:pPr>
    </w:p>
    <w:p>
      <w:pPr>
        <w:ind w:left="39" w:right="73" w:firstLine="479"/>
        <w:spacing w:before="84" w:line="359" w:lineRule="auto"/>
        <w:jc w:val="both"/>
        <w:rPr>
          <w:rFonts w:ascii="SimSun" w:hAnsi="SimSun" w:eastAsia="SimSun" w:cs="SimSun"/>
          <w:sz w:val="24"/>
          <w:szCs w:val="24"/>
        </w:rPr>
      </w:pPr>
      <w:r>
        <w:rPr>
          <w:rFonts w:ascii="SimSun" w:hAnsi="SimSun" w:eastAsia="SimSun" w:cs="SimSun"/>
          <w:sz w:val="24"/>
          <w:szCs w:val="24"/>
          <w:spacing w:val="2"/>
        </w:rPr>
        <w:t>本项目为罩棚结构，可以起到防晒及防雨作用，地面及墙体为混凝土结构，</w:t>
      </w:r>
      <w:r>
        <w:rPr>
          <w:rFonts w:ascii="SimSun" w:hAnsi="SimSun" w:eastAsia="SimSun" w:cs="SimSun"/>
          <w:sz w:val="24"/>
          <w:szCs w:val="24"/>
          <w:spacing w:val="2"/>
        </w:rPr>
        <w:t>可有效的起到防渗效果，本项目储粪库仅在更换垫料时对未能及时清运至有机肥</w:t>
      </w:r>
      <w:r>
        <w:rPr>
          <w:rFonts w:ascii="SimSun" w:hAnsi="SimSun" w:eastAsia="SimSun" w:cs="SimSun"/>
          <w:sz w:val="24"/>
          <w:szCs w:val="24"/>
          <w:spacing w:val="2"/>
        </w:rPr>
        <w:t>厂的垫料进行临时贮存，不长期贮存，垫料内添加发酵床菌种，可有效的减少臭</w:t>
      </w:r>
      <w:r>
        <w:rPr>
          <w:rFonts w:ascii="SimSun" w:hAnsi="SimSun" w:eastAsia="SimSun" w:cs="SimSun"/>
          <w:sz w:val="24"/>
          <w:szCs w:val="24"/>
          <w:spacing w:val="-3"/>
        </w:rPr>
        <w:t>气的产生，对周围环境影响不大。</w:t>
      </w:r>
    </w:p>
    <w:p>
      <w:pPr>
        <w:ind w:left="458"/>
        <w:spacing w:line="232" w:lineRule="auto"/>
        <w:rPr>
          <w:rFonts w:ascii="SimSun" w:hAnsi="SimSun" w:eastAsia="SimSun" w:cs="SimSun"/>
          <w:sz w:val="24"/>
          <w:szCs w:val="24"/>
        </w:rPr>
      </w:pPr>
      <w:r>
        <w:rPr>
          <w:rFonts w:ascii="Times New Roman" w:hAnsi="Times New Roman" w:eastAsia="Times New Roman" w:cs="Times New Roman"/>
          <w:sz w:val="24"/>
          <w:szCs w:val="24"/>
          <w:spacing w:val="-2"/>
        </w:rPr>
        <w:t>3.3.4.4</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2"/>
        </w:rPr>
        <w:t>固体废物处置企业依托可行性</w:t>
      </w:r>
    </w:p>
    <w:p>
      <w:pPr>
        <w:ind w:left="37" w:firstLine="481"/>
        <w:spacing w:before="159" w:line="358" w:lineRule="auto"/>
        <w:rPr>
          <w:rFonts w:ascii="SimSun" w:hAnsi="SimSun" w:eastAsia="SimSun" w:cs="SimSun"/>
          <w:sz w:val="24"/>
          <w:szCs w:val="24"/>
        </w:rPr>
      </w:pPr>
      <w:r>
        <w:rPr>
          <w:rFonts w:ascii="SimSun" w:hAnsi="SimSun" w:eastAsia="SimSun" w:cs="SimSun"/>
          <w:sz w:val="24"/>
          <w:szCs w:val="24"/>
          <w:spacing w:val="3"/>
        </w:rPr>
        <w:t>本项目废垫料暂存于储粪库内，定期外售给相关单位生</w:t>
      </w:r>
      <w:r>
        <w:rPr>
          <w:rFonts w:ascii="SimSun" w:hAnsi="SimSun" w:eastAsia="SimSun" w:cs="SimSun"/>
          <w:sz w:val="24"/>
          <w:szCs w:val="24"/>
          <w:spacing w:val="2"/>
        </w:rPr>
        <w:t>产有机肥。据调查，</w:t>
      </w:r>
      <w:r>
        <w:rPr>
          <w:rFonts w:ascii="SimSun" w:hAnsi="SimSun" w:eastAsia="SimSun" w:cs="SimSun"/>
          <w:sz w:val="24"/>
          <w:szCs w:val="24"/>
          <w:spacing w:val="-1"/>
        </w:rPr>
        <w:t>锡林郭勒盟青禾吉兴有机肥业有限责任公司位于锡林浩特市南煤矿北</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1"/>
        </w:rPr>
        <w:t>2km</w:t>
      </w:r>
      <w:r>
        <w:rPr>
          <w:rFonts w:ascii="Times New Roman" w:hAnsi="Times New Roman" w:eastAsia="Times New Roman" w:cs="Times New Roman"/>
          <w:sz w:val="24"/>
          <w:szCs w:val="24"/>
          <w:spacing w:val="34"/>
          <w:w w:val="101"/>
        </w:rPr>
        <w:t xml:space="preserve"> </w:t>
      </w:r>
      <w:r>
        <w:rPr>
          <w:rFonts w:ascii="SimSun" w:hAnsi="SimSun" w:eastAsia="SimSun" w:cs="SimSun"/>
          <w:sz w:val="24"/>
          <w:szCs w:val="24"/>
          <w:spacing w:val="-2"/>
        </w:rPr>
        <w:t>处，距</w:t>
      </w:r>
      <w:r>
        <w:rPr>
          <w:rFonts w:ascii="SimSun" w:hAnsi="SimSun" w:eastAsia="SimSun" w:cs="SimSun"/>
          <w:sz w:val="24"/>
          <w:szCs w:val="24"/>
          <w:spacing w:val="1"/>
        </w:rPr>
        <w:t>离本项目约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rPr>
        <w:t>km</w:t>
      </w:r>
      <w:r>
        <w:rPr>
          <w:rFonts w:ascii="SimSun" w:hAnsi="SimSun" w:eastAsia="SimSun" w:cs="SimSun"/>
          <w:sz w:val="24"/>
          <w:szCs w:val="24"/>
          <w:spacing w:val="1"/>
        </w:rPr>
        <w:t>，在本项目的东南侧，距离较近，沿线无敏感点</w:t>
      </w:r>
      <w:r>
        <w:rPr>
          <w:rFonts w:ascii="SimSun" w:hAnsi="SimSun" w:eastAsia="SimSun" w:cs="SimSun"/>
          <w:sz w:val="24"/>
          <w:szCs w:val="24"/>
        </w:rPr>
        <w:t>。锡林郭勒盟青</w:t>
      </w:r>
      <w:r>
        <w:rPr>
          <w:rFonts w:ascii="SimSun" w:hAnsi="SimSun" w:eastAsia="SimSun" w:cs="SimSun"/>
          <w:sz w:val="24"/>
          <w:szCs w:val="24"/>
          <w:spacing w:val="-3"/>
        </w:rPr>
        <w:t>禾吉兴有机肥业有限责任公司设计规模为年生产有机肥</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万吨，需要原材料</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w:t>
      </w:r>
      <w:r>
        <w:rPr>
          <w:rFonts w:ascii="SimSun" w:hAnsi="SimSun" w:eastAsia="SimSun" w:cs="SimSun"/>
          <w:sz w:val="24"/>
          <w:szCs w:val="24"/>
          <w:spacing w:val="-1"/>
        </w:rPr>
        <w:t>吨，已于</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
        </w:rPr>
        <w:t>2022 </w:t>
      </w:r>
      <w:r>
        <w:rPr>
          <w:rFonts w:ascii="SimSun" w:hAnsi="SimSun" w:eastAsia="SimSun" w:cs="SimSun"/>
          <w:sz w:val="24"/>
          <w:szCs w:val="24"/>
          <w:spacing w:val="-1"/>
        </w:rPr>
        <w:t>年取得锡林郭勒盟生态环境局锡林浩特市分局对该项目的批复，批</w:t>
      </w:r>
      <w:r>
        <w:rPr>
          <w:rFonts w:ascii="SimSun" w:hAnsi="SimSun" w:eastAsia="SimSun" w:cs="SimSun"/>
          <w:sz w:val="24"/>
          <w:szCs w:val="24"/>
          <w:spacing w:val="-9"/>
        </w:rPr>
        <w:t>复文号为锡市环表</w:t>
      </w:r>
      <w:r>
        <w:rPr>
          <w:rFonts w:ascii="Times New Roman" w:hAnsi="Times New Roman" w:eastAsia="Times New Roman" w:cs="Times New Roman"/>
          <w:sz w:val="24"/>
          <w:szCs w:val="24"/>
          <w:spacing w:val="-9"/>
        </w:rPr>
        <w:t>[2022]</w:t>
      </w:r>
      <w:r>
        <w:rPr>
          <w:rFonts w:ascii="SimSun" w:hAnsi="SimSun" w:eastAsia="SimSun" w:cs="SimSun"/>
          <w:sz w:val="24"/>
          <w:szCs w:val="24"/>
          <w:spacing w:val="-9"/>
        </w:rPr>
        <w:t>第</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9"/>
        </w:rPr>
        <w:t>20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9"/>
        </w:rPr>
        <w:t>号，目前正常运行，实际生产有机肥规模为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9"/>
        </w:rPr>
        <w:t>1.5</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9"/>
        </w:rPr>
        <w:t>万吨，</w:t>
      </w:r>
      <w:r>
        <w:rPr>
          <w:rFonts w:ascii="SimSun" w:hAnsi="SimSun" w:eastAsia="SimSun" w:cs="SimSun"/>
          <w:sz w:val="24"/>
          <w:szCs w:val="24"/>
          <w:spacing w:val="-2"/>
        </w:rPr>
        <w:t>剩余规模为年产</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2"/>
        </w:rPr>
        <w:t>3.5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2"/>
        </w:rPr>
        <w:t>万吨有机肥，可承接有机肥原料</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7.0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万吨，本项目废垫料产生</w:t>
      </w:r>
      <w:r>
        <w:rPr>
          <w:rFonts w:ascii="SimSun" w:hAnsi="SimSun" w:eastAsia="SimSun" w:cs="SimSun"/>
          <w:sz w:val="24"/>
          <w:szCs w:val="24"/>
          <w:spacing w:val="-1"/>
        </w:rPr>
        <w:t>量为</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21940.195t/a</w:t>
      </w:r>
      <w:r>
        <w:rPr>
          <w:rFonts w:ascii="SimSun" w:hAnsi="SimSun" w:eastAsia="SimSun" w:cs="SimSun"/>
          <w:sz w:val="24"/>
          <w:szCs w:val="24"/>
          <w:spacing w:val="-1"/>
        </w:rPr>
        <w:t>，远小于该企业的剩余能力，可接纳本项目废垫料。故本项目废</w:t>
      </w:r>
      <w:r>
        <w:rPr>
          <w:rFonts w:ascii="SimSun" w:hAnsi="SimSun" w:eastAsia="SimSun" w:cs="SimSun"/>
          <w:sz w:val="24"/>
          <w:szCs w:val="24"/>
          <w:spacing w:val="10"/>
        </w:rPr>
        <w:t>垫料考虑后期外售给锡林郭勒盟青禾吉兴有机</w:t>
      </w:r>
      <w:r>
        <w:rPr>
          <w:rFonts w:ascii="SimSun" w:hAnsi="SimSun" w:eastAsia="SimSun" w:cs="SimSun"/>
          <w:sz w:val="24"/>
          <w:szCs w:val="24"/>
          <w:spacing w:val="9"/>
        </w:rPr>
        <w:t>肥业有限责任公司生产有机肥可</w:t>
      </w:r>
      <w:r>
        <w:rPr>
          <w:rFonts w:ascii="SimSun" w:hAnsi="SimSun" w:eastAsia="SimSun" w:cs="SimSun"/>
          <w:sz w:val="24"/>
          <w:szCs w:val="24"/>
          <w:spacing w:val="-11"/>
        </w:rPr>
        <w:t>行。</w:t>
      </w:r>
    </w:p>
    <w:p>
      <w:pPr>
        <w:ind w:left="38" w:right="76" w:firstLine="479"/>
        <w:spacing w:before="21" w:line="359" w:lineRule="auto"/>
        <w:jc w:val="both"/>
        <w:rPr>
          <w:rFonts w:ascii="SimSun" w:hAnsi="SimSun" w:eastAsia="SimSun" w:cs="SimSun"/>
          <w:sz w:val="24"/>
          <w:szCs w:val="24"/>
        </w:rPr>
      </w:pPr>
      <w:r>
        <w:rPr>
          <w:rFonts w:ascii="SimSun" w:hAnsi="SimSun" w:eastAsia="SimSun" w:cs="SimSun"/>
          <w:sz w:val="24"/>
          <w:szCs w:val="24"/>
          <w:spacing w:val="3"/>
        </w:rPr>
        <w:t>根据《畜禽规模养殖污染防治条例》染疫畜</w:t>
      </w:r>
      <w:r>
        <w:rPr>
          <w:rFonts w:ascii="SimSun" w:hAnsi="SimSun" w:eastAsia="SimSun" w:cs="SimSun"/>
          <w:sz w:val="24"/>
          <w:szCs w:val="24"/>
          <w:spacing w:val="2"/>
        </w:rPr>
        <w:t>禽以及染疫畜禽排泄物、染疫畜</w:t>
      </w:r>
      <w:r>
        <w:rPr>
          <w:rFonts w:ascii="SimSun" w:hAnsi="SimSun" w:eastAsia="SimSun" w:cs="SimSun"/>
          <w:sz w:val="24"/>
          <w:szCs w:val="24"/>
          <w:spacing w:val="2"/>
        </w:rPr>
        <w:t>禽产品、病死或者死因不明的畜禽尸体等病害畜禽养殖废弃物，应当按照有关法</w:t>
      </w:r>
      <w:r>
        <w:rPr>
          <w:rFonts w:ascii="SimSun" w:hAnsi="SimSun" w:eastAsia="SimSun" w:cs="SimSun"/>
          <w:sz w:val="24"/>
          <w:szCs w:val="24"/>
          <w:spacing w:val="2"/>
        </w:rPr>
        <w:t>律、法规和国务院农牧主管部门的规定，进行深埋、化制、焚烧等无害化处理，</w:t>
      </w:r>
      <w:r>
        <w:rPr>
          <w:rFonts w:ascii="SimSun" w:hAnsi="SimSun" w:eastAsia="SimSun" w:cs="SimSun"/>
          <w:sz w:val="24"/>
          <w:szCs w:val="24"/>
          <w:spacing w:val="-6"/>
        </w:rPr>
        <w:t>不得随意处置。</w:t>
      </w:r>
    </w:p>
    <w:p>
      <w:pPr>
        <w:ind w:left="39" w:firstLine="479"/>
        <w:spacing w:before="5" w:line="358" w:lineRule="auto"/>
        <w:jc w:val="both"/>
        <w:rPr>
          <w:rFonts w:ascii="SimSun" w:hAnsi="SimSun" w:eastAsia="SimSun" w:cs="SimSun"/>
          <w:sz w:val="24"/>
          <w:szCs w:val="24"/>
        </w:rPr>
      </w:pPr>
      <w:r>
        <w:rPr>
          <w:rFonts w:ascii="SimSun" w:hAnsi="SimSun" w:eastAsia="SimSun" w:cs="SimSun"/>
          <w:sz w:val="24"/>
          <w:szCs w:val="24"/>
          <w:spacing w:val="-4"/>
        </w:rPr>
        <w:t>本项目病死牛统一暂存于冷藏集装箱内，防治尸体腐败，存储天</w:t>
      </w:r>
      <w:r>
        <w:rPr>
          <w:rFonts w:ascii="SimSun" w:hAnsi="SimSun" w:eastAsia="SimSun" w:cs="SimSun"/>
          <w:sz w:val="24"/>
          <w:szCs w:val="24"/>
          <w:spacing w:val="-5"/>
        </w:rPr>
        <w:t>数不超过</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5"/>
        </w:rPr>
        <w:t>2d</w:t>
      </w:r>
      <w:r>
        <w:rPr>
          <w:rFonts w:ascii="SimSun" w:hAnsi="SimSun" w:eastAsia="SimSun" w:cs="SimSun"/>
          <w:sz w:val="24"/>
          <w:szCs w:val="24"/>
          <w:spacing w:val="-5"/>
        </w:rPr>
        <w:t>，</w:t>
      </w:r>
      <w:r>
        <w:rPr>
          <w:rFonts w:ascii="SimSun" w:hAnsi="SimSun" w:eastAsia="SimSun" w:cs="SimSun"/>
          <w:sz w:val="24"/>
          <w:szCs w:val="24"/>
          <w:spacing w:val="2"/>
        </w:rPr>
        <w:t>定期对集装箱进行消毒，冷藏集装箱为独立封闭结构，而且可起到防渗、防漏及</w:t>
      </w:r>
      <w:r>
        <w:rPr>
          <w:rFonts w:ascii="SimSun" w:hAnsi="SimSun" w:eastAsia="SimSun" w:cs="SimSun"/>
          <w:sz w:val="24"/>
          <w:szCs w:val="24"/>
          <w:spacing w:val="2"/>
        </w:rPr>
        <w:t>防盗的作用，病死牛使用专用包装材料沐风，暂存于冷藏集装箱内，集装箱制冷</w:t>
      </w:r>
      <w:r>
        <w:rPr>
          <w:rFonts w:ascii="SimSun" w:hAnsi="SimSun" w:eastAsia="SimSun" w:cs="SimSun"/>
          <w:sz w:val="24"/>
          <w:szCs w:val="24"/>
        </w:rPr>
        <w:t>剂为环保型，对环境几乎无害，病死牛委托相</w:t>
      </w:r>
      <w:r>
        <w:rPr>
          <w:rFonts w:ascii="SimSun" w:hAnsi="SimSun" w:eastAsia="SimSun" w:cs="SimSun"/>
          <w:sz w:val="24"/>
          <w:szCs w:val="24"/>
          <w:spacing w:val="-1"/>
        </w:rPr>
        <w:t>关单位进行无害化处置。</w:t>
      </w:r>
    </w:p>
    <w:p>
      <w:pPr>
        <w:ind w:left="518"/>
        <w:spacing w:before="2" w:line="233" w:lineRule="auto"/>
        <w:rPr>
          <w:rFonts w:ascii="SimSun" w:hAnsi="SimSun" w:eastAsia="SimSun" w:cs="SimSun"/>
          <w:sz w:val="24"/>
          <w:szCs w:val="24"/>
        </w:rPr>
      </w:pPr>
      <w:r>
        <w:rPr>
          <w:rFonts w:ascii="Times New Roman" w:hAnsi="Times New Roman" w:eastAsia="Times New Roman" w:cs="Times New Roman"/>
          <w:sz w:val="24"/>
          <w:szCs w:val="24"/>
          <w:spacing w:val="-1"/>
        </w:rPr>
        <w:t>3.3.4.3 </w:t>
      </w:r>
      <w:r>
        <w:rPr>
          <w:rFonts w:ascii="SimSun" w:hAnsi="SimSun" w:eastAsia="SimSun" w:cs="SimSun"/>
          <w:sz w:val="24"/>
          <w:szCs w:val="24"/>
          <w:spacing w:val="-1"/>
        </w:rPr>
        <w:t>环境管理</w:t>
      </w:r>
    </w:p>
    <w:p>
      <w:pPr>
        <w:ind w:left="37" w:firstLine="480"/>
        <w:spacing w:before="161" w:line="360" w:lineRule="auto"/>
        <w:rPr>
          <w:rFonts w:ascii="SimSun" w:hAnsi="SimSun" w:eastAsia="SimSun" w:cs="SimSun"/>
          <w:sz w:val="24"/>
          <w:szCs w:val="24"/>
        </w:rPr>
      </w:pPr>
      <w:r>
        <w:rPr>
          <w:rFonts w:ascii="SimSun" w:hAnsi="SimSun" w:eastAsia="SimSun" w:cs="SimSun"/>
          <w:sz w:val="24"/>
          <w:szCs w:val="24"/>
          <w:spacing w:val="3"/>
        </w:rPr>
        <w:t>根据《中华人民共和国固体废物污染环境防</w:t>
      </w:r>
      <w:r>
        <w:rPr>
          <w:rFonts w:ascii="SimSun" w:hAnsi="SimSun" w:eastAsia="SimSun" w:cs="SimSun"/>
          <w:sz w:val="24"/>
          <w:szCs w:val="24"/>
          <w:spacing w:val="2"/>
        </w:rPr>
        <w:t>治法》及相关环境管理要求，一</w:t>
      </w:r>
      <w:r>
        <w:rPr>
          <w:rFonts w:ascii="SimSun" w:hAnsi="SimSun" w:eastAsia="SimSun" w:cs="SimSun"/>
          <w:sz w:val="24"/>
          <w:szCs w:val="24"/>
          <w:spacing w:val="2"/>
        </w:rPr>
        <w:t>般固体废物的堆积、贮存必须采取防扬撒、防流失、防渗漏等污染防治措施。对</w:t>
      </w:r>
      <w:r>
        <w:rPr>
          <w:rFonts w:ascii="SimSun" w:hAnsi="SimSun" w:eastAsia="SimSun" w:cs="SimSun"/>
          <w:sz w:val="24"/>
          <w:szCs w:val="24"/>
          <w:spacing w:val="1"/>
        </w:rPr>
        <w:t>危险废物的容器和包装物以及收集、贮存、运输、利用、处置危险废物的设施、</w:t>
      </w:r>
      <w:r>
        <w:rPr>
          <w:rFonts w:ascii="SimSun" w:hAnsi="SimSun" w:eastAsia="SimSun" w:cs="SimSun"/>
          <w:sz w:val="24"/>
          <w:szCs w:val="24"/>
          <w:spacing w:val="2"/>
        </w:rPr>
        <w:t>场所，应当按照规定设置危险废物识别标志。产生危险废物的单位，应当按照国</w:t>
      </w:r>
      <w:r>
        <w:rPr>
          <w:rFonts w:ascii="SimSun" w:hAnsi="SimSun" w:eastAsia="SimSun" w:cs="SimSun"/>
          <w:sz w:val="24"/>
          <w:szCs w:val="24"/>
          <w:spacing w:val="-2"/>
        </w:rPr>
        <w:t>家有关规定制定危险废物管理计划；建立危险废物管理台账，如实记</w:t>
      </w:r>
      <w:r>
        <w:rPr>
          <w:rFonts w:ascii="SimSun" w:hAnsi="SimSun" w:eastAsia="SimSun" w:cs="SimSun"/>
          <w:sz w:val="24"/>
          <w:szCs w:val="24"/>
          <w:spacing w:val="-3"/>
        </w:rPr>
        <w:t>录有关信息，</w:t>
      </w:r>
      <w:r>
        <w:rPr>
          <w:rFonts w:ascii="SimSun" w:hAnsi="SimSun" w:eastAsia="SimSun" w:cs="SimSun"/>
          <w:sz w:val="24"/>
          <w:szCs w:val="24"/>
          <w:spacing w:val="2"/>
        </w:rPr>
        <w:t>并通过国家危险废物信息管理系统向所在地生态环境主管部门申报危险废物的种</w:t>
      </w:r>
    </w:p>
    <w:p>
      <w:pPr>
        <w:spacing w:line="360" w:lineRule="auto"/>
        <w:sectPr>
          <w:headerReference w:type="default" r:id="rId85"/>
          <w:pgSz w:w="11907" w:h="16839"/>
          <w:pgMar w:top="1390" w:right="1632" w:bottom="400" w:left="1673" w:header="1054" w:footer="0" w:gutter="0"/>
        </w:sectPr>
        <w:rPr>
          <w:rFonts w:ascii="SimSun" w:hAnsi="SimSun" w:eastAsia="SimSun" w:cs="SimSun"/>
          <w:sz w:val="24"/>
          <w:szCs w:val="24"/>
        </w:rPr>
      </w:pPr>
    </w:p>
    <w:p>
      <w:pPr>
        <w:ind w:left="38"/>
        <w:spacing w:before="83" w:line="220" w:lineRule="auto"/>
        <w:rPr>
          <w:rFonts w:ascii="SimSun" w:hAnsi="SimSun" w:eastAsia="SimSun" w:cs="SimSun"/>
          <w:sz w:val="24"/>
          <w:szCs w:val="24"/>
        </w:rPr>
      </w:pPr>
      <w:r>
        <w:rPr>
          <w:rFonts w:ascii="SimSun" w:hAnsi="SimSun" w:eastAsia="SimSun" w:cs="SimSun"/>
          <w:sz w:val="24"/>
          <w:szCs w:val="24"/>
          <w:spacing w:val="-3"/>
        </w:rPr>
        <w:t>类、产生量、流向、贮存、处置等有关资料。</w:t>
      </w:r>
    </w:p>
    <w:p>
      <w:pPr>
        <w:pStyle w:val="BodyText"/>
        <w:spacing w:line="364" w:lineRule="auto"/>
        <w:rPr/>
      </w:pPr>
      <w:r/>
    </w:p>
    <w:p>
      <w:pPr>
        <w:ind w:left="32"/>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3.3.4 </w:t>
      </w:r>
      <w:r>
        <w:rPr>
          <w:rFonts w:ascii="SimSun" w:hAnsi="SimSun" w:eastAsia="SimSun" w:cs="SimSun"/>
          <w:sz w:val="24"/>
          <w:szCs w:val="24"/>
          <w:b/>
          <w:bCs/>
          <w:spacing w:val="-2"/>
        </w:rPr>
        <w:t>污染物源强汇总</w:t>
      </w:r>
    </w:p>
    <w:p>
      <w:pPr>
        <w:pStyle w:val="BodyText"/>
        <w:spacing w:line="339" w:lineRule="auto"/>
        <w:rPr/>
      </w:pPr>
      <w:r/>
    </w:p>
    <w:p>
      <w:pPr>
        <w:ind w:left="519"/>
        <w:spacing w:before="78" w:line="233" w:lineRule="auto"/>
        <w:rPr>
          <w:rFonts w:ascii="SimSun" w:hAnsi="SimSun" w:eastAsia="SimSun" w:cs="SimSun"/>
          <w:sz w:val="24"/>
          <w:szCs w:val="24"/>
        </w:rPr>
      </w:pPr>
      <w:r>
        <w:rPr>
          <w:rFonts w:ascii="SimSun" w:hAnsi="SimSun" w:eastAsia="SimSun" w:cs="SimSun"/>
          <w:sz w:val="24"/>
          <w:szCs w:val="24"/>
          <w:spacing w:val="-2"/>
        </w:rPr>
        <w:t>本项目运营期污染物源强汇总见表</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3-17</w:t>
      </w:r>
      <w:r>
        <w:rPr>
          <w:rFonts w:ascii="SimSun" w:hAnsi="SimSun" w:eastAsia="SimSun" w:cs="SimSun"/>
          <w:sz w:val="24"/>
          <w:szCs w:val="24"/>
          <w:spacing w:val="-2"/>
        </w:rPr>
        <w:t>。</w:t>
      </w:r>
    </w:p>
    <w:p>
      <w:pPr>
        <w:spacing w:line="233" w:lineRule="auto"/>
        <w:sectPr>
          <w:headerReference w:type="default" r:id="rId86"/>
          <w:pgSz w:w="11907" w:h="16839"/>
          <w:pgMar w:top="1390" w:right="1670" w:bottom="400" w:left="1673" w:header="1054" w:footer="0" w:gutter="0"/>
        </w:sectPr>
        <w:rPr>
          <w:rFonts w:ascii="SimSun" w:hAnsi="SimSun" w:eastAsia="SimSun" w:cs="SimSun"/>
          <w:sz w:val="24"/>
          <w:szCs w:val="24"/>
        </w:rPr>
      </w:pPr>
    </w:p>
    <w:p>
      <w:pPr>
        <w:pStyle w:val="BodyText"/>
        <w:spacing w:line="265" w:lineRule="auto"/>
        <w:rPr/>
      </w:pPr>
      <w:r/>
    </w:p>
    <w:p>
      <w:pPr>
        <w:ind w:left="4617"/>
        <w:spacing w:before="78"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2"/>
        </w:rPr>
        <w:t>3-17      </w:t>
      </w:r>
      <w:r>
        <w:rPr>
          <w:rFonts w:ascii="SimSun" w:hAnsi="SimSun" w:eastAsia="SimSun" w:cs="SimSun"/>
          <w:sz w:val="24"/>
          <w:szCs w:val="24"/>
          <w:b/>
          <w:bCs/>
          <w:spacing w:val="-2"/>
        </w:rPr>
        <w:t>本项目污染物产生及排放汇总一览表</w:t>
      </w:r>
    </w:p>
    <w:p>
      <w:pPr>
        <w:spacing w:line="129" w:lineRule="exact"/>
        <w:rPr/>
      </w:pPr>
      <w:r/>
    </w:p>
    <w:tbl>
      <w:tblPr>
        <w:tblStyle w:val="TableNormal"/>
        <w:tblW w:w="1417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07"/>
        <w:gridCol w:w="1224"/>
        <w:gridCol w:w="1781"/>
        <w:gridCol w:w="1186"/>
        <w:gridCol w:w="1116"/>
        <w:gridCol w:w="2794"/>
        <w:gridCol w:w="1512"/>
        <w:gridCol w:w="1155"/>
        <w:gridCol w:w="2138"/>
        <w:gridCol w:w="660"/>
      </w:tblGrid>
      <w:tr>
        <w:trPr>
          <w:trHeight w:val="389" w:hRule="atLeast"/>
        </w:trPr>
        <w:tc>
          <w:tcPr>
            <w:tcW w:w="607" w:type="dxa"/>
            <w:vAlign w:val="top"/>
            <w:vMerge w:val="restart"/>
            <w:textDirection w:val="tbRlV"/>
            <w:tcBorders>
              <w:top w:val="single" w:color="000000" w:sz="10" w:space="0"/>
              <w:left w:val="nil"/>
              <w:bottom w:val="nil"/>
            </w:tcBorders>
          </w:tcPr>
          <w:p>
            <w:pPr>
              <w:pStyle w:val="TableText"/>
              <w:ind w:left="429"/>
              <w:spacing w:before="196" w:line="208" w:lineRule="auto"/>
              <w:rPr/>
            </w:pPr>
            <w:r>
              <w:rPr>
                <w:b/>
                <w:bCs/>
                <w:spacing w:val="28"/>
              </w:rPr>
              <w:t>要素</w:t>
            </w:r>
          </w:p>
        </w:tc>
        <w:tc>
          <w:tcPr>
            <w:tcW w:w="1224" w:type="dxa"/>
            <w:vAlign w:val="top"/>
            <w:vMerge w:val="restart"/>
            <w:tcBorders>
              <w:top w:val="single" w:color="000000" w:sz="10" w:space="0"/>
              <w:bottom w:val="nil"/>
            </w:tcBorders>
          </w:tcPr>
          <w:p>
            <w:pPr>
              <w:spacing w:line="247" w:lineRule="auto"/>
              <w:rPr>
                <w:rFonts w:ascii="Arial"/>
                <w:sz w:val="21"/>
              </w:rPr>
            </w:pPr>
            <w:r/>
          </w:p>
          <w:p>
            <w:pPr>
              <w:spacing w:line="248" w:lineRule="auto"/>
              <w:rPr>
                <w:rFonts w:ascii="Arial"/>
                <w:sz w:val="21"/>
              </w:rPr>
            </w:pPr>
            <w:r/>
          </w:p>
          <w:p>
            <w:pPr>
              <w:pStyle w:val="TableText"/>
              <w:ind w:left="300"/>
              <w:spacing w:before="68" w:line="221" w:lineRule="auto"/>
              <w:rPr/>
            </w:pPr>
            <w:r>
              <w:rPr>
                <w:b/>
                <w:bCs/>
                <w:spacing w:val="-4"/>
              </w:rPr>
              <w:t>污染源</w:t>
            </w:r>
          </w:p>
        </w:tc>
        <w:tc>
          <w:tcPr>
            <w:tcW w:w="1781" w:type="dxa"/>
            <w:vAlign w:val="top"/>
            <w:vMerge w:val="restart"/>
            <w:tcBorders>
              <w:top w:val="single" w:color="000000" w:sz="10" w:space="0"/>
              <w:bottom w:val="nil"/>
            </w:tcBorders>
          </w:tcPr>
          <w:p>
            <w:pPr>
              <w:spacing w:line="247" w:lineRule="auto"/>
              <w:rPr>
                <w:rFonts w:ascii="Arial"/>
                <w:sz w:val="21"/>
              </w:rPr>
            </w:pPr>
            <w:r/>
          </w:p>
          <w:p>
            <w:pPr>
              <w:spacing w:line="247" w:lineRule="auto"/>
              <w:rPr>
                <w:rFonts w:ascii="Arial"/>
                <w:sz w:val="21"/>
              </w:rPr>
            </w:pPr>
            <w:r/>
          </w:p>
          <w:p>
            <w:pPr>
              <w:pStyle w:val="TableText"/>
              <w:ind w:left="372"/>
              <w:spacing w:before="68" w:line="221" w:lineRule="auto"/>
              <w:rPr/>
            </w:pPr>
            <w:r>
              <w:rPr>
                <w:b/>
                <w:bCs/>
                <w:spacing w:val="-3"/>
              </w:rPr>
              <w:t>污染物种类</w:t>
            </w:r>
          </w:p>
        </w:tc>
        <w:tc>
          <w:tcPr>
            <w:tcW w:w="2302" w:type="dxa"/>
            <w:vAlign w:val="top"/>
            <w:gridSpan w:val="2"/>
            <w:tcBorders>
              <w:top w:val="single" w:color="000000" w:sz="10" w:space="0"/>
            </w:tcBorders>
          </w:tcPr>
          <w:p>
            <w:pPr>
              <w:pStyle w:val="TableText"/>
              <w:ind w:left="843"/>
              <w:spacing w:before="88" w:line="223" w:lineRule="auto"/>
              <w:rPr/>
            </w:pPr>
            <w:r>
              <w:rPr>
                <w:b/>
                <w:bCs/>
                <w:spacing w:val="-5"/>
              </w:rPr>
              <w:t>处理前</w:t>
            </w:r>
          </w:p>
        </w:tc>
        <w:tc>
          <w:tcPr>
            <w:tcW w:w="2794" w:type="dxa"/>
            <w:vAlign w:val="top"/>
            <w:vMerge w:val="restart"/>
            <w:tcBorders>
              <w:top w:val="single" w:color="000000" w:sz="10" w:space="0"/>
              <w:bottom w:val="nil"/>
            </w:tcBorders>
          </w:tcPr>
          <w:p>
            <w:pPr>
              <w:spacing w:line="247" w:lineRule="auto"/>
              <w:rPr>
                <w:rFonts w:ascii="Arial"/>
                <w:sz w:val="21"/>
              </w:rPr>
            </w:pPr>
            <w:r/>
          </w:p>
          <w:p>
            <w:pPr>
              <w:spacing w:line="248" w:lineRule="auto"/>
              <w:rPr>
                <w:rFonts w:ascii="Arial"/>
                <w:sz w:val="21"/>
              </w:rPr>
            </w:pPr>
            <w:r/>
          </w:p>
          <w:p>
            <w:pPr>
              <w:pStyle w:val="TableText"/>
              <w:ind w:left="985"/>
              <w:spacing w:before="68" w:line="221" w:lineRule="auto"/>
              <w:rPr/>
            </w:pPr>
            <w:r>
              <w:rPr>
                <w:b/>
                <w:bCs/>
                <w:spacing w:val="-4"/>
              </w:rPr>
              <w:t>治理措施</w:t>
            </w:r>
          </w:p>
        </w:tc>
        <w:tc>
          <w:tcPr>
            <w:tcW w:w="2667" w:type="dxa"/>
            <w:vAlign w:val="top"/>
            <w:gridSpan w:val="2"/>
            <w:tcBorders>
              <w:top w:val="single" w:color="000000" w:sz="10" w:space="0"/>
            </w:tcBorders>
          </w:tcPr>
          <w:p>
            <w:pPr>
              <w:pStyle w:val="TableText"/>
              <w:ind w:left="1023"/>
              <w:spacing w:before="89" w:line="221" w:lineRule="auto"/>
              <w:rPr/>
            </w:pPr>
            <w:r>
              <w:rPr>
                <w:b/>
                <w:bCs/>
                <w:spacing w:val="-5"/>
              </w:rPr>
              <w:t>处理后</w:t>
            </w:r>
          </w:p>
        </w:tc>
        <w:tc>
          <w:tcPr>
            <w:tcW w:w="2138" w:type="dxa"/>
            <w:vAlign w:val="top"/>
            <w:vMerge w:val="restart"/>
            <w:tcBorders>
              <w:top w:val="single" w:color="000000" w:sz="10" w:space="0"/>
              <w:bottom w:val="nil"/>
            </w:tcBorders>
          </w:tcPr>
          <w:p>
            <w:pPr>
              <w:spacing w:line="471" w:lineRule="auto"/>
              <w:rPr>
                <w:rFonts w:ascii="Arial"/>
                <w:sz w:val="21"/>
              </w:rPr>
            </w:pPr>
            <w:r/>
          </w:p>
          <w:p>
            <w:pPr>
              <w:pStyle w:val="TableText"/>
              <w:ind w:left="244"/>
              <w:spacing w:before="68" w:line="282" w:lineRule="exact"/>
              <w:rPr/>
            </w:pPr>
            <w:r>
              <w:rPr>
                <w:b/>
                <w:bCs/>
                <w:spacing w:val="-1"/>
                <w:position w:val="2"/>
              </w:rPr>
              <w:t>标准值（</w:t>
            </w:r>
            <w:r>
              <w:rPr>
                <w:rFonts w:ascii="Calibri" w:hAnsi="Calibri" w:eastAsia="Calibri" w:cs="Calibri"/>
                <w:b/>
                <w:bCs/>
                <w:spacing w:val="-1"/>
                <w:position w:val="2"/>
              </w:rPr>
              <w:t>mg/m</w:t>
            </w:r>
            <w:r>
              <w:rPr>
                <w:rFonts w:ascii="Calibri" w:hAnsi="Calibri" w:eastAsia="Calibri" w:cs="Calibri"/>
                <w:sz w:val="13"/>
                <w:szCs w:val="13"/>
                <w:b/>
                <w:bCs/>
                <w:spacing w:val="-1"/>
                <w:position w:val="11"/>
              </w:rPr>
              <w:t>3</w:t>
            </w:r>
            <w:r>
              <w:rPr>
                <w:b/>
                <w:bCs/>
                <w:spacing w:val="-1"/>
                <w:position w:val="2"/>
              </w:rPr>
              <w:t>）</w:t>
            </w:r>
          </w:p>
        </w:tc>
        <w:tc>
          <w:tcPr>
            <w:tcW w:w="660" w:type="dxa"/>
            <w:vAlign w:val="top"/>
            <w:vMerge w:val="restart"/>
            <w:tcBorders>
              <w:top w:val="single" w:color="000000" w:sz="10" w:space="0"/>
              <w:right w:val="nil"/>
              <w:bottom w:val="nil"/>
            </w:tcBorders>
          </w:tcPr>
          <w:p>
            <w:pPr>
              <w:spacing w:line="358" w:lineRule="auto"/>
              <w:rPr>
                <w:rFonts w:ascii="Arial"/>
                <w:sz w:val="21"/>
              </w:rPr>
            </w:pPr>
            <w:r/>
          </w:p>
          <w:p>
            <w:pPr>
              <w:pStyle w:val="TableText"/>
              <w:ind w:left="124" w:right="119" w:hanging="1"/>
              <w:spacing w:before="68" w:line="241" w:lineRule="auto"/>
              <w:rPr/>
            </w:pPr>
            <w:r>
              <w:rPr>
                <w:b/>
                <w:bCs/>
                <w:spacing w:val="-5"/>
              </w:rPr>
              <w:t>达标</w:t>
            </w:r>
            <w:r>
              <w:rPr>
                <w:b/>
                <w:bCs/>
                <w:spacing w:val="-6"/>
              </w:rPr>
              <w:t>情况</w:t>
            </w:r>
          </w:p>
        </w:tc>
      </w:tr>
      <w:tr>
        <w:trPr>
          <w:trHeight w:val="945" w:hRule="atLeast"/>
        </w:trPr>
        <w:tc>
          <w:tcPr>
            <w:tcW w:w="607" w:type="dxa"/>
            <w:vAlign w:val="top"/>
            <w:vMerge w:val="continue"/>
            <w:textDirection w:val="tbRlV"/>
            <w:tcBorders>
              <w:top w:val="nil"/>
              <w:left w:val="nil"/>
            </w:tcBorders>
          </w:tcPr>
          <w:p>
            <w:pPr>
              <w:rPr>
                <w:rFonts w:ascii="Arial"/>
                <w:sz w:val="21"/>
              </w:rPr>
            </w:pPr>
            <w:r/>
          </w:p>
        </w:tc>
        <w:tc>
          <w:tcPr>
            <w:tcW w:w="1224" w:type="dxa"/>
            <w:vAlign w:val="top"/>
            <w:vMerge w:val="continue"/>
            <w:tcBorders>
              <w:top w:val="nil"/>
            </w:tcBorders>
          </w:tcPr>
          <w:p>
            <w:pPr>
              <w:rPr>
                <w:rFonts w:ascii="Arial"/>
                <w:sz w:val="21"/>
              </w:rPr>
            </w:pPr>
            <w:r/>
          </w:p>
        </w:tc>
        <w:tc>
          <w:tcPr>
            <w:tcW w:w="1781" w:type="dxa"/>
            <w:vAlign w:val="top"/>
            <w:vMerge w:val="continue"/>
            <w:tcBorders>
              <w:top w:val="nil"/>
            </w:tcBorders>
          </w:tcPr>
          <w:p>
            <w:pPr>
              <w:rPr>
                <w:rFonts w:ascii="Arial"/>
                <w:sz w:val="21"/>
              </w:rPr>
            </w:pPr>
            <w:r/>
          </w:p>
        </w:tc>
        <w:tc>
          <w:tcPr>
            <w:tcW w:w="1186" w:type="dxa"/>
            <w:vAlign w:val="top"/>
          </w:tcPr>
          <w:p>
            <w:pPr>
              <w:pStyle w:val="TableText"/>
              <w:ind w:left="120" w:right="59" w:firstLine="56"/>
              <w:spacing w:before="230" w:line="233" w:lineRule="auto"/>
              <w:rPr/>
            </w:pPr>
            <w:r>
              <w:rPr>
                <w:b/>
                <w:bCs/>
                <w:spacing w:val="-4"/>
              </w:rPr>
              <w:t>产生浓度</w:t>
            </w:r>
            <w:r>
              <w:rPr>
                <w:b/>
                <w:bCs/>
                <w:spacing w:val="-3"/>
              </w:rPr>
              <w:t>（</w:t>
            </w:r>
            <w:r>
              <w:rPr>
                <w:rFonts w:ascii="Calibri" w:hAnsi="Calibri" w:eastAsia="Calibri" w:cs="Calibri"/>
                <w:b/>
                <w:bCs/>
                <w:spacing w:val="-3"/>
              </w:rPr>
              <w:t>mg/m</w:t>
            </w:r>
            <w:r>
              <w:rPr>
                <w:rFonts w:ascii="Calibri" w:hAnsi="Calibri" w:eastAsia="Calibri" w:cs="Calibri"/>
                <w:sz w:val="13"/>
                <w:szCs w:val="13"/>
                <w:b/>
                <w:bCs/>
                <w:spacing w:val="-3"/>
                <w:position w:val="9"/>
              </w:rPr>
              <w:t>3</w:t>
            </w:r>
            <w:r>
              <w:rPr>
                <w:b/>
                <w:bCs/>
                <w:spacing w:val="-3"/>
              </w:rPr>
              <w:t>）</w:t>
            </w:r>
          </w:p>
        </w:tc>
        <w:tc>
          <w:tcPr>
            <w:tcW w:w="1116" w:type="dxa"/>
            <w:vAlign w:val="top"/>
          </w:tcPr>
          <w:p>
            <w:pPr>
              <w:pStyle w:val="TableText"/>
              <w:ind w:left="228" w:right="227" w:firstLine="17"/>
              <w:spacing w:before="229" w:line="247" w:lineRule="auto"/>
              <w:rPr/>
            </w:pPr>
            <w:r>
              <w:rPr>
                <w:b/>
                <w:bCs/>
                <w:spacing w:val="-4"/>
              </w:rPr>
              <w:t>产生量</w:t>
            </w:r>
            <w:r>
              <w:rPr>
                <w:b/>
                <w:bCs/>
                <w:spacing w:val="-8"/>
              </w:rPr>
              <w:t>（</w:t>
            </w:r>
            <w:r>
              <w:rPr>
                <w:rFonts w:ascii="Calibri" w:hAnsi="Calibri" w:eastAsia="Calibri" w:cs="Calibri"/>
                <w:b/>
                <w:bCs/>
                <w:spacing w:val="-8"/>
              </w:rPr>
              <w:t>t/a</w:t>
            </w:r>
            <w:r>
              <w:rPr>
                <w:b/>
                <w:bCs/>
                <w:spacing w:val="-8"/>
              </w:rPr>
              <w:t>）</w:t>
            </w:r>
          </w:p>
        </w:tc>
        <w:tc>
          <w:tcPr>
            <w:tcW w:w="2794" w:type="dxa"/>
            <w:vAlign w:val="top"/>
            <w:vMerge w:val="continue"/>
            <w:tcBorders>
              <w:top w:val="nil"/>
            </w:tcBorders>
          </w:tcPr>
          <w:p>
            <w:pPr>
              <w:rPr>
                <w:rFonts w:ascii="Arial"/>
                <w:sz w:val="21"/>
              </w:rPr>
            </w:pPr>
            <w:r/>
          </w:p>
        </w:tc>
        <w:tc>
          <w:tcPr>
            <w:tcW w:w="1512" w:type="dxa"/>
            <w:vAlign w:val="top"/>
          </w:tcPr>
          <w:p>
            <w:pPr>
              <w:pStyle w:val="TableText"/>
              <w:ind w:left="252" w:right="253" w:firstLine="87"/>
              <w:spacing w:before="230" w:line="233" w:lineRule="auto"/>
              <w:rPr/>
            </w:pPr>
            <w:r>
              <w:rPr>
                <w:b/>
                <w:bCs/>
                <w:spacing w:val="-4"/>
              </w:rPr>
              <w:t>排放浓度</w:t>
            </w:r>
            <w:r>
              <w:rPr>
                <w:b/>
                <w:bCs/>
                <w:spacing w:val="-4"/>
              </w:rPr>
              <w:t>（</w:t>
            </w:r>
            <w:r>
              <w:rPr>
                <w:rFonts w:ascii="Calibri" w:hAnsi="Calibri" w:eastAsia="Calibri" w:cs="Calibri"/>
                <w:b/>
                <w:bCs/>
                <w:spacing w:val="-4"/>
              </w:rPr>
              <w:t>mg/m</w:t>
            </w:r>
            <w:r>
              <w:rPr>
                <w:rFonts w:ascii="Calibri" w:hAnsi="Calibri" w:eastAsia="Calibri" w:cs="Calibri"/>
                <w:sz w:val="13"/>
                <w:szCs w:val="13"/>
                <w:b/>
                <w:bCs/>
                <w:spacing w:val="-4"/>
                <w:position w:val="9"/>
              </w:rPr>
              <w:t>3</w:t>
            </w:r>
            <w:r>
              <w:rPr>
                <w:b/>
                <w:bCs/>
                <w:spacing w:val="-4"/>
              </w:rPr>
              <w:t>）</w:t>
            </w:r>
          </w:p>
        </w:tc>
        <w:tc>
          <w:tcPr>
            <w:tcW w:w="1155" w:type="dxa"/>
            <w:vAlign w:val="top"/>
          </w:tcPr>
          <w:p>
            <w:pPr>
              <w:pStyle w:val="TableText"/>
              <w:ind w:left="245" w:right="249" w:firstLine="20"/>
              <w:spacing w:before="229" w:line="247" w:lineRule="auto"/>
              <w:rPr/>
            </w:pPr>
            <w:r>
              <w:rPr>
                <w:b/>
                <w:bCs/>
                <w:spacing w:val="-4"/>
              </w:rPr>
              <w:t>排放量</w:t>
            </w:r>
            <w:r>
              <w:rPr>
                <w:b/>
                <w:bCs/>
                <w:spacing w:val="-8"/>
              </w:rPr>
              <w:t>（</w:t>
            </w:r>
            <w:r>
              <w:rPr>
                <w:rFonts w:ascii="Calibri" w:hAnsi="Calibri" w:eastAsia="Calibri" w:cs="Calibri"/>
                <w:b/>
                <w:bCs/>
                <w:spacing w:val="-8"/>
              </w:rPr>
              <w:t>t/a</w:t>
            </w:r>
            <w:r>
              <w:rPr>
                <w:b/>
                <w:bCs/>
                <w:spacing w:val="-8"/>
              </w:rPr>
              <w:t>）</w:t>
            </w:r>
          </w:p>
        </w:tc>
        <w:tc>
          <w:tcPr>
            <w:tcW w:w="2138" w:type="dxa"/>
            <w:vAlign w:val="top"/>
            <w:vMerge w:val="continue"/>
            <w:tcBorders>
              <w:top w:val="nil"/>
            </w:tcBorders>
          </w:tcPr>
          <w:p>
            <w:pPr>
              <w:rPr>
                <w:rFonts w:ascii="Arial"/>
                <w:sz w:val="21"/>
              </w:rPr>
            </w:pPr>
            <w:r/>
          </w:p>
        </w:tc>
        <w:tc>
          <w:tcPr>
            <w:tcW w:w="660" w:type="dxa"/>
            <w:vAlign w:val="top"/>
            <w:vMerge w:val="continue"/>
            <w:tcBorders>
              <w:top w:val="nil"/>
              <w:right w:val="nil"/>
            </w:tcBorders>
          </w:tcPr>
          <w:p>
            <w:pPr>
              <w:rPr>
                <w:rFonts w:ascii="Arial"/>
                <w:sz w:val="21"/>
              </w:rPr>
            </w:pPr>
            <w:r/>
          </w:p>
        </w:tc>
      </w:tr>
      <w:tr>
        <w:trPr>
          <w:trHeight w:val="323" w:hRule="atLeast"/>
        </w:trPr>
        <w:tc>
          <w:tcPr>
            <w:tcW w:w="607" w:type="dxa"/>
            <w:vAlign w:val="top"/>
            <w:vMerge w:val="restart"/>
            <w:textDirection w:val="tbRlV"/>
            <w:tcBorders>
              <w:left w:val="nil"/>
              <w:bottom w:val="nil"/>
            </w:tcBorders>
          </w:tcPr>
          <w:p>
            <w:pPr>
              <w:pStyle w:val="TableText"/>
              <w:spacing w:before="196" w:line="209" w:lineRule="auto"/>
              <w:jc w:val="right"/>
              <w:rPr/>
            </w:pPr>
            <w:r>
              <w:rPr>
                <w:spacing w:val="-12"/>
              </w:rPr>
              <w:t>废</w:t>
            </w:r>
            <w:r>
              <w:rPr>
                <w:spacing w:val="-8"/>
              </w:rPr>
              <w:t>气</w:t>
            </w:r>
          </w:p>
        </w:tc>
        <w:tc>
          <w:tcPr>
            <w:tcW w:w="1224" w:type="dxa"/>
            <w:vAlign w:val="top"/>
            <w:vMerge w:val="restart"/>
            <w:tcBorders>
              <w:bottom w:val="nil"/>
            </w:tcBorders>
          </w:tcPr>
          <w:p>
            <w:pPr>
              <w:pStyle w:val="TableText"/>
              <w:ind w:left="510" w:right="188" w:hanging="313"/>
              <w:spacing w:before="96" w:line="242" w:lineRule="auto"/>
              <w:rPr/>
            </w:pPr>
            <w:r>
              <w:rPr>
                <w:spacing w:val="-2"/>
              </w:rPr>
              <w:t>无组织废</w:t>
            </w:r>
            <w:r>
              <w:rPr/>
              <w:t>气</w:t>
            </w:r>
          </w:p>
        </w:tc>
        <w:tc>
          <w:tcPr>
            <w:tcW w:w="1781" w:type="dxa"/>
            <w:vAlign w:val="top"/>
          </w:tcPr>
          <w:p>
            <w:pPr>
              <w:pStyle w:val="TableText"/>
              <w:ind w:left="687"/>
              <w:spacing w:before="58" w:line="218" w:lineRule="auto"/>
              <w:rPr/>
            </w:pPr>
            <w:r>
              <w:rPr>
                <w:spacing w:val="-2"/>
              </w:rPr>
              <w:t>氨气</w:t>
            </w:r>
          </w:p>
        </w:tc>
        <w:tc>
          <w:tcPr>
            <w:tcW w:w="1186" w:type="dxa"/>
            <w:vAlign w:val="top"/>
          </w:tcPr>
          <w:p>
            <w:pPr>
              <w:ind w:left="548"/>
              <w:spacing w:before="73" w:line="224" w:lineRule="auto"/>
              <w:rPr>
                <w:rFonts w:ascii="Calibri" w:hAnsi="Calibri" w:eastAsia="Calibri" w:cs="Calibri"/>
                <w:sz w:val="21"/>
                <w:szCs w:val="21"/>
              </w:rPr>
            </w:pPr>
            <w:r>
              <w:rPr>
                <w:rFonts w:ascii="Calibri" w:hAnsi="Calibri" w:eastAsia="Calibri" w:cs="Calibri"/>
                <w:sz w:val="21"/>
                <w:szCs w:val="21"/>
              </w:rPr>
              <w:t>/</w:t>
            </w:r>
          </w:p>
        </w:tc>
        <w:tc>
          <w:tcPr>
            <w:tcW w:w="1116" w:type="dxa"/>
            <w:vAlign w:val="top"/>
          </w:tcPr>
          <w:p>
            <w:pPr>
              <w:ind w:left="324"/>
              <w:spacing w:before="73" w:line="224" w:lineRule="auto"/>
              <w:rPr>
                <w:rFonts w:ascii="Calibri" w:hAnsi="Calibri" w:eastAsia="Calibri" w:cs="Calibri"/>
                <w:sz w:val="21"/>
                <w:szCs w:val="21"/>
              </w:rPr>
            </w:pPr>
            <w:r>
              <w:rPr>
                <w:rFonts w:ascii="Calibri" w:hAnsi="Calibri" w:eastAsia="Calibri" w:cs="Calibri"/>
                <w:sz w:val="21"/>
                <w:szCs w:val="21"/>
                <w:spacing w:val="-2"/>
              </w:rPr>
              <w:t>0.519</w:t>
            </w:r>
          </w:p>
        </w:tc>
        <w:tc>
          <w:tcPr>
            <w:tcW w:w="2794" w:type="dxa"/>
            <w:vAlign w:val="top"/>
            <w:vMerge w:val="restart"/>
            <w:tcBorders>
              <w:bottom w:val="nil"/>
            </w:tcBorders>
          </w:tcPr>
          <w:p>
            <w:pPr>
              <w:pStyle w:val="TableText"/>
              <w:ind w:right="12"/>
              <w:spacing w:before="96" w:line="220" w:lineRule="auto"/>
              <w:jc w:val="right"/>
              <w:rPr/>
            </w:pPr>
            <w:r>
              <w:rPr>
                <w:spacing w:val="-6"/>
              </w:rPr>
              <w:t>垫料、除臭剂、发酵床菌种、</w:t>
            </w:r>
          </w:p>
          <w:p>
            <w:pPr>
              <w:pStyle w:val="TableText"/>
              <w:ind w:left="1193"/>
              <w:spacing w:before="23" w:line="222" w:lineRule="auto"/>
              <w:rPr/>
            </w:pPr>
            <w:r>
              <w:rPr>
                <w:spacing w:val="-2"/>
              </w:rPr>
              <w:t>绿化</w:t>
            </w:r>
          </w:p>
        </w:tc>
        <w:tc>
          <w:tcPr>
            <w:tcW w:w="1512" w:type="dxa"/>
            <w:vAlign w:val="top"/>
          </w:tcPr>
          <w:p>
            <w:pPr>
              <w:ind w:left="710"/>
              <w:spacing w:before="73" w:line="224" w:lineRule="auto"/>
              <w:rPr>
                <w:rFonts w:ascii="Calibri" w:hAnsi="Calibri" w:eastAsia="Calibri" w:cs="Calibri"/>
                <w:sz w:val="21"/>
                <w:szCs w:val="21"/>
              </w:rPr>
            </w:pPr>
            <w:r>
              <w:rPr>
                <w:rFonts w:ascii="Calibri" w:hAnsi="Calibri" w:eastAsia="Calibri" w:cs="Calibri"/>
                <w:sz w:val="21"/>
                <w:szCs w:val="21"/>
              </w:rPr>
              <w:t>/</w:t>
            </w:r>
          </w:p>
        </w:tc>
        <w:tc>
          <w:tcPr>
            <w:tcW w:w="1155" w:type="dxa"/>
            <w:vAlign w:val="top"/>
          </w:tcPr>
          <w:p>
            <w:pPr>
              <w:ind w:left="341"/>
              <w:spacing w:before="73" w:line="224" w:lineRule="auto"/>
              <w:rPr>
                <w:rFonts w:ascii="Calibri" w:hAnsi="Calibri" w:eastAsia="Calibri" w:cs="Calibri"/>
                <w:sz w:val="21"/>
                <w:szCs w:val="21"/>
              </w:rPr>
            </w:pPr>
            <w:r>
              <w:rPr>
                <w:rFonts w:ascii="Calibri" w:hAnsi="Calibri" w:eastAsia="Calibri" w:cs="Calibri"/>
                <w:sz w:val="21"/>
                <w:szCs w:val="21"/>
                <w:spacing w:val="-2"/>
              </w:rPr>
              <w:t>0.112</w:t>
            </w:r>
          </w:p>
        </w:tc>
        <w:tc>
          <w:tcPr>
            <w:tcW w:w="2138" w:type="dxa"/>
            <w:vAlign w:val="top"/>
          </w:tcPr>
          <w:p>
            <w:pPr>
              <w:ind w:left="881"/>
              <w:spacing w:before="88"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≤1.5</w:t>
            </w:r>
          </w:p>
        </w:tc>
        <w:tc>
          <w:tcPr>
            <w:tcW w:w="660" w:type="dxa"/>
            <w:vAlign w:val="top"/>
            <w:vMerge w:val="restart"/>
            <w:tcBorders>
              <w:right w:val="nil"/>
              <w:bottom w:val="nil"/>
            </w:tcBorders>
          </w:tcPr>
          <w:p>
            <w:pPr>
              <w:pStyle w:val="TableText"/>
              <w:ind w:left="125"/>
              <w:spacing w:before="233" w:line="221" w:lineRule="auto"/>
              <w:rPr/>
            </w:pPr>
            <w:r>
              <w:rPr>
                <w:spacing w:val="-2"/>
              </w:rPr>
              <w:t>达标</w:t>
            </w:r>
          </w:p>
        </w:tc>
      </w:tr>
      <w:tr>
        <w:trPr>
          <w:trHeight w:val="344" w:hRule="atLeast"/>
        </w:trPr>
        <w:tc>
          <w:tcPr>
            <w:tcW w:w="607" w:type="dxa"/>
            <w:vAlign w:val="top"/>
            <w:vMerge w:val="continue"/>
            <w:textDirection w:val="tbRlV"/>
            <w:tcBorders>
              <w:left w:val="nil"/>
              <w:bottom w:val="nil"/>
              <w:top w:val="nil"/>
            </w:tcBorders>
          </w:tcPr>
          <w:p>
            <w:pPr>
              <w:rPr>
                <w:rFonts w:ascii="Arial"/>
                <w:sz w:val="21"/>
              </w:rPr>
            </w:pPr>
            <w:r/>
          </w:p>
        </w:tc>
        <w:tc>
          <w:tcPr>
            <w:tcW w:w="1224" w:type="dxa"/>
            <w:vAlign w:val="top"/>
            <w:vMerge w:val="continue"/>
            <w:tcBorders>
              <w:top w:val="nil"/>
            </w:tcBorders>
          </w:tcPr>
          <w:p>
            <w:pPr>
              <w:rPr>
                <w:rFonts w:ascii="Arial"/>
                <w:sz w:val="21"/>
              </w:rPr>
            </w:pPr>
            <w:r/>
          </w:p>
        </w:tc>
        <w:tc>
          <w:tcPr>
            <w:tcW w:w="1781" w:type="dxa"/>
            <w:vAlign w:val="top"/>
          </w:tcPr>
          <w:p>
            <w:pPr>
              <w:pStyle w:val="TableText"/>
              <w:ind w:left="581"/>
              <w:spacing w:before="71" w:line="219" w:lineRule="auto"/>
              <w:rPr/>
            </w:pPr>
            <w:r>
              <w:rPr>
                <w:spacing w:val="-1"/>
              </w:rPr>
              <w:t>硫化氢</w:t>
            </w:r>
          </w:p>
        </w:tc>
        <w:tc>
          <w:tcPr>
            <w:tcW w:w="1186" w:type="dxa"/>
            <w:vAlign w:val="top"/>
          </w:tcPr>
          <w:p>
            <w:pPr>
              <w:ind w:left="548"/>
              <w:spacing w:before="86" w:line="224" w:lineRule="auto"/>
              <w:rPr>
                <w:rFonts w:ascii="Calibri" w:hAnsi="Calibri" w:eastAsia="Calibri" w:cs="Calibri"/>
                <w:sz w:val="21"/>
                <w:szCs w:val="21"/>
              </w:rPr>
            </w:pPr>
            <w:r>
              <w:rPr>
                <w:rFonts w:ascii="Calibri" w:hAnsi="Calibri" w:eastAsia="Calibri" w:cs="Calibri"/>
                <w:sz w:val="21"/>
                <w:szCs w:val="21"/>
              </w:rPr>
              <w:t>/</w:t>
            </w:r>
          </w:p>
        </w:tc>
        <w:tc>
          <w:tcPr>
            <w:tcW w:w="1116" w:type="dxa"/>
            <w:vAlign w:val="top"/>
          </w:tcPr>
          <w:p>
            <w:pPr>
              <w:ind w:left="324"/>
              <w:spacing w:before="87" w:line="231" w:lineRule="auto"/>
              <w:rPr>
                <w:rFonts w:ascii="Calibri" w:hAnsi="Calibri" w:eastAsia="Calibri" w:cs="Calibri"/>
                <w:sz w:val="21"/>
                <w:szCs w:val="21"/>
              </w:rPr>
            </w:pPr>
            <w:r>
              <w:rPr>
                <w:rFonts w:ascii="Calibri" w:hAnsi="Calibri" w:eastAsia="Calibri" w:cs="Calibri"/>
                <w:sz w:val="21"/>
                <w:szCs w:val="21"/>
                <w:spacing w:val="-2"/>
              </w:rPr>
              <w:t>0.025</w:t>
            </w:r>
          </w:p>
        </w:tc>
        <w:tc>
          <w:tcPr>
            <w:tcW w:w="2794" w:type="dxa"/>
            <w:vAlign w:val="top"/>
            <w:vMerge w:val="continue"/>
            <w:tcBorders>
              <w:top w:val="nil"/>
            </w:tcBorders>
          </w:tcPr>
          <w:p>
            <w:pPr>
              <w:rPr>
                <w:rFonts w:ascii="Arial"/>
                <w:sz w:val="21"/>
              </w:rPr>
            </w:pPr>
            <w:r/>
          </w:p>
        </w:tc>
        <w:tc>
          <w:tcPr>
            <w:tcW w:w="1512" w:type="dxa"/>
            <w:vAlign w:val="top"/>
          </w:tcPr>
          <w:p>
            <w:pPr>
              <w:ind w:left="710"/>
              <w:spacing w:before="86" w:line="224" w:lineRule="auto"/>
              <w:rPr>
                <w:rFonts w:ascii="Calibri" w:hAnsi="Calibri" w:eastAsia="Calibri" w:cs="Calibri"/>
                <w:sz w:val="21"/>
                <w:szCs w:val="21"/>
              </w:rPr>
            </w:pPr>
            <w:r>
              <w:rPr>
                <w:rFonts w:ascii="Calibri" w:hAnsi="Calibri" w:eastAsia="Calibri" w:cs="Calibri"/>
                <w:sz w:val="21"/>
                <w:szCs w:val="21"/>
              </w:rPr>
              <w:t>/</w:t>
            </w:r>
          </w:p>
        </w:tc>
        <w:tc>
          <w:tcPr>
            <w:tcW w:w="1155" w:type="dxa"/>
            <w:vAlign w:val="top"/>
          </w:tcPr>
          <w:p>
            <w:pPr>
              <w:ind w:left="288"/>
              <w:spacing w:before="87" w:line="231" w:lineRule="auto"/>
              <w:rPr>
                <w:rFonts w:ascii="Calibri" w:hAnsi="Calibri" w:eastAsia="Calibri" w:cs="Calibri"/>
                <w:sz w:val="21"/>
                <w:szCs w:val="21"/>
              </w:rPr>
            </w:pPr>
            <w:r>
              <w:rPr>
                <w:rFonts w:ascii="Calibri" w:hAnsi="Calibri" w:eastAsia="Calibri" w:cs="Calibri"/>
                <w:sz w:val="21"/>
                <w:szCs w:val="21"/>
                <w:spacing w:val="-2"/>
              </w:rPr>
              <w:t>0.0068</w:t>
            </w:r>
          </w:p>
        </w:tc>
        <w:tc>
          <w:tcPr>
            <w:tcW w:w="2138" w:type="dxa"/>
            <w:vAlign w:val="top"/>
          </w:tcPr>
          <w:p>
            <w:pPr>
              <w:ind w:left="828"/>
              <w:spacing w:before="99"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660" w:type="dxa"/>
            <w:vAlign w:val="top"/>
            <w:vMerge w:val="continue"/>
            <w:tcBorders>
              <w:right w:val="nil"/>
              <w:top w:val="nil"/>
            </w:tcBorders>
          </w:tcPr>
          <w:p>
            <w:pPr>
              <w:rPr>
                <w:rFonts w:ascii="Arial"/>
                <w:sz w:val="21"/>
              </w:rPr>
            </w:pPr>
            <w:r/>
          </w:p>
        </w:tc>
      </w:tr>
      <w:tr>
        <w:trPr>
          <w:trHeight w:val="344" w:hRule="atLeast"/>
        </w:trPr>
        <w:tc>
          <w:tcPr>
            <w:tcW w:w="607" w:type="dxa"/>
            <w:vAlign w:val="top"/>
            <w:tcBorders>
              <w:left w:val="nil"/>
              <w:top w:val="nil"/>
            </w:tcBorders>
          </w:tcPr>
          <w:p>
            <w:pPr>
              <w:rPr>
                <w:rFonts w:ascii="Arial"/>
                <w:sz w:val="21"/>
              </w:rPr>
            </w:pPr>
            <w:r/>
          </w:p>
        </w:tc>
        <w:tc>
          <w:tcPr>
            <w:tcW w:w="1224" w:type="dxa"/>
            <w:vAlign w:val="top"/>
          </w:tcPr>
          <w:p>
            <w:pPr>
              <w:pStyle w:val="TableText"/>
              <w:ind w:left="195"/>
              <w:spacing w:before="69" w:line="218" w:lineRule="auto"/>
              <w:rPr/>
            </w:pPr>
            <w:r>
              <w:rPr>
                <w:spacing w:val="-2"/>
              </w:rPr>
              <w:t>食堂油烟</w:t>
            </w:r>
          </w:p>
        </w:tc>
        <w:tc>
          <w:tcPr>
            <w:tcW w:w="1781" w:type="dxa"/>
            <w:vAlign w:val="top"/>
          </w:tcPr>
          <w:p>
            <w:pPr>
              <w:pStyle w:val="TableText"/>
              <w:ind w:left="476"/>
              <w:spacing w:before="69" w:line="218" w:lineRule="auto"/>
              <w:rPr/>
            </w:pPr>
            <w:r>
              <w:rPr>
                <w:spacing w:val="-2"/>
              </w:rPr>
              <w:t>饮食油烟</w:t>
            </w:r>
          </w:p>
        </w:tc>
        <w:tc>
          <w:tcPr>
            <w:tcW w:w="1186" w:type="dxa"/>
            <w:vAlign w:val="top"/>
          </w:tcPr>
          <w:p>
            <w:pPr>
              <w:ind w:left="422"/>
              <w:spacing w:before="88" w:line="230" w:lineRule="auto"/>
              <w:rPr>
                <w:rFonts w:ascii="Calibri" w:hAnsi="Calibri" w:eastAsia="Calibri" w:cs="Calibri"/>
                <w:sz w:val="21"/>
                <w:szCs w:val="21"/>
              </w:rPr>
            </w:pPr>
            <w:r>
              <w:rPr>
                <w:rFonts w:ascii="Calibri" w:hAnsi="Calibri" w:eastAsia="Calibri" w:cs="Calibri"/>
                <w:sz w:val="21"/>
                <w:szCs w:val="21"/>
                <w:spacing w:val="-4"/>
              </w:rPr>
              <w:t>1.83</w:t>
            </w:r>
          </w:p>
        </w:tc>
        <w:tc>
          <w:tcPr>
            <w:tcW w:w="1116" w:type="dxa"/>
            <w:vAlign w:val="top"/>
          </w:tcPr>
          <w:p>
            <w:pPr>
              <w:ind w:left="216"/>
              <w:spacing w:before="88" w:line="230" w:lineRule="auto"/>
              <w:rPr>
                <w:rFonts w:ascii="Calibri" w:hAnsi="Calibri" w:eastAsia="Calibri" w:cs="Calibri"/>
                <w:sz w:val="21"/>
                <w:szCs w:val="21"/>
              </w:rPr>
            </w:pPr>
            <w:r>
              <w:rPr>
                <w:rFonts w:ascii="Calibri" w:hAnsi="Calibri" w:eastAsia="Calibri" w:cs="Calibri"/>
                <w:sz w:val="21"/>
                <w:szCs w:val="21"/>
                <w:spacing w:val="-1"/>
              </w:rPr>
              <w:t>0.00183</w:t>
            </w:r>
          </w:p>
        </w:tc>
        <w:tc>
          <w:tcPr>
            <w:tcW w:w="2794" w:type="dxa"/>
            <w:vAlign w:val="top"/>
          </w:tcPr>
          <w:p>
            <w:pPr>
              <w:pStyle w:val="TableText"/>
              <w:ind w:left="880"/>
              <w:spacing w:before="70" w:line="221" w:lineRule="auto"/>
              <w:rPr/>
            </w:pPr>
            <w:r>
              <w:rPr>
                <w:spacing w:val="-2"/>
              </w:rPr>
              <w:t>油烟净化器</w:t>
            </w:r>
          </w:p>
        </w:tc>
        <w:tc>
          <w:tcPr>
            <w:tcW w:w="1512" w:type="dxa"/>
            <w:vAlign w:val="top"/>
          </w:tcPr>
          <w:p>
            <w:pPr>
              <w:ind w:left="574"/>
              <w:spacing w:before="88" w:line="230" w:lineRule="auto"/>
              <w:rPr>
                <w:rFonts w:ascii="Calibri" w:hAnsi="Calibri" w:eastAsia="Calibri" w:cs="Calibri"/>
                <w:sz w:val="21"/>
                <w:szCs w:val="21"/>
              </w:rPr>
            </w:pPr>
            <w:r>
              <w:rPr>
                <w:rFonts w:ascii="Calibri" w:hAnsi="Calibri" w:eastAsia="Calibri" w:cs="Calibri"/>
                <w:sz w:val="21"/>
                <w:szCs w:val="21"/>
                <w:spacing w:val="-2"/>
              </w:rPr>
              <w:t>0.73</w:t>
            </w:r>
          </w:p>
        </w:tc>
        <w:tc>
          <w:tcPr>
            <w:tcW w:w="1155" w:type="dxa"/>
            <w:vAlign w:val="top"/>
          </w:tcPr>
          <w:p>
            <w:pPr>
              <w:ind w:left="291"/>
              <w:spacing w:before="88" w:line="230" w:lineRule="auto"/>
              <w:rPr>
                <w:rFonts w:ascii="Calibri" w:hAnsi="Calibri" w:eastAsia="Calibri" w:cs="Calibri"/>
                <w:sz w:val="21"/>
                <w:szCs w:val="21"/>
              </w:rPr>
            </w:pPr>
            <w:r>
              <w:rPr>
                <w:rFonts w:ascii="Calibri" w:hAnsi="Calibri" w:eastAsia="Calibri" w:cs="Calibri"/>
                <w:sz w:val="21"/>
                <w:szCs w:val="21"/>
                <w:spacing w:val="-2"/>
              </w:rPr>
              <w:t>0.0007</w:t>
            </w:r>
          </w:p>
        </w:tc>
        <w:tc>
          <w:tcPr>
            <w:tcW w:w="2138" w:type="dxa"/>
            <w:vAlign w:val="top"/>
          </w:tcPr>
          <w:p>
            <w:pPr>
              <w:ind w:left="881"/>
              <w:spacing w:before="100"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660" w:type="dxa"/>
            <w:vAlign w:val="top"/>
            <w:tcBorders>
              <w:right w:val="nil"/>
            </w:tcBorders>
          </w:tcPr>
          <w:p>
            <w:pPr>
              <w:pStyle w:val="TableText"/>
              <w:ind w:left="125"/>
              <w:spacing w:before="70" w:line="221" w:lineRule="auto"/>
              <w:rPr/>
            </w:pPr>
            <w:r>
              <w:rPr>
                <w:spacing w:val="-2"/>
              </w:rPr>
              <w:t>达标</w:t>
            </w:r>
          </w:p>
        </w:tc>
      </w:tr>
      <w:tr>
        <w:trPr>
          <w:trHeight w:val="287" w:hRule="atLeast"/>
        </w:trPr>
        <w:tc>
          <w:tcPr>
            <w:tcW w:w="607" w:type="dxa"/>
            <w:vAlign w:val="top"/>
            <w:vMerge w:val="restart"/>
            <w:textDirection w:val="tbRlV"/>
            <w:tcBorders>
              <w:left w:val="nil"/>
              <w:bottom w:val="nil"/>
            </w:tcBorders>
          </w:tcPr>
          <w:p>
            <w:pPr>
              <w:pStyle w:val="TableText"/>
              <w:ind w:left="606"/>
              <w:spacing w:before="195" w:line="210" w:lineRule="auto"/>
              <w:rPr/>
            </w:pPr>
            <w:r>
              <w:rPr>
                <w:spacing w:val="1"/>
              </w:rPr>
              <w:t>废</w:t>
            </w:r>
            <w:r>
              <w:rPr>
                <w:spacing w:val="-43"/>
              </w:rPr>
              <w:t xml:space="preserve"> </w:t>
            </w:r>
            <w:r>
              <w:rPr>
                <w:spacing w:val="1"/>
              </w:rPr>
              <w:t>水</w:t>
            </w:r>
          </w:p>
        </w:tc>
        <w:tc>
          <w:tcPr>
            <w:tcW w:w="1224" w:type="dxa"/>
            <w:vAlign w:val="top"/>
            <w:vMerge w:val="restart"/>
            <w:tcBorders>
              <w:bottom w:val="nil"/>
            </w:tcBorders>
          </w:tcPr>
          <w:p>
            <w:pPr>
              <w:spacing w:line="400" w:lineRule="auto"/>
              <w:rPr>
                <w:rFonts w:ascii="Arial"/>
                <w:sz w:val="21"/>
              </w:rPr>
            </w:pPr>
            <w:r/>
          </w:p>
          <w:p>
            <w:pPr>
              <w:pStyle w:val="TableText"/>
              <w:ind w:left="154" w:right="142" w:firstLine="43"/>
              <w:spacing w:before="68"/>
              <w:rPr>
                <w:rFonts w:ascii="Calibri" w:hAnsi="Calibri" w:eastAsia="Calibri" w:cs="Calibri"/>
              </w:rPr>
            </w:pPr>
            <w:r>
              <w:rPr>
                <w:spacing w:val="-2"/>
              </w:rPr>
              <w:t>生活污水</w:t>
            </w:r>
            <w:r>
              <w:rPr>
                <w:spacing w:val="-3"/>
              </w:rPr>
              <w:t>（</w:t>
            </w:r>
            <w:r>
              <w:rPr>
                <w:rFonts w:ascii="Calibri" w:hAnsi="Calibri" w:eastAsia="Calibri" w:cs="Calibri"/>
                <w:spacing w:val="-3"/>
              </w:rPr>
              <w:t>175.2t/a</w:t>
            </w:r>
          </w:p>
          <w:p>
            <w:pPr>
              <w:pStyle w:val="TableText"/>
              <w:ind w:left="532"/>
              <w:spacing w:line="223" w:lineRule="auto"/>
              <w:rPr/>
            </w:pPr>
            <w:r>
              <w:rPr/>
              <w:t>)</w:t>
            </w:r>
          </w:p>
        </w:tc>
        <w:tc>
          <w:tcPr>
            <w:tcW w:w="1781" w:type="dxa"/>
            <w:vAlign w:val="top"/>
          </w:tcPr>
          <w:p>
            <w:pPr>
              <w:ind w:left="708"/>
              <w:spacing w:before="84" w:line="179" w:lineRule="auto"/>
              <w:rPr>
                <w:rFonts w:ascii="Calibri" w:hAnsi="Calibri" w:eastAsia="Calibri" w:cs="Calibri"/>
                <w:sz w:val="21"/>
                <w:szCs w:val="21"/>
              </w:rPr>
            </w:pPr>
            <w:r>
              <w:rPr>
                <w:rFonts w:ascii="Calibri" w:hAnsi="Calibri" w:eastAsia="Calibri" w:cs="Calibri"/>
                <w:sz w:val="21"/>
                <w:szCs w:val="21"/>
                <w:spacing w:val="-4"/>
              </w:rPr>
              <w:t>COD</w:t>
            </w:r>
          </w:p>
        </w:tc>
        <w:tc>
          <w:tcPr>
            <w:tcW w:w="1186" w:type="dxa"/>
            <w:vAlign w:val="top"/>
          </w:tcPr>
          <w:p>
            <w:pPr>
              <w:ind w:left="217"/>
              <w:spacing w:before="61" w:line="202" w:lineRule="auto"/>
              <w:rPr>
                <w:rFonts w:ascii="Calibri" w:hAnsi="Calibri" w:eastAsia="Calibri" w:cs="Calibri"/>
                <w:sz w:val="21"/>
                <w:szCs w:val="21"/>
              </w:rPr>
            </w:pPr>
            <w:r>
              <w:rPr>
                <w:rFonts w:ascii="Calibri" w:hAnsi="Calibri" w:eastAsia="Calibri" w:cs="Calibri"/>
                <w:sz w:val="21"/>
                <w:szCs w:val="21"/>
                <w:spacing w:val="-1"/>
              </w:rPr>
              <w:t>350mg/L</w:t>
            </w:r>
          </w:p>
        </w:tc>
        <w:tc>
          <w:tcPr>
            <w:tcW w:w="1116" w:type="dxa"/>
            <w:vAlign w:val="top"/>
          </w:tcPr>
          <w:p>
            <w:pPr>
              <w:ind w:left="322"/>
              <w:spacing w:before="61" w:line="202" w:lineRule="auto"/>
              <w:rPr>
                <w:rFonts w:ascii="Calibri" w:hAnsi="Calibri" w:eastAsia="Calibri" w:cs="Calibri"/>
                <w:sz w:val="21"/>
                <w:szCs w:val="21"/>
              </w:rPr>
            </w:pPr>
            <w:r>
              <w:rPr>
                <w:rFonts w:ascii="Calibri" w:hAnsi="Calibri" w:eastAsia="Calibri" w:cs="Calibri"/>
                <w:sz w:val="21"/>
                <w:szCs w:val="21"/>
                <w:spacing w:val="-1"/>
              </w:rPr>
              <w:t>0.061</w:t>
            </w:r>
          </w:p>
        </w:tc>
        <w:tc>
          <w:tcPr>
            <w:tcW w:w="2794"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pStyle w:val="TableText"/>
              <w:ind w:left="140"/>
              <w:spacing w:before="68" w:line="221" w:lineRule="auto"/>
              <w:rPr/>
            </w:pPr>
            <w:r>
              <w:rPr>
                <w:spacing w:val="-1"/>
              </w:rPr>
              <w:t>排入室外防渗池，有环卫部</w:t>
            </w:r>
          </w:p>
          <w:p>
            <w:pPr>
              <w:pStyle w:val="TableText"/>
              <w:ind w:left="901"/>
              <w:spacing w:before="23" w:line="221" w:lineRule="auto"/>
              <w:rPr/>
            </w:pPr>
            <w:r>
              <w:rPr>
                <w:spacing w:val="-6"/>
              </w:rPr>
              <w:t>门清运处理</w:t>
            </w:r>
          </w:p>
        </w:tc>
        <w:tc>
          <w:tcPr>
            <w:tcW w:w="1512" w:type="dxa"/>
            <w:vAlign w:val="top"/>
          </w:tcPr>
          <w:p>
            <w:pPr>
              <w:ind w:left="706"/>
              <w:spacing w:before="61" w:line="202" w:lineRule="auto"/>
              <w:rPr>
                <w:rFonts w:ascii="Calibri" w:hAnsi="Calibri" w:eastAsia="Calibri" w:cs="Calibri"/>
                <w:sz w:val="21"/>
                <w:szCs w:val="21"/>
              </w:rPr>
            </w:pPr>
            <w:r>
              <w:rPr>
                <w:rFonts w:ascii="Calibri" w:hAnsi="Calibri" w:eastAsia="Calibri" w:cs="Calibri"/>
                <w:sz w:val="21"/>
                <w:szCs w:val="21"/>
              </w:rPr>
              <w:t>0</w:t>
            </w:r>
          </w:p>
        </w:tc>
        <w:tc>
          <w:tcPr>
            <w:tcW w:w="1155" w:type="dxa"/>
            <w:vAlign w:val="top"/>
          </w:tcPr>
          <w:p>
            <w:pPr>
              <w:ind w:left="528"/>
              <w:spacing w:before="61" w:line="202"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restart"/>
            <w:tcBorders>
              <w:bottom w:val="nil"/>
            </w:tcBorders>
          </w:tcPr>
          <w:p>
            <w:pPr>
              <w:spacing w:line="335" w:lineRule="auto"/>
              <w:rPr>
                <w:rFonts w:ascii="Arial"/>
                <w:sz w:val="21"/>
              </w:rPr>
            </w:pPr>
            <w:r/>
          </w:p>
          <w:p>
            <w:pPr>
              <w:spacing w:line="336" w:lineRule="auto"/>
              <w:rPr>
                <w:rFonts w:ascii="Arial"/>
                <w:sz w:val="21"/>
              </w:rPr>
            </w:pPr>
            <w:r/>
          </w:p>
          <w:p>
            <w:pPr>
              <w:pStyle w:val="TableText"/>
              <w:ind w:left="763"/>
              <w:spacing w:before="68" w:line="221" w:lineRule="auto"/>
              <w:rPr/>
            </w:pPr>
            <w:r>
              <w:rPr>
                <w:spacing w:val="-2"/>
              </w:rPr>
              <w:t>不外排</w:t>
            </w:r>
          </w:p>
        </w:tc>
        <w:tc>
          <w:tcPr>
            <w:tcW w:w="660" w:type="dxa"/>
            <w:vAlign w:val="top"/>
            <w:vMerge w:val="restart"/>
            <w:tcBorders>
              <w:right w:val="nil"/>
              <w:bottom w:val="nil"/>
            </w:tcBorders>
          </w:tcPr>
          <w:p>
            <w:pPr>
              <w:spacing w:line="335" w:lineRule="auto"/>
              <w:rPr>
                <w:rFonts w:ascii="Arial"/>
                <w:sz w:val="21"/>
              </w:rPr>
            </w:pPr>
            <w:r/>
          </w:p>
          <w:p>
            <w:pPr>
              <w:spacing w:line="336" w:lineRule="auto"/>
              <w:rPr>
                <w:rFonts w:ascii="Arial"/>
                <w:sz w:val="21"/>
              </w:rPr>
            </w:pPr>
            <w:r/>
          </w:p>
          <w:p>
            <w:pPr>
              <w:pStyle w:val="TableText"/>
              <w:ind w:left="125"/>
              <w:spacing w:before="68" w:line="221" w:lineRule="auto"/>
              <w:rPr/>
            </w:pPr>
            <w:r>
              <w:rPr>
                <w:spacing w:val="-2"/>
              </w:rPr>
              <w:t>达标</w:t>
            </w:r>
          </w:p>
        </w:tc>
      </w:tr>
      <w:tr>
        <w:trPr>
          <w:trHeight w:val="344" w:hRule="atLeast"/>
        </w:trPr>
        <w:tc>
          <w:tcPr>
            <w:tcW w:w="607" w:type="dxa"/>
            <w:vAlign w:val="top"/>
            <w:vMerge w:val="continue"/>
            <w:textDirection w:val="tbRlV"/>
            <w:tcBorders>
              <w:left w:val="nil"/>
              <w:top w:val="nil"/>
              <w:bottom w:val="nil"/>
            </w:tcBorders>
          </w:tcPr>
          <w:p>
            <w:pPr>
              <w:rPr>
                <w:rFonts w:ascii="Arial"/>
                <w:sz w:val="21"/>
              </w:rPr>
            </w:pPr>
            <w:r/>
          </w:p>
        </w:tc>
        <w:tc>
          <w:tcPr>
            <w:tcW w:w="1224" w:type="dxa"/>
            <w:vAlign w:val="top"/>
            <w:vMerge w:val="continue"/>
            <w:tcBorders>
              <w:top w:val="nil"/>
              <w:bottom w:val="nil"/>
            </w:tcBorders>
          </w:tcPr>
          <w:p>
            <w:pPr>
              <w:rPr>
                <w:rFonts w:ascii="Arial"/>
                <w:sz w:val="21"/>
              </w:rPr>
            </w:pPr>
            <w:r/>
          </w:p>
        </w:tc>
        <w:tc>
          <w:tcPr>
            <w:tcW w:w="1781" w:type="dxa"/>
            <w:vAlign w:val="top"/>
          </w:tcPr>
          <w:p>
            <w:pPr>
              <w:ind w:left="680"/>
              <w:spacing w:before="112" w:line="207" w:lineRule="auto"/>
              <w:rPr>
                <w:rFonts w:ascii="Calibri" w:hAnsi="Calibri" w:eastAsia="Calibri" w:cs="Calibri"/>
                <w:sz w:val="13"/>
                <w:szCs w:val="13"/>
              </w:rPr>
            </w:pPr>
            <w:r>
              <w:rPr>
                <w:rFonts w:ascii="Calibri" w:hAnsi="Calibri" w:eastAsia="Calibri" w:cs="Calibri"/>
                <w:sz w:val="21"/>
                <w:szCs w:val="21"/>
                <w:spacing w:val="-3"/>
              </w:rPr>
              <w:t>BOD</w:t>
            </w:r>
            <w:r>
              <w:rPr>
                <w:rFonts w:ascii="Calibri" w:hAnsi="Calibri" w:eastAsia="Calibri" w:cs="Calibri"/>
                <w:sz w:val="13"/>
                <w:szCs w:val="13"/>
                <w:spacing w:val="-3"/>
                <w:position w:val="-2"/>
              </w:rPr>
              <w:t>5</w:t>
            </w:r>
          </w:p>
        </w:tc>
        <w:tc>
          <w:tcPr>
            <w:tcW w:w="1186" w:type="dxa"/>
            <w:vAlign w:val="top"/>
          </w:tcPr>
          <w:p>
            <w:pPr>
              <w:ind w:left="224"/>
              <w:spacing w:before="90" w:line="215" w:lineRule="auto"/>
              <w:rPr>
                <w:rFonts w:ascii="Calibri" w:hAnsi="Calibri" w:eastAsia="Calibri" w:cs="Calibri"/>
                <w:sz w:val="21"/>
                <w:szCs w:val="21"/>
              </w:rPr>
            </w:pPr>
            <w:r>
              <w:rPr>
                <w:rFonts w:ascii="Calibri" w:hAnsi="Calibri" w:eastAsia="Calibri" w:cs="Calibri"/>
                <w:sz w:val="21"/>
                <w:szCs w:val="21"/>
                <w:spacing w:val="-2"/>
              </w:rPr>
              <w:t>180mg/L</w:t>
            </w:r>
          </w:p>
        </w:tc>
        <w:tc>
          <w:tcPr>
            <w:tcW w:w="1116" w:type="dxa"/>
            <w:vAlign w:val="top"/>
          </w:tcPr>
          <w:p>
            <w:pPr>
              <w:ind w:left="324"/>
              <w:spacing w:before="90" w:line="228" w:lineRule="auto"/>
              <w:rPr>
                <w:rFonts w:ascii="Calibri" w:hAnsi="Calibri" w:eastAsia="Calibri" w:cs="Calibri"/>
                <w:sz w:val="21"/>
                <w:szCs w:val="21"/>
              </w:rPr>
            </w:pPr>
            <w:r>
              <w:rPr>
                <w:rFonts w:ascii="Calibri" w:hAnsi="Calibri" w:eastAsia="Calibri" w:cs="Calibri"/>
                <w:sz w:val="21"/>
                <w:szCs w:val="21"/>
                <w:spacing w:val="-2"/>
              </w:rPr>
              <w:t>0.032</w:t>
            </w:r>
          </w:p>
        </w:tc>
        <w:tc>
          <w:tcPr>
            <w:tcW w:w="2794" w:type="dxa"/>
            <w:vAlign w:val="top"/>
            <w:vMerge w:val="continue"/>
            <w:tcBorders>
              <w:top w:val="nil"/>
              <w:bottom w:val="nil"/>
            </w:tcBorders>
          </w:tcPr>
          <w:p>
            <w:pPr>
              <w:rPr>
                <w:rFonts w:ascii="Arial"/>
                <w:sz w:val="21"/>
              </w:rPr>
            </w:pPr>
            <w:r/>
          </w:p>
        </w:tc>
        <w:tc>
          <w:tcPr>
            <w:tcW w:w="1512" w:type="dxa"/>
            <w:vAlign w:val="top"/>
          </w:tcPr>
          <w:p>
            <w:pPr>
              <w:ind w:left="706"/>
              <w:spacing w:before="90" w:line="228" w:lineRule="auto"/>
              <w:rPr>
                <w:rFonts w:ascii="Calibri" w:hAnsi="Calibri" w:eastAsia="Calibri" w:cs="Calibri"/>
                <w:sz w:val="21"/>
                <w:szCs w:val="21"/>
              </w:rPr>
            </w:pPr>
            <w:r>
              <w:rPr>
                <w:rFonts w:ascii="Calibri" w:hAnsi="Calibri" w:eastAsia="Calibri" w:cs="Calibri"/>
                <w:sz w:val="21"/>
                <w:szCs w:val="21"/>
              </w:rPr>
              <w:t>0</w:t>
            </w:r>
          </w:p>
        </w:tc>
        <w:tc>
          <w:tcPr>
            <w:tcW w:w="1155" w:type="dxa"/>
            <w:vAlign w:val="top"/>
          </w:tcPr>
          <w:p>
            <w:pPr>
              <w:ind w:left="528"/>
              <w:spacing w:before="90" w:line="228"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continue"/>
            <w:tcBorders>
              <w:top w:val="nil"/>
              <w:bottom w:val="nil"/>
            </w:tcBorders>
          </w:tcPr>
          <w:p>
            <w:pPr>
              <w:rPr>
                <w:rFonts w:ascii="Arial"/>
                <w:sz w:val="21"/>
              </w:rPr>
            </w:pPr>
            <w:r/>
          </w:p>
        </w:tc>
        <w:tc>
          <w:tcPr>
            <w:tcW w:w="660" w:type="dxa"/>
            <w:vAlign w:val="top"/>
            <w:vMerge w:val="continue"/>
            <w:tcBorders>
              <w:right w:val="nil"/>
              <w:top w:val="nil"/>
              <w:bottom w:val="nil"/>
            </w:tcBorders>
          </w:tcPr>
          <w:p>
            <w:pPr>
              <w:rPr>
                <w:rFonts w:ascii="Arial"/>
                <w:sz w:val="21"/>
              </w:rPr>
            </w:pPr>
            <w:r/>
          </w:p>
        </w:tc>
      </w:tr>
      <w:tr>
        <w:trPr>
          <w:trHeight w:val="345" w:hRule="atLeast"/>
        </w:trPr>
        <w:tc>
          <w:tcPr>
            <w:tcW w:w="607" w:type="dxa"/>
            <w:vAlign w:val="top"/>
            <w:vMerge w:val="continue"/>
            <w:textDirection w:val="tbRlV"/>
            <w:tcBorders>
              <w:left w:val="nil"/>
              <w:top w:val="nil"/>
              <w:bottom w:val="nil"/>
            </w:tcBorders>
          </w:tcPr>
          <w:p>
            <w:pPr>
              <w:rPr>
                <w:rFonts w:ascii="Arial"/>
                <w:sz w:val="21"/>
              </w:rPr>
            </w:pPr>
            <w:r/>
          </w:p>
        </w:tc>
        <w:tc>
          <w:tcPr>
            <w:tcW w:w="1224" w:type="dxa"/>
            <w:vAlign w:val="top"/>
            <w:vMerge w:val="continue"/>
            <w:tcBorders>
              <w:top w:val="nil"/>
              <w:bottom w:val="nil"/>
            </w:tcBorders>
          </w:tcPr>
          <w:p>
            <w:pPr>
              <w:rPr>
                <w:rFonts w:ascii="Arial"/>
                <w:sz w:val="21"/>
              </w:rPr>
            </w:pPr>
            <w:r/>
          </w:p>
        </w:tc>
        <w:tc>
          <w:tcPr>
            <w:tcW w:w="1781" w:type="dxa"/>
            <w:vAlign w:val="top"/>
          </w:tcPr>
          <w:p>
            <w:pPr>
              <w:ind w:left="799"/>
              <w:spacing w:before="115" w:line="179" w:lineRule="auto"/>
              <w:rPr>
                <w:rFonts w:ascii="Calibri" w:hAnsi="Calibri" w:eastAsia="Calibri" w:cs="Calibri"/>
                <w:sz w:val="21"/>
                <w:szCs w:val="21"/>
              </w:rPr>
            </w:pPr>
            <w:r>
              <w:rPr>
                <w:rFonts w:ascii="Calibri" w:hAnsi="Calibri" w:eastAsia="Calibri" w:cs="Calibri"/>
                <w:sz w:val="21"/>
                <w:szCs w:val="21"/>
                <w:spacing w:val="-2"/>
              </w:rPr>
              <w:t>SS</w:t>
            </w:r>
          </w:p>
        </w:tc>
        <w:tc>
          <w:tcPr>
            <w:tcW w:w="1186" w:type="dxa"/>
            <w:vAlign w:val="top"/>
          </w:tcPr>
          <w:p>
            <w:pPr>
              <w:ind w:left="220"/>
              <w:spacing w:before="92" w:line="215" w:lineRule="auto"/>
              <w:rPr>
                <w:rFonts w:ascii="Calibri" w:hAnsi="Calibri" w:eastAsia="Calibri" w:cs="Calibri"/>
                <w:sz w:val="21"/>
                <w:szCs w:val="21"/>
              </w:rPr>
            </w:pPr>
            <w:r>
              <w:rPr>
                <w:rFonts w:ascii="Calibri" w:hAnsi="Calibri" w:eastAsia="Calibri" w:cs="Calibri"/>
                <w:sz w:val="21"/>
                <w:szCs w:val="21"/>
                <w:spacing w:val="-1"/>
              </w:rPr>
              <w:t>250mg/L</w:t>
            </w:r>
          </w:p>
        </w:tc>
        <w:tc>
          <w:tcPr>
            <w:tcW w:w="1116" w:type="dxa"/>
            <w:vAlign w:val="top"/>
          </w:tcPr>
          <w:p>
            <w:pPr>
              <w:ind w:left="322"/>
              <w:spacing w:before="92" w:line="227" w:lineRule="auto"/>
              <w:rPr>
                <w:rFonts w:ascii="Calibri" w:hAnsi="Calibri" w:eastAsia="Calibri" w:cs="Calibri"/>
                <w:sz w:val="21"/>
                <w:szCs w:val="21"/>
              </w:rPr>
            </w:pPr>
            <w:r>
              <w:rPr>
                <w:rFonts w:ascii="Calibri" w:hAnsi="Calibri" w:eastAsia="Calibri" w:cs="Calibri"/>
                <w:sz w:val="21"/>
                <w:szCs w:val="21"/>
                <w:spacing w:val="-1"/>
              </w:rPr>
              <w:t>0.044</w:t>
            </w:r>
          </w:p>
        </w:tc>
        <w:tc>
          <w:tcPr>
            <w:tcW w:w="2794" w:type="dxa"/>
            <w:vAlign w:val="top"/>
            <w:vMerge w:val="continue"/>
            <w:tcBorders>
              <w:top w:val="nil"/>
              <w:bottom w:val="nil"/>
            </w:tcBorders>
          </w:tcPr>
          <w:p>
            <w:pPr>
              <w:rPr>
                <w:rFonts w:ascii="Arial"/>
                <w:sz w:val="21"/>
              </w:rPr>
            </w:pPr>
            <w:r/>
          </w:p>
        </w:tc>
        <w:tc>
          <w:tcPr>
            <w:tcW w:w="1512" w:type="dxa"/>
            <w:vAlign w:val="top"/>
          </w:tcPr>
          <w:p>
            <w:pPr>
              <w:ind w:left="706"/>
              <w:spacing w:before="92" w:line="227" w:lineRule="auto"/>
              <w:rPr>
                <w:rFonts w:ascii="Calibri" w:hAnsi="Calibri" w:eastAsia="Calibri" w:cs="Calibri"/>
                <w:sz w:val="21"/>
                <w:szCs w:val="21"/>
              </w:rPr>
            </w:pPr>
            <w:r>
              <w:rPr>
                <w:rFonts w:ascii="Calibri" w:hAnsi="Calibri" w:eastAsia="Calibri" w:cs="Calibri"/>
                <w:sz w:val="21"/>
                <w:szCs w:val="21"/>
              </w:rPr>
              <w:t>0</w:t>
            </w:r>
          </w:p>
        </w:tc>
        <w:tc>
          <w:tcPr>
            <w:tcW w:w="1155" w:type="dxa"/>
            <w:vAlign w:val="top"/>
          </w:tcPr>
          <w:p>
            <w:pPr>
              <w:ind w:left="528"/>
              <w:spacing w:before="92" w:line="227"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continue"/>
            <w:tcBorders>
              <w:top w:val="nil"/>
              <w:bottom w:val="nil"/>
            </w:tcBorders>
          </w:tcPr>
          <w:p>
            <w:pPr>
              <w:rPr>
                <w:rFonts w:ascii="Arial"/>
                <w:sz w:val="21"/>
              </w:rPr>
            </w:pPr>
            <w:r/>
          </w:p>
        </w:tc>
        <w:tc>
          <w:tcPr>
            <w:tcW w:w="660" w:type="dxa"/>
            <w:vAlign w:val="top"/>
            <w:vMerge w:val="continue"/>
            <w:tcBorders>
              <w:right w:val="nil"/>
              <w:top w:val="nil"/>
              <w:bottom w:val="nil"/>
            </w:tcBorders>
          </w:tcPr>
          <w:p>
            <w:pPr>
              <w:rPr>
                <w:rFonts w:ascii="Arial"/>
                <w:sz w:val="21"/>
              </w:rPr>
            </w:pPr>
            <w:r/>
          </w:p>
        </w:tc>
      </w:tr>
      <w:tr>
        <w:trPr>
          <w:trHeight w:val="344" w:hRule="atLeast"/>
        </w:trPr>
        <w:tc>
          <w:tcPr>
            <w:tcW w:w="607" w:type="dxa"/>
            <w:vAlign w:val="top"/>
            <w:vMerge w:val="continue"/>
            <w:textDirection w:val="tbRlV"/>
            <w:tcBorders>
              <w:left w:val="nil"/>
              <w:top w:val="nil"/>
              <w:bottom w:val="nil"/>
            </w:tcBorders>
          </w:tcPr>
          <w:p>
            <w:pPr>
              <w:rPr>
                <w:rFonts w:ascii="Arial"/>
                <w:sz w:val="21"/>
              </w:rPr>
            </w:pPr>
            <w:r/>
          </w:p>
        </w:tc>
        <w:tc>
          <w:tcPr>
            <w:tcW w:w="1224" w:type="dxa"/>
            <w:vAlign w:val="top"/>
            <w:vMerge w:val="continue"/>
            <w:tcBorders>
              <w:top w:val="nil"/>
              <w:bottom w:val="nil"/>
            </w:tcBorders>
          </w:tcPr>
          <w:p>
            <w:pPr>
              <w:rPr>
                <w:rFonts w:ascii="Arial"/>
                <w:sz w:val="21"/>
              </w:rPr>
            </w:pPr>
            <w:r/>
          </w:p>
        </w:tc>
        <w:tc>
          <w:tcPr>
            <w:tcW w:w="1781" w:type="dxa"/>
            <w:vAlign w:val="top"/>
          </w:tcPr>
          <w:p>
            <w:pPr>
              <w:ind w:left="637"/>
              <w:spacing w:before="117" w:line="203" w:lineRule="auto"/>
              <w:rPr>
                <w:rFonts w:ascii="Calibri" w:hAnsi="Calibri" w:eastAsia="Calibri" w:cs="Calibri"/>
                <w:sz w:val="21"/>
                <w:szCs w:val="21"/>
              </w:rPr>
            </w:pPr>
            <w:r>
              <w:rPr>
                <w:rFonts w:ascii="Calibri" w:hAnsi="Calibri" w:eastAsia="Calibri" w:cs="Calibri"/>
                <w:sz w:val="21"/>
                <w:szCs w:val="21"/>
                <w:spacing w:val="-3"/>
              </w:rPr>
              <w:t>NH</w:t>
            </w:r>
            <w:r>
              <w:rPr>
                <w:rFonts w:ascii="Calibri" w:hAnsi="Calibri" w:eastAsia="Calibri" w:cs="Calibri"/>
                <w:sz w:val="13"/>
                <w:szCs w:val="13"/>
                <w:spacing w:val="-3"/>
                <w:position w:val="-2"/>
              </w:rPr>
              <w:t>3</w:t>
            </w:r>
            <w:r>
              <w:rPr>
                <w:rFonts w:ascii="Calibri" w:hAnsi="Calibri" w:eastAsia="Calibri" w:cs="Calibri"/>
                <w:sz w:val="21"/>
                <w:szCs w:val="21"/>
                <w:spacing w:val="-3"/>
              </w:rPr>
              <w:t>-N</w:t>
            </w:r>
          </w:p>
        </w:tc>
        <w:tc>
          <w:tcPr>
            <w:tcW w:w="1186" w:type="dxa"/>
            <w:vAlign w:val="top"/>
          </w:tcPr>
          <w:p>
            <w:pPr>
              <w:ind w:left="270"/>
              <w:spacing w:before="93" w:line="215" w:lineRule="auto"/>
              <w:rPr>
                <w:rFonts w:ascii="Calibri" w:hAnsi="Calibri" w:eastAsia="Calibri" w:cs="Calibri"/>
                <w:sz w:val="21"/>
                <w:szCs w:val="21"/>
              </w:rPr>
            </w:pPr>
            <w:r>
              <w:rPr>
                <w:rFonts w:ascii="Calibri" w:hAnsi="Calibri" w:eastAsia="Calibri" w:cs="Calibri"/>
                <w:sz w:val="21"/>
                <w:szCs w:val="21"/>
                <w:spacing w:val="-1"/>
              </w:rPr>
              <w:t>30mg/L</w:t>
            </w:r>
          </w:p>
        </w:tc>
        <w:tc>
          <w:tcPr>
            <w:tcW w:w="1116" w:type="dxa"/>
            <w:vAlign w:val="top"/>
          </w:tcPr>
          <w:p>
            <w:pPr>
              <w:ind w:left="324"/>
              <w:spacing w:before="92" w:line="226" w:lineRule="auto"/>
              <w:rPr>
                <w:rFonts w:ascii="Calibri" w:hAnsi="Calibri" w:eastAsia="Calibri" w:cs="Calibri"/>
                <w:sz w:val="21"/>
                <w:szCs w:val="21"/>
              </w:rPr>
            </w:pPr>
            <w:r>
              <w:rPr>
                <w:rFonts w:ascii="Calibri" w:hAnsi="Calibri" w:eastAsia="Calibri" w:cs="Calibri"/>
                <w:sz w:val="21"/>
                <w:szCs w:val="21"/>
                <w:spacing w:val="-2"/>
              </w:rPr>
              <w:t>0.005</w:t>
            </w:r>
          </w:p>
        </w:tc>
        <w:tc>
          <w:tcPr>
            <w:tcW w:w="2794" w:type="dxa"/>
            <w:vAlign w:val="top"/>
            <w:vMerge w:val="continue"/>
            <w:tcBorders>
              <w:top w:val="nil"/>
              <w:bottom w:val="nil"/>
            </w:tcBorders>
          </w:tcPr>
          <w:p>
            <w:pPr>
              <w:rPr>
                <w:rFonts w:ascii="Arial"/>
                <w:sz w:val="21"/>
              </w:rPr>
            </w:pPr>
            <w:r/>
          </w:p>
        </w:tc>
        <w:tc>
          <w:tcPr>
            <w:tcW w:w="1512" w:type="dxa"/>
            <w:vAlign w:val="top"/>
          </w:tcPr>
          <w:p>
            <w:pPr>
              <w:ind w:left="706"/>
              <w:spacing w:before="92" w:line="226" w:lineRule="auto"/>
              <w:rPr>
                <w:rFonts w:ascii="Calibri" w:hAnsi="Calibri" w:eastAsia="Calibri" w:cs="Calibri"/>
                <w:sz w:val="21"/>
                <w:szCs w:val="21"/>
              </w:rPr>
            </w:pPr>
            <w:r>
              <w:rPr>
                <w:rFonts w:ascii="Calibri" w:hAnsi="Calibri" w:eastAsia="Calibri" w:cs="Calibri"/>
                <w:sz w:val="21"/>
                <w:szCs w:val="21"/>
              </w:rPr>
              <w:t>0</w:t>
            </w:r>
          </w:p>
        </w:tc>
        <w:tc>
          <w:tcPr>
            <w:tcW w:w="1155" w:type="dxa"/>
            <w:vAlign w:val="top"/>
          </w:tcPr>
          <w:p>
            <w:pPr>
              <w:ind w:left="528"/>
              <w:spacing w:before="92" w:line="226"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continue"/>
            <w:tcBorders>
              <w:top w:val="nil"/>
              <w:bottom w:val="nil"/>
            </w:tcBorders>
          </w:tcPr>
          <w:p>
            <w:pPr>
              <w:rPr>
                <w:rFonts w:ascii="Arial"/>
                <w:sz w:val="21"/>
              </w:rPr>
            </w:pPr>
            <w:r/>
          </w:p>
        </w:tc>
        <w:tc>
          <w:tcPr>
            <w:tcW w:w="660" w:type="dxa"/>
            <w:vAlign w:val="top"/>
            <w:vMerge w:val="continue"/>
            <w:tcBorders>
              <w:right w:val="nil"/>
              <w:top w:val="nil"/>
              <w:bottom w:val="nil"/>
            </w:tcBorders>
          </w:tcPr>
          <w:p>
            <w:pPr>
              <w:rPr>
                <w:rFonts w:ascii="Arial"/>
                <w:sz w:val="21"/>
              </w:rPr>
            </w:pPr>
            <w:r/>
          </w:p>
        </w:tc>
      </w:tr>
      <w:tr>
        <w:trPr>
          <w:trHeight w:val="344" w:hRule="atLeast"/>
        </w:trPr>
        <w:tc>
          <w:tcPr>
            <w:tcW w:w="607" w:type="dxa"/>
            <w:vAlign w:val="top"/>
            <w:vMerge w:val="continue"/>
            <w:textDirection w:val="tbRlV"/>
            <w:tcBorders>
              <w:left w:val="nil"/>
              <w:top w:val="nil"/>
            </w:tcBorders>
          </w:tcPr>
          <w:p>
            <w:pPr>
              <w:rPr>
                <w:rFonts w:ascii="Arial"/>
                <w:sz w:val="21"/>
              </w:rPr>
            </w:pPr>
            <w:r/>
          </w:p>
        </w:tc>
        <w:tc>
          <w:tcPr>
            <w:tcW w:w="1224" w:type="dxa"/>
            <w:vAlign w:val="top"/>
            <w:vMerge w:val="continue"/>
            <w:tcBorders>
              <w:top w:val="nil"/>
            </w:tcBorders>
          </w:tcPr>
          <w:p>
            <w:pPr>
              <w:rPr>
                <w:rFonts w:ascii="Arial"/>
                <w:sz w:val="21"/>
              </w:rPr>
            </w:pPr>
            <w:r/>
          </w:p>
        </w:tc>
        <w:tc>
          <w:tcPr>
            <w:tcW w:w="1781" w:type="dxa"/>
            <w:vAlign w:val="top"/>
          </w:tcPr>
          <w:p>
            <w:pPr>
              <w:pStyle w:val="TableText"/>
              <w:ind w:left="477"/>
              <w:spacing w:before="75" w:line="221" w:lineRule="auto"/>
              <w:rPr/>
            </w:pPr>
            <w:r>
              <w:rPr>
                <w:spacing w:val="-2"/>
              </w:rPr>
              <w:t>动植物油</w:t>
            </w:r>
          </w:p>
        </w:tc>
        <w:tc>
          <w:tcPr>
            <w:tcW w:w="1186" w:type="dxa"/>
            <w:vAlign w:val="top"/>
          </w:tcPr>
          <w:p>
            <w:pPr>
              <w:ind w:left="264"/>
              <w:spacing w:before="94" w:line="215" w:lineRule="auto"/>
              <w:rPr>
                <w:rFonts w:ascii="Calibri" w:hAnsi="Calibri" w:eastAsia="Calibri" w:cs="Calibri"/>
                <w:sz w:val="21"/>
                <w:szCs w:val="21"/>
              </w:rPr>
            </w:pPr>
            <w:r>
              <w:rPr>
                <w:rFonts w:ascii="Calibri" w:hAnsi="Calibri" w:eastAsia="Calibri" w:cs="Calibri"/>
                <w:sz w:val="21"/>
                <w:szCs w:val="21"/>
                <w:spacing w:val="1"/>
              </w:rPr>
              <w:t>40</w:t>
            </w:r>
            <w:r>
              <w:rPr>
                <w:rFonts w:ascii="Calibri" w:hAnsi="Calibri" w:eastAsia="Calibri" w:cs="Calibri"/>
                <w:sz w:val="21"/>
                <w:szCs w:val="21"/>
              </w:rPr>
              <w:t>mg</w:t>
            </w:r>
            <w:r>
              <w:rPr>
                <w:rFonts w:ascii="Calibri" w:hAnsi="Calibri" w:eastAsia="Calibri" w:cs="Calibri"/>
                <w:sz w:val="21"/>
                <w:szCs w:val="21"/>
                <w:spacing w:val="1"/>
              </w:rPr>
              <w:t>/L</w:t>
            </w:r>
          </w:p>
        </w:tc>
        <w:tc>
          <w:tcPr>
            <w:tcW w:w="1116" w:type="dxa"/>
            <w:vAlign w:val="top"/>
          </w:tcPr>
          <w:p>
            <w:pPr>
              <w:ind w:left="324"/>
              <w:spacing w:before="93" w:line="225" w:lineRule="auto"/>
              <w:rPr>
                <w:rFonts w:ascii="Calibri" w:hAnsi="Calibri" w:eastAsia="Calibri" w:cs="Calibri"/>
                <w:sz w:val="21"/>
                <w:szCs w:val="21"/>
              </w:rPr>
            </w:pPr>
            <w:r>
              <w:rPr>
                <w:rFonts w:ascii="Calibri" w:hAnsi="Calibri" w:eastAsia="Calibri" w:cs="Calibri"/>
                <w:sz w:val="21"/>
                <w:szCs w:val="21"/>
                <w:spacing w:val="-2"/>
              </w:rPr>
              <w:t>0.007</w:t>
            </w:r>
          </w:p>
        </w:tc>
        <w:tc>
          <w:tcPr>
            <w:tcW w:w="2794" w:type="dxa"/>
            <w:vAlign w:val="top"/>
            <w:vMerge w:val="continue"/>
            <w:tcBorders>
              <w:top w:val="nil"/>
            </w:tcBorders>
          </w:tcPr>
          <w:p>
            <w:pPr>
              <w:rPr>
                <w:rFonts w:ascii="Arial"/>
                <w:sz w:val="21"/>
              </w:rPr>
            </w:pPr>
            <w:r/>
          </w:p>
        </w:tc>
        <w:tc>
          <w:tcPr>
            <w:tcW w:w="1512" w:type="dxa"/>
            <w:vAlign w:val="top"/>
          </w:tcPr>
          <w:p>
            <w:pPr>
              <w:ind w:left="706"/>
              <w:spacing w:before="93" w:line="225" w:lineRule="auto"/>
              <w:rPr>
                <w:rFonts w:ascii="Calibri" w:hAnsi="Calibri" w:eastAsia="Calibri" w:cs="Calibri"/>
                <w:sz w:val="21"/>
                <w:szCs w:val="21"/>
              </w:rPr>
            </w:pPr>
            <w:r>
              <w:rPr>
                <w:rFonts w:ascii="Calibri" w:hAnsi="Calibri" w:eastAsia="Calibri" w:cs="Calibri"/>
                <w:sz w:val="21"/>
                <w:szCs w:val="21"/>
              </w:rPr>
              <w:t>0</w:t>
            </w:r>
          </w:p>
        </w:tc>
        <w:tc>
          <w:tcPr>
            <w:tcW w:w="1155" w:type="dxa"/>
            <w:vAlign w:val="top"/>
          </w:tcPr>
          <w:p>
            <w:pPr>
              <w:ind w:left="528"/>
              <w:spacing w:before="93" w:line="225"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continue"/>
            <w:tcBorders>
              <w:top w:val="nil"/>
            </w:tcBorders>
          </w:tcPr>
          <w:p>
            <w:pPr>
              <w:rPr>
                <w:rFonts w:ascii="Arial"/>
                <w:sz w:val="21"/>
              </w:rPr>
            </w:pPr>
            <w:r/>
          </w:p>
        </w:tc>
        <w:tc>
          <w:tcPr>
            <w:tcW w:w="660" w:type="dxa"/>
            <w:vAlign w:val="top"/>
            <w:vMerge w:val="continue"/>
            <w:tcBorders>
              <w:right w:val="nil"/>
              <w:top w:val="nil"/>
            </w:tcBorders>
          </w:tcPr>
          <w:p>
            <w:pPr>
              <w:rPr>
                <w:rFonts w:ascii="Arial"/>
                <w:sz w:val="21"/>
              </w:rPr>
            </w:pPr>
            <w:r/>
          </w:p>
        </w:tc>
      </w:tr>
      <w:tr>
        <w:trPr>
          <w:trHeight w:val="547" w:hRule="atLeast"/>
        </w:trPr>
        <w:tc>
          <w:tcPr>
            <w:tcW w:w="607" w:type="dxa"/>
            <w:vAlign w:val="top"/>
            <w:textDirection w:val="tbRlV"/>
            <w:tcBorders>
              <w:left w:val="nil"/>
            </w:tcBorders>
          </w:tcPr>
          <w:p>
            <w:pPr>
              <w:pStyle w:val="TableText"/>
              <w:ind w:left="43"/>
              <w:spacing w:before="196" w:line="206" w:lineRule="auto"/>
              <w:rPr/>
            </w:pPr>
            <w:r>
              <w:rPr>
                <w:spacing w:val="31"/>
              </w:rPr>
              <w:t>噪声</w:t>
            </w:r>
          </w:p>
        </w:tc>
        <w:tc>
          <w:tcPr>
            <w:tcW w:w="1224" w:type="dxa"/>
            <w:vAlign w:val="top"/>
          </w:tcPr>
          <w:p>
            <w:pPr>
              <w:pStyle w:val="TableText"/>
              <w:ind w:left="406"/>
              <w:spacing w:before="180" w:line="221" w:lineRule="auto"/>
              <w:rPr/>
            </w:pPr>
            <w:r>
              <w:rPr>
                <w:spacing w:val="-2"/>
              </w:rPr>
              <w:t>场区</w:t>
            </w:r>
          </w:p>
        </w:tc>
        <w:tc>
          <w:tcPr>
            <w:tcW w:w="1781" w:type="dxa"/>
            <w:vAlign w:val="top"/>
          </w:tcPr>
          <w:p>
            <w:pPr>
              <w:pStyle w:val="TableText"/>
              <w:ind w:left="268"/>
              <w:spacing w:before="180" w:line="220" w:lineRule="auto"/>
              <w:rPr/>
            </w:pPr>
            <w:r>
              <w:rPr>
                <w:spacing w:val="-1"/>
              </w:rPr>
              <w:t>风机及泵类等</w:t>
            </w:r>
          </w:p>
        </w:tc>
        <w:tc>
          <w:tcPr>
            <w:tcW w:w="2302" w:type="dxa"/>
            <w:vAlign w:val="top"/>
            <w:gridSpan w:val="2"/>
          </w:tcPr>
          <w:p>
            <w:pPr>
              <w:pStyle w:val="TableText"/>
              <w:ind w:left="530"/>
              <w:spacing w:before="180" w:line="288" w:lineRule="exact"/>
              <w:rPr/>
            </w:pPr>
            <w:r>
              <w:rPr>
                <w:rFonts w:ascii="Calibri" w:hAnsi="Calibri" w:eastAsia="Calibri" w:cs="Calibri"/>
                <w:spacing w:val="-1"/>
                <w:position w:val="1"/>
              </w:rPr>
              <w:t>60-90dB</w:t>
            </w:r>
            <w:r>
              <w:rPr>
                <w:spacing w:val="-1"/>
                <w:position w:val="1"/>
              </w:rPr>
              <w:t>（</w:t>
            </w:r>
            <w:r>
              <w:rPr>
                <w:rFonts w:ascii="Calibri" w:hAnsi="Calibri" w:eastAsia="Calibri" w:cs="Calibri"/>
                <w:spacing w:val="-1"/>
                <w:position w:val="1"/>
              </w:rPr>
              <w:t>A</w:t>
            </w:r>
            <w:r>
              <w:rPr>
                <w:spacing w:val="-1"/>
                <w:position w:val="1"/>
              </w:rPr>
              <w:t>）</w:t>
            </w:r>
          </w:p>
        </w:tc>
        <w:tc>
          <w:tcPr>
            <w:tcW w:w="2794" w:type="dxa"/>
            <w:vAlign w:val="top"/>
          </w:tcPr>
          <w:p>
            <w:pPr>
              <w:pStyle w:val="TableText"/>
              <w:ind w:left="457"/>
              <w:spacing w:before="179" w:line="221" w:lineRule="auto"/>
              <w:rPr/>
            </w:pPr>
            <w:r>
              <w:rPr>
                <w:spacing w:val="-1"/>
              </w:rPr>
              <w:t>加强管理、基础减震</w:t>
            </w:r>
          </w:p>
        </w:tc>
        <w:tc>
          <w:tcPr>
            <w:tcW w:w="2667" w:type="dxa"/>
            <w:vAlign w:val="top"/>
            <w:gridSpan w:val="2"/>
          </w:tcPr>
          <w:p>
            <w:pPr>
              <w:ind w:left="1286"/>
              <w:spacing w:before="195" w:line="224" w:lineRule="auto"/>
              <w:rPr>
                <w:rFonts w:ascii="Calibri" w:hAnsi="Calibri" w:eastAsia="Calibri" w:cs="Calibri"/>
                <w:sz w:val="21"/>
                <w:szCs w:val="21"/>
              </w:rPr>
            </w:pPr>
            <w:r>
              <w:rPr>
                <w:rFonts w:ascii="Calibri" w:hAnsi="Calibri" w:eastAsia="Calibri" w:cs="Calibri"/>
                <w:sz w:val="21"/>
                <w:szCs w:val="21"/>
              </w:rPr>
              <w:t>/</w:t>
            </w:r>
          </w:p>
        </w:tc>
        <w:tc>
          <w:tcPr>
            <w:tcW w:w="2138" w:type="dxa"/>
            <w:vAlign w:val="top"/>
          </w:tcPr>
          <w:p>
            <w:pPr>
              <w:pStyle w:val="TableText"/>
              <w:ind w:left="192"/>
              <w:spacing w:before="44" w:line="238" w:lineRule="auto"/>
              <w:rPr/>
            </w:pPr>
            <w:r>
              <w:rPr>
                <w:spacing w:val="-1"/>
              </w:rPr>
              <w:t>昼间：</w:t>
            </w:r>
            <w:r>
              <w:rPr>
                <w:rFonts w:ascii="Calibri" w:hAnsi="Calibri" w:eastAsia="Calibri" w:cs="Calibri"/>
                <w:spacing w:val="-1"/>
              </w:rPr>
              <w:t>≤55</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pStyle w:val="TableText"/>
              <w:ind w:left="196"/>
              <w:spacing w:line="195" w:lineRule="auto"/>
              <w:rPr/>
            </w:pPr>
            <w:r>
              <w:rPr>
                <w:spacing w:val="-1"/>
              </w:rPr>
              <w:t>夜间：</w:t>
            </w:r>
            <w:r>
              <w:rPr>
                <w:rFonts w:ascii="Calibri" w:hAnsi="Calibri" w:eastAsia="Calibri" w:cs="Calibri"/>
                <w:spacing w:val="-1"/>
              </w:rPr>
              <w:t>≤45</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tc>
        <w:tc>
          <w:tcPr>
            <w:tcW w:w="660" w:type="dxa"/>
            <w:vAlign w:val="top"/>
            <w:tcBorders>
              <w:right w:val="nil"/>
            </w:tcBorders>
          </w:tcPr>
          <w:p>
            <w:pPr>
              <w:pStyle w:val="TableText"/>
              <w:ind w:left="125"/>
              <w:spacing w:before="180" w:line="221" w:lineRule="auto"/>
              <w:rPr/>
            </w:pPr>
            <w:r>
              <w:rPr>
                <w:spacing w:val="-2"/>
              </w:rPr>
              <w:t>达标</w:t>
            </w:r>
          </w:p>
        </w:tc>
      </w:tr>
      <w:tr>
        <w:trPr>
          <w:trHeight w:val="547" w:hRule="atLeast"/>
        </w:trPr>
        <w:tc>
          <w:tcPr>
            <w:tcW w:w="607" w:type="dxa"/>
            <w:vAlign w:val="top"/>
            <w:vMerge w:val="restart"/>
            <w:textDirection w:val="tbRlV"/>
            <w:tcBorders>
              <w:bottom w:val="nil"/>
              <w:left w:val="nil"/>
            </w:tcBorders>
          </w:tcPr>
          <w:p>
            <w:pPr>
              <w:pStyle w:val="TableText"/>
              <w:ind w:left="656"/>
              <w:spacing w:before="196" w:line="210" w:lineRule="auto"/>
              <w:rPr/>
            </w:pPr>
            <w:r>
              <w:rPr>
                <w:spacing w:val="1"/>
              </w:rPr>
              <w:t>固</w:t>
            </w:r>
            <w:r>
              <w:rPr>
                <w:spacing w:val="-43"/>
              </w:rPr>
              <w:t xml:space="preserve"> </w:t>
            </w:r>
            <w:r>
              <w:rPr>
                <w:spacing w:val="1"/>
              </w:rPr>
              <w:t>体</w:t>
            </w:r>
            <w:r>
              <w:rPr>
                <w:spacing w:val="-45"/>
              </w:rPr>
              <w:t xml:space="preserve"> </w:t>
            </w:r>
            <w:r>
              <w:rPr>
                <w:spacing w:val="1"/>
              </w:rPr>
              <w:t>废</w:t>
            </w:r>
            <w:r>
              <w:rPr>
                <w:spacing w:val="-43"/>
              </w:rPr>
              <w:t xml:space="preserve"> </w:t>
            </w:r>
            <w:r>
              <w:rPr>
                <w:spacing w:val="1"/>
              </w:rPr>
              <w:t>物</w:t>
            </w:r>
          </w:p>
        </w:tc>
        <w:tc>
          <w:tcPr>
            <w:tcW w:w="1224" w:type="dxa"/>
            <w:vAlign w:val="top"/>
          </w:tcPr>
          <w:p>
            <w:pPr>
              <w:pStyle w:val="TableText"/>
              <w:ind w:left="300"/>
              <w:spacing w:before="182" w:line="221" w:lineRule="auto"/>
              <w:rPr/>
            </w:pPr>
            <w:r>
              <w:rPr>
                <w:spacing w:val="-1"/>
              </w:rPr>
              <w:t>储粪库</w:t>
            </w:r>
          </w:p>
        </w:tc>
        <w:tc>
          <w:tcPr>
            <w:tcW w:w="1781" w:type="dxa"/>
            <w:vAlign w:val="top"/>
          </w:tcPr>
          <w:p>
            <w:pPr>
              <w:pStyle w:val="TableText"/>
              <w:ind w:left="581"/>
              <w:spacing w:before="183" w:line="221" w:lineRule="auto"/>
              <w:rPr/>
            </w:pPr>
            <w:r>
              <w:rPr>
                <w:spacing w:val="-1"/>
              </w:rPr>
              <w:t>废垫料</w:t>
            </w:r>
          </w:p>
        </w:tc>
        <w:tc>
          <w:tcPr>
            <w:tcW w:w="2302" w:type="dxa"/>
            <w:vAlign w:val="top"/>
            <w:gridSpan w:val="2"/>
          </w:tcPr>
          <w:p>
            <w:pPr>
              <w:ind w:left="656"/>
              <w:spacing w:before="21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7169.975t/a</w:t>
            </w:r>
          </w:p>
        </w:tc>
        <w:tc>
          <w:tcPr>
            <w:tcW w:w="2794" w:type="dxa"/>
            <w:vAlign w:val="top"/>
          </w:tcPr>
          <w:p>
            <w:pPr>
              <w:pStyle w:val="TableText"/>
              <w:ind w:left="145"/>
              <w:spacing w:before="45" w:line="220" w:lineRule="auto"/>
              <w:rPr/>
            </w:pPr>
            <w:r>
              <w:rPr>
                <w:spacing w:val="-1"/>
              </w:rPr>
              <w:t>定期外售相关单位生产有机</w:t>
            </w:r>
          </w:p>
          <w:p>
            <w:pPr>
              <w:pStyle w:val="TableText"/>
              <w:ind w:left="1297"/>
              <w:spacing w:before="23" w:line="191" w:lineRule="auto"/>
              <w:rPr/>
            </w:pPr>
            <w:r>
              <w:rPr/>
              <w:t>肥</w:t>
            </w:r>
          </w:p>
        </w:tc>
        <w:tc>
          <w:tcPr>
            <w:tcW w:w="2667" w:type="dxa"/>
            <w:vAlign w:val="top"/>
            <w:gridSpan w:val="2"/>
          </w:tcPr>
          <w:p>
            <w:pPr>
              <w:ind w:left="1282"/>
              <w:spacing w:before="198" w:line="266" w:lineRule="exact"/>
              <w:rPr>
                <w:rFonts w:ascii="Calibri" w:hAnsi="Calibri" w:eastAsia="Calibri" w:cs="Calibri"/>
                <w:sz w:val="21"/>
                <w:szCs w:val="21"/>
              </w:rPr>
            </w:pPr>
            <w:r>
              <w:rPr>
                <w:rFonts w:ascii="Calibri" w:hAnsi="Calibri" w:eastAsia="Calibri" w:cs="Calibri"/>
                <w:sz w:val="21"/>
                <w:szCs w:val="21"/>
                <w:position w:val="1"/>
              </w:rPr>
              <w:t>0</w:t>
            </w:r>
          </w:p>
        </w:tc>
        <w:tc>
          <w:tcPr>
            <w:tcW w:w="2138" w:type="dxa"/>
            <w:vAlign w:val="top"/>
          </w:tcPr>
          <w:p>
            <w:pPr>
              <w:pStyle w:val="TableText"/>
              <w:ind w:left="653" w:right="118" w:hanging="520"/>
              <w:spacing w:before="45" w:line="216" w:lineRule="auto"/>
              <w:rPr/>
            </w:pPr>
            <w:r>
              <w:rPr>
                <w:spacing w:val="-2"/>
              </w:rPr>
              <w:t>定期外售相关单位生</w:t>
            </w:r>
            <w:r>
              <w:rPr>
                <w:spacing w:val="-2"/>
              </w:rPr>
              <w:t>产有机肥</w:t>
            </w:r>
          </w:p>
        </w:tc>
        <w:tc>
          <w:tcPr>
            <w:tcW w:w="660" w:type="dxa"/>
            <w:vAlign w:val="top"/>
            <w:vMerge w:val="restart"/>
            <w:tcBorders>
              <w:bottom w:val="nil"/>
              <w:right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86"/>
              <w:spacing w:before="64" w:line="224" w:lineRule="auto"/>
              <w:rPr>
                <w:rFonts w:ascii="Calibri" w:hAnsi="Calibri" w:eastAsia="Calibri" w:cs="Calibri"/>
                <w:sz w:val="21"/>
                <w:szCs w:val="21"/>
              </w:rPr>
            </w:pPr>
            <w:r>
              <w:rPr>
                <w:rFonts w:ascii="Calibri" w:hAnsi="Calibri" w:eastAsia="Calibri" w:cs="Calibri"/>
                <w:sz w:val="21"/>
                <w:szCs w:val="21"/>
              </w:rPr>
              <w:t>/</w:t>
            </w:r>
          </w:p>
        </w:tc>
      </w:tr>
      <w:tr>
        <w:trPr>
          <w:trHeight w:val="548" w:hRule="atLeast"/>
        </w:trPr>
        <w:tc>
          <w:tcPr>
            <w:tcW w:w="607" w:type="dxa"/>
            <w:vAlign w:val="top"/>
            <w:vMerge w:val="continue"/>
            <w:textDirection w:val="tbRlV"/>
            <w:tcBorders>
              <w:bottom w:val="nil"/>
              <w:left w:val="nil"/>
              <w:top w:val="nil"/>
            </w:tcBorders>
          </w:tcPr>
          <w:p>
            <w:pPr>
              <w:rPr>
                <w:rFonts w:ascii="Arial"/>
                <w:sz w:val="21"/>
              </w:rPr>
            </w:pPr>
            <w:r/>
          </w:p>
        </w:tc>
        <w:tc>
          <w:tcPr>
            <w:tcW w:w="1224" w:type="dxa"/>
            <w:vAlign w:val="top"/>
          </w:tcPr>
          <w:p>
            <w:pPr>
              <w:ind w:left="566"/>
              <w:spacing w:before="201" w:line="224" w:lineRule="auto"/>
              <w:rPr>
                <w:rFonts w:ascii="Calibri" w:hAnsi="Calibri" w:eastAsia="Calibri" w:cs="Calibri"/>
                <w:sz w:val="21"/>
                <w:szCs w:val="21"/>
              </w:rPr>
            </w:pPr>
            <w:r>
              <w:rPr>
                <w:rFonts w:ascii="Calibri" w:hAnsi="Calibri" w:eastAsia="Calibri" w:cs="Calibri"/>
                <w:sz w:val="21"/>
                <w:szCs w:val="21"/>
              </w:rPr>
              <w:t>/</w:t>
            </w:r>
          </w:p>
        </w:tc>
        <w:tc>
          <w:tcPr>
            <w:tcW w:w="1781" w:type="dxa"/>
            <w:vAlign w:val="top"/>
          </w:tcPr>
          <w:p>
            <w:pPr>
              <w:pStyle w:val="TableText"/>
              <w:ind w:left="581"/>
              <w:spacing w:before="185" w:line="222" w:lineRule="auto"/>
              <w:rPr/>
            </w:pPr>
            <w:r>
              <w:rPr>
                <w:spacing w:val="-1"/>
              </w:rPr>
              <w:t>病死牛</w:t>
            </w:r>
          </w:p>
        </w:tc>
        <w:tc>
          <w:tcPr>
            <w:tcW w:w="2302" w:type="dxa"/>
            <w:vAlign w:val="top"/>
            <w:gridSpan w:val="2"/>
          </w:tcPr>
          <w:p>
            <w:pPr>
              <w:ind w:left="998"/>
              <w:spacing w:before="21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6t/a</w:t>
            </w:r>
          </w:p>
        </w:tc>
        <w:tc>
          <w:tcPr>
            <w:tcW w:w="2794" w:type="dxa"/>
            <w:vAlign w:val="top"/>
          </w:tcPr>
          <w:p>
            <w:pPr>
              <w:pStyle w:val="TableText"/>
              <w:ind w:left="139"/>
              <w:spacing w:before="48" w:line="217" w:lineRule="auto"/>
              <w:rPr/>
            </w:pPr>
            <w:r>
              <w:rPr>
                <w:spacing w:val="-1"/>
              </w:rPr>
              <w:t>病死牛委托相关单位进行无</w:t>
            </w:r>
          </w:p>
          <w:p>
            <w:pPr>
              <w:pStyle w:val="TableText"/>
              <w:ind w:left="987"/>
              <w:spacing w:before="27" w:line="189" w:lineRule="auto"/>
              <w:rPr/>
            </w:pPr>
            <w:r>
              <w:rPr>
                <w:spacing w:val="-3"/>
              </w:rPr>
              <w:t>害化处置</w:t>
            </w:r>
          </w:p>
        </w:tc>
        <w:tc>
          <w:tcPr>
            <w:tcW w:w="2667" w:type="dxa"/>
            <w:vAlign w:val="top"/>
            <w:gridSpan w:val="2"/>
          </w:tcPr>
          <w:p>
            <w:pPr>
              <w:ind w:left="1282"/>
              <w:spacing w:before="201" w:line="266" w:lineRule="exact"/>
              <w:rPr>
                <w:rFonts w:ascii="Calibri" w:hAnsi="Calibri" w:eastAsia="Calibri" w:cs="Calibri"/>
                <w:sz w:val="21"/>
                <w:szCs w:val="21"/>
              </w:rPr>
            </w:pPr>
            <w:r>
              <w:rPr>
                <w:rFonts w:ascii="Calibri" w:hAnsi="Calibri" w:eastAsia="Calibri" w:cs="Calibri"/>
                <w:sz w:val="21"/>
                <w:szCs w:val="21"/>
                <w:position w:val="1"/>
              </w:rPr>
              <w:t>0</w:t>
            </w:r>
          </w:p>
        </w:tc>
        <w:tc>
          <w:tcPr>
            <w:tcW w:w="2138" w:type="dxa"/>
            <w:vAlign w:val="top"/>
          </w:tcPr>
          <w:p>
            <w:pPr>
              <w:pStyle w:val="TableText"/>
              <w:ind w:left="337" w:right="118" w:hanging="210"/>
              <w:spacing w:before="48" w:line="215" w:lineRule="auto"/>
              <w:rPr/>
            </w:pPr>
            <w:r>
              <w:rPr>
                <w:spacing w:val="-1"/>
              </w:rPr>
              <w:t>病死牛委托相关单位</w:t>
            </w:r>
            <w:r>
              <w:rPr>
                <w:spacing w:val="-1"/>
              </w:rPr>
              <w:t>进行无害化处置</w:t>
            </w:r>
          </w:p>
        </w:tc>
        <w:tc>
          <w:tcPr>
            <w:tcW w:w="660" w:type="dxa"/>
            <w:vAlign w:val="top"/>
            <w:vMerge w:val="continue"/>
            <w:tcBorders>
              <w:bottom w:val="nil"/>
              <w:right w:val="nil"/>
              <w:top w:val="nil"/>
            </w:tcBorders>
          </w:tcPr>
          <w:p>
            <w:pPr>
              <w:rPr>
                <w:rFonts w:ascii="Arial"/>
                <w:sz w:val="21"/>
              </w:rPr>
            </w:pPr>
            <w:r/>
          </w:p>
        </w:tc>
      </w:tr>
      <w:tr>
        <w:trPr>
          <w:trHeight w:val="318" w:hRule="atLeast"/>
        </w:trPr>
        <w:tc>
          <w:tcPr>
            <w:tcW w:w="607" w:type="dxa"/>
            <w:vAlign w:val="top"/>
            <w:vMerge w:val="continue"/>
            <w:textDirection w:val="tbRlV"/>
            <w:tcBorders>
              <w:bottom w:val="nil"/>
              <w:left w:val="nil"/>
              <w:top w:val="nil"/>
            </w:tcBorders>
          </w:tcPr>
          <w:p>
            <w:pPr>
              <w:rPr>
                <w:rFonts w:ascii="Arial"/>
                <w:sz w:val="21"/>
              </w:rPr>
            </w:pPr>
            <w:r/>
          </w:p>
        </w:tc>
        <w:tc>
          <w:tcPr>
            <w:tcW w:w="1224" w:type="dxa"/>
            <w:vAlign w:val="top"/>
            <w:vMerge w:val="restart"/>
            <w:tcBorders>
              <w:bottom w:val="nil"/>
            </w:tcBorders>
          </w:tcPr>
          <w:p>
            <w:pPr>
              <w:pStyle w:val="TableText"/>
              <w:ind w:left="307" w:right="188" w:hanging="109"/>
              <w:spacing w:before="95" w:line="234" w:lineRule="auto"/>
              <w:rPr/>
            </w:pPr>
            <w:r>
              <w:rPr>
                <w:spacing w:val="-3"/>
              </w:rPr>
              <w:t>危险废物</w:t>
            </w:r>
            <w:r>
              <w:rPr>
                <w:spacing w:val="-3"/>
              </w:rPr>
              <w:t>暂存间</w:t>
            </w:r>
          </w:p>
        </w:tc>
        <w:tc>
          <w:tcPr>
            <w:tcW w:w="1781" w:type="dxa"/>
            <w:vAlign w:val="top"/>
          </w:tcPr>
          <w:p>
            <w:pPr>
              <w:pStyle w:val="TableText"/>
              <w:ind w:left="490"/>
              <w:spacing w:before="72" w:line="207" w:lineRule="auto"/>
              <w:rPr/>
            </w:pPr>
            <w:r>
              <w:rPr>
                <w:spacing w:val="-5"/>
              </w:rPr>
              <w:t>防疫废物</w:t>
            </w:r>
          </w:p>
        </w:tc>
        <w:tc>
          <w:tcPr>
            <w:tcW w:w="2302" w:type="dxa"/>
            <w:vAlign w:val="top"/>
            <w:gridSpan w:val="2"/>
          </w:tcPr>
          <w:p>
            <w:pPr>
              <w:ind w:left="918"/>
              <w:spacing w:before="9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0.5t/a</w:t>
            </w:r>
          </w:p>
        </w:tc>
        <w:tc>
          <w:tcPr>
            <w:tcW w:w="2794" w:type="dxa"/>
            <w:vAlign w:val="top"/>
            <w:vMerge w:val="restart"/>
            <w:tcBorders>
              <w:bottom w:val="nil"/>
            </w:tcBorders>
          </w:tcPr>
          <w:p>
            <w:pPr>
              <w:pStyle w:val="TableText"/>
              <w:ind w:left="456"/>
              <w:spacing w:before="232" w:line="217" w:lineRule="auto"/>
              <w:rPr/>
            </w:pPr>
            <w:r>
              <w:rPr>
                <w:spacing w:val="-1"/>
              </w:rPr>
              <w:t>委托有资质单位处理</w:t>
            </w:r>
          </w:p>
        </w:tc>
        <w:tc>
          <w:tcPr>
            <w:tcW w:w="2667" w:type="dxa"/>
            <w:vAlign w:val="top"/>
            <w:gridSpan w:val="2"/>
          </w:tcPr>
          <w:p>
            <w:pPr>
              <w:ind w:left="1282"/>
              <w:spacing w:before="87" w:line="206"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restart"/>
            <w:tcBorders>
              <w:bottom w:val="nil"/>
            </w:tcBorders>
          </w:tcPr>
          <w:p>
            <w:pPr>
              <w:pStyle w:val="TableText"/>
              <w:ind w:left="127"/>
              <w:spacing w:before="232" w:line="217" w:lineRule="auto"/>
              <w:rPr/>
            </w:pPr>
            <w:r>
              <w:rPr>
                <w:spacing w:val="-1"/>
              </w:rPr>
              <w:t>委托有资质单位处理</w:t>
            </w:r>
          </w:p>
        </w:tc>
        <w:tc>
          <w:tcPr>
            <w:tcW w:w="660" w:type="dxa"/>
            <w:vAlign w:val="top"/>
            <w:vMerge w:val="continue"/>
            <w:tcBorders>
              <w:bottom w:val="nil"/>
              <w:right w:val="nil"/>
              <w:top w:val="nil"/>
            </w:tcBorders>
          </w:tcPr>
          <w:p>
            <w:pPr>
              <w:rPr>
                <w:rFonts w:ascii="Arial"/>
                <w:sz w:val="21"/>
              </w:rPr>
            </w:pPr>
            <w:r/>
          </w:p>
        </w:tc>
      </w:tr>
      <w:tr>
        <w:trPr>
          <w:trHeight w:val="315" w:hRule="atLeast"/>
        </w:trPr>
        <w:tc>
          <w:tcPr>
            <w:tcW w:w="607" w:type="dxa"/>
            <w:vAlign w:val="top"/>
            <w:vMerge w:val="continue"/>
            <w:textDirection w:val="tbRlV"/>
            <w:tcBorders>
              <w:bottom w:val="nil"/>
              <w:left w:val="nil"/>
              <w:top w:val="nil"/>
            </w:tcBorders>
          </w:tcPr>
          <w:p>
            <w:pPr>
              <w:rPr>
                <w:rFonts w:ascii="Arial"/>
                <w:sz w:val="21"/>
              </w:rPr>
            </w:pPr>
            <w:r/>
          </w:p>
        </w:tc>
        <w:tc>
          <w:tcPr>
            <w:tcW w:w="1224" w:type="dxa"/>
            <w:vAlign w:val="top"/>
            <w:vMerge w:val="continue"/>
            <w:tcBorders>
              <w:top w:val="nil"/>
            </w:tcBorders>
          </w:tcPr>
          <w:p>
            <w:pPr>
              <w:rPr>
                <w:rFonts w:ascii="Arial"/>
                <w:sz w:val="21"/>
              </w:rPr>
            </w:pPr>
            <w:r/>
          </w:p>
        </w:tc>
        <w:tc>
          <w:tcPr>
            <w:tcW w:w="1781" w:type="dxa"/>
            <w:vAlign w:val="top"/>
          </w:tcPr>
          <w:p>
            <w:pPr>
              <w:pStyle w:val="TableText"/>
              <w:ind w:left="166"/>
              <w:spacing w:before="70" w:line="206" w:lineRule="auto"/>
              <w:rPr/>
            </w:pPr>
            <w:r>
              <w:rPr>
                <w:spacing w:val="-2"/>
              </w:rPr>
              <w:t>消毒剂废包装袋</w:t>
            </w:r>
          </w:p>
        </w:tc>
        <w:tc>
          <w:tcPr>
            <w:tcW w:w="2302" w:type="dxa"/>
            <w:vAlign w:val="top"/>
            <w:gridSpan w:val="2"/>
          </w:tcPr>
          <w:p>
            <w:pPr>
              <w:ind w:left="918"/>
              <w:spacing w:before="10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0.1t/a</w:t>
            </w:r>
          </w:p>
        </w:tc>
        <w:tc>
          <w:tcPr>
            <w:tcW w:w="2794" w:type="dxa"/>
            <w:vAlign w:val="top"/>
            <w:vMerge w:val="continue"/>
            <w:tcBorders>
              <w:top w:val="nil"/>
            </w:tcBorders>
          </w:tcPr>
          <w:p>
            <w:pPr>
              <w:rPr>
                <w:rFonts w:ascii="Arial"/>
                <w:sz w:val="21"/>
              </w:rPr>
            </w:pPr>
            <w:r/>
          </w:p>
        </w:tc>
        <w:tc>
          <w:tcPr>
            <w:tcW w:w="2667" w:type="dxa"/>
            <w:vAlign w:val="top"/>
            <w:gridSpan w:val="2"/>
          </w:tcPr>
          <w:p>
            <w:pPr>
              <w:ind w:left="1282"/>
              <w:spacing w:before="89" w:line="202"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continue"/>
            <w:tcBorders>
              <w:top w:val="nil"/>
            </w:tcBorders>
          </w:tcPr>
          <w:p>
            <w:pPr>
              <w:rPr>
                <w:rFonts w:ascii="Arial"/>
                <w:sz w:val="21"/>
              </w:rPr>
            </w:pPr>
            <w:r/>
          </w:p>
        </w:tc>
        <w:tc>
          <w:tcPr>
            <w:tcW w:w="660" w:type="dxa"/>
            <w:vAlign w:val="top"/>
            <w:vMerge w:val="continue"/>
            <w:tcBorders>
              <w:bottom w:val="nil"/>
              <w:right w:val="nil"/>
              <w:top w:val="nil"/>
            </w:tcBorders>
          </w:tcPr>
          <w:p>
            <w:pPr>
              <w:rPr>
                <w:rFonts w:ascii="Arial"/>
                <w:sz w:val="21"/>
              </w:rPr>
            </w:pPr>
            <w:r/>
          </w:p>
        </w:tc>
      </w:tr>
      <w:tr>
        <w:trPr>
          <w:trHeight w:val="277" w:hRule="atLeast"/>
        </w:trPr>
        <w:tc>
          <w:tcPr>
            <w:tcW w:w="607" w:type="dxa"/>
            <w:vAlign w:val="top"/>
            <w:vMerge w:val="continue"/>
            <w:textDirection w:val="tbRlV"/>
            <w:tcBorders>
              <w:bottom w:val="nil"/>
              <w:left w:val="nil"/>
              <w:top w:val="nil"/>
            </w:tcBorders>
          </w:tcPr>
          <w:p>
            <w:pPr>
              <w:rPr>
                <w:rFonts w:ascii="Arial"/>
                <w:sz w:val="21"/>
              </w:rPr>
            </w:pPr>
            <w:r/>
          </w:p>
        </w:tc>
        <w:tc>
          <w:tcPr>
            <w:tcW w:w="1224" w:type="dxa"/>
            <w:vAlign w:val="top"/>
          </w:tcPr>
          <w:p>
            <w:pPr>
              <w:pStyle w:val="TableText"/>
              <w:ind w:left="303"/>
              <w:spacing w:before="53" w:line="188" w:lineRule="auto"/>
              <w:rPr/>
            </w:pPr>
            <w:r>
              <w:rPr>
                <w:spacing w:val="-2"/>
              </w:rPr>
              <w:t>垃圾箱</w:t>
            </w:r>
          </w:p>
        </w:tc>
        <w:tc>
          <w:tcPr>
            <w:tcW w:w="1781" w:type="dxa"/>
            <w:vAlign w:val="top"/>
          </w:tcPr>
          <w:p>
            <w:pPr>
              <w:pStyle w:val="TableText"/>
              <w:ind w:left="478"/>
              <w:spacing w:before="53" w:line="188" w:lineRule="auto"/>
              <w:rPr/>
            </w:pPr>
            <w:r>
              <w:rPr>
                <w:spacing w:val="-2"/>
              </w:rPr>
              <w:t>生活垃圾</w:t>
            </w:r>
          </w:p>
        </w:tc>
        <w:tc>
          <w:tcPr>
            <w:tcW w:w="2302" w:type="dxa"/>
            <w:vAlign w:val="top"/>
            <w:gridSpan w:val="2"/>
          </w:tcPr>
          <w:p>
            <w:pPr>
              <w:ind w:left="832"/>
              <w:spacing w:before="8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1.825t/a</w:t>
            </w:r>
          </w:p>
        </w:tc>
        <w:tc>
          <w:tcPr>
            <w:tcW w:w="2794" w:type="dxa"/>
            <w:vAlign w:val="top"/>
            <w:vMerge w:val="restart"/>
            <w:tcBorders>
              <w:bottom w:val="nil"/>
            </w:tcBorders>
          </w:tcPr>
          <w:p>
            <w:pPr>
              <w:pStyle w:val="TableText"/>
              <w:ind w:left="145"/>
              <w:spacing w:before="59" w:line="221" w:lineRule="auto"/>
              <w:rPr/>
            </w:pPr>
            <w:r>
              <w:rPr>
                <w:spacing w:val="-1"/>
              </w:rPr>
              <w:t>定期交由环卫部门进行统一</w:t>
            </w:r>
          </w:p>
          <w:p>
            <w:pPr>
              <w:pStyle w:val="TableText"/>
              <w:ind w:left="1196"/>
              <w:spacing w:before="20" w:line="212" w:lineRule="auto"/>
              <w:rPr/>
            </w:pPr>
            <w:r>
              <w:rPr>
                <w:spacing w:val="-3"/>
              </w:rPr>
              <w:t>处理</w:t>
            </w:r>
          </w:p>
        </w:tc>
        <w:tc>
          <w:tcPr>
            <w:tcW w:w="2667" w:type="dxa"/>
            <w:vAlign w:val="top"/>
            <w:gridSpan w:val="2"/>
          </w:tcPr>
          <w:p>
            <w:pPr>
              <w:ind w:left="1282"/>
              <w:spacing w:before="71" w:line="183"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restart"/>
            <w:tcBorders>
              <w:bottom w:val="nil"/>
            </w:tcBorders>
          </w:tcPr>
          <w:p>
            <w:pPr>
              <w:pStyle w:val="TableText"/>
              <w:ind w:left="551" w:right="118" w:hanging="418"/>
              <w:spacing w:before="61" w:line="225" w:lineRule="auto"/>
              <w:rPr/>
            </w:pPr>
            <w:r>
              <w:rPr>
                <w:spacing w:val="-2"/>
              </w:rPr>
              <w:t>定期交由环卫部门进</w:t>
            </w:r>
            <w:r>
              <w:rPr>
                <w:spacing w:val="-2"/>
              </w:rPr>
              <w:t>行统一处理</w:t>
            </w:r>
          </w:p>
        </w:tc>
        <w:tc>
          <w:tcPr>
            <w:tcW w:w="660" w:type="dxa"/>
            <w:vAlign w:val="top"/>
            <w:vMerge w:val="continue"/>
            <w:tcBorders>
              <w:bottom w:val="nil"/>
              <w:right w:val="nil"/>
              <w:top w:val="nil"/>
            </w:tcBorders>
          </w:tcPr>
          <w:p>
            <w:pPr>
              <w:rPr>
                <w:rFonts w:ascii="Arial"/>
                <w:sz w:val="21"/>
              </w:rPr>
            </w:pPr>
            <w:r/>
          </w:p>
        </w:tc>
      </w:tr>
      <w:tr>
        <w:trPr>
          <w:trHeight w:val="301" w:hRule="atLeast"/>
        </w:trPr>
        <w:tc>
          <w:tcPr>
            <w:tcW w:w="607" w:type="dxa"/>
            <w:vAlign w:val="top"/>
            <w:vMerge w:val="continue"/>
            <w:textDirection w:val="tbRlV"/>
            <w:tcBorders>
              <w:bottom w:val="single" w:color="000000" w:sz="10" w:space="0"/>
              <w:left w:val="nil"/>
              <w:top w:val="nil"/>
            </w:tcBorders>
          </w:tcPr>
          <w:p>
            <w:pPr>
              <w:rPr>
                <w:rFonts w:ascii="Arial"/>
                <w:sz w:val="21"/>
              </w:rPr>
            </w:pPr>
            <w:r/>
          </w:p>
        </w:tc>
        <w:tc>
          <w:tcPr>
            <w:tcW w:w="1224" w:type="dxa"/>
            <w:vAlign w:val="top"/>
            <w:tcBorders>
              <w:bottom w:val="single" w:color="000000" w:sz="10" w:space="0"/>
            </w:tcBorders>
          </w:tcPr>
          <w:p>
            <w:pPr>
              <w:pStyle w:val="TableText"/>
              <w:ind w:left="308"/>
              <w:spacing w:before="54" w:line="208" w:lineRule="auto"/>
              <w:rPr/>
            </w:pPr>
            <w:r>
              <w:rPr>
                <w:spacing w:val="-3"/>
              </w:rPr>
              <w:t>收集桶</w:t>
            </w:r>
          </w:p>
        </w:tc>
        <w:tc>
          <w:tcPr>
            <w:tcW w:w="1781" w:type="dxa"/>
            <w:vAlign w:val="top"/>
            <w:tcBorders>
              <w:bottom w:val="single" w:color="000000" w:sz="10" w:space="0"/>
            </w:tcBorders>
          </w:tcPr>
          <w:p>
            <w:pPr>
              <w:pStyle w:val="TableText"/>
              <w:ind w:left="478"/>
              <w:spacing w:before="54" w:line="208" w:lineRule="auto"/>
              <w:rPr/>
            </w:pPr>
            <w:r>
              <w:rPr>
                <w:spacing w:val="-2"/>
              </w:rPr>
              <w:t>餐厨垃圾</w:t>
            </w:r>
          </w:p>
        </w:tc>
        <w:tc>
          <w:tcPr>
            <w:tcW w:w="2302" w:type="dxa"/>
            <w:vAlign w:val="top"/>
            <w:gridSpan w:val="2"/>
            <w:tcBorders>
              <w:bottom w:val="single" w:color="000000" w:sz="10" w:space="0"/>
            </w:tcBorders>
          </w:tcPr>
          <w:p>
            <w:pPr>
              <w:ind w:left="865"/>
              <w:spacing w:before="84"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0.73t/a</w:t>
            </w:r>
          </w:p>
        </w:tc>
        <w:tc>
          <w:tcPr>
            <w:tcW w:w="2794" w:type="dxa"/>
            <w:vAlign w:val="top"/>
            <w:vMerge w:val="continue"/>
            <w:tcBorders>
              <w:bottom w:val="single" w:color="000000" w:sz="10" w:space="0"/>
              <w:top w:val="nil"/>
            </w:tcBorders>
          </w:tcPr>
          <w:p>
            <w:pPr>
              <w:rPr>
                <w:rFonts w:ascii="Arial"/>
                <w:sz w:val="21"/>
              </w:rPr>
            </w:pPr>
            <w:r/>
          </w:p>
        </w:tc>
        <w:tc>
          <w:tcPr>
            <w:tcW w:w="2667" w:type="dxa"/>
            <w:vAlign w:val="top"/>
            <w:gridSpan w:val="2"/>
            <w:tcBorders>
              <w:bottom w:val="single" w:color="000000" w:sz="10" w:space="0"/>
            </w:tcBorders>
          </w:tcPr>
          <w:p>
            <w:pPr>
              <w:ind w:left="1282"/>
              <w:spacing w:before="69" w:line="207" w:lineRule="auto"/>
              <w:rPr>
                <w:rFonts w:ascii="Calibri" w:hAnsi="Calibri" w:eastAsia="Calibri" w:cs="Calibri"/>
                <w:sz w:val="21"/>
                <w:szCs w:val="21"/>
              </w:rPr>
            </w:pPr>
            <w:r>
              <w:rPr>
                <w:rFonts w:ascii="Calibri" w:hAnsi="Calibri" w:eastAsia="Calibri" w:cs="Calibri"/>
                <w:sz w:val="21"/>
                <w:szCs w:val="21"/>
              </w:rPr>
              <w:t>0</w:t>
            </w:r>
          </w:p>
        </w:tc>
        <w:tc>
          <w:tcPr>
            <w:tcW w:w="2138" w:type="dxa"/>
            <w:vAlign w:val="top"/>
            <w:vMerge w:val="continue"/>
            <w:tcBorders>
              <w:bottom w:val="single" w:color="000000" w:sz="10" w:space="0"/>
              <w:top w:val="nil"/>
            </w:tcBorders>
          </w:tcPr>
          <w:p>
            <w:pPr>
              <w:rPr>
                <w:rFonts w:ascii="Arial"/>
                <w:sz w:val="21"/>
              </w:rPr>
            </w:pPr>
            <w:r/>
          </w:p>
        </w:tc>
        <w:tc>
          <w:tcPr>
            <w:tcW w:w="660" w:type="dxa"/>
            <w:vAlign w:val="top"/>
            <w:vMerge w:val="continue"/>
            <w:tcBorders>
              <w:bottom w:val="single" w:color="000000" w:sz="10" w:space="0"/>
              <w:right w:val="nil"/>
              <w:top w:val="nil"/>
            </w:tcBorders>
          </w:tcPr>
          <w:p>
            <w:pPr>
              <w:rPr>
                <w:rFonts w:ascii="Arial"/>
                <w:sz w:val="21"/>
              </w:rPr>
            </w:pPr>
            <w:r/>
          </w:p>
        </w:tc>
      </w:tr>
    </w:tbl>
    <w:p>
      <w:pPr>
        <w:pStyle w:val="BodyText"/>
        <w:rPr/>
      </w:pPr>
      <w:r/>
    </w:p>
    <w:p>
      <w:pPr>
        <w:sectPr>
          <w:headerReference w:type="default" r:id="rId87"/>
          <w:pgSz w:w="16839" w:h="11907"/>
          <w:pgMar w:top="1390" w:right="1332" w:bottom="400" w:left="1331" w:header="1054" w:footer="0" w:gutter="0"/>
        </w:sectPr>
        <w:rPr/>
      </w:pPr>
    </w:p>
    <w:p>
      <w:pPr>
        <w:pStyle w:val="BodyText"/>
        <w:spacing w:line="266" w:lineRule="auto"/>
        <w:rPr/>
      </w:pPr>
      <w:r/>
    </w:p>
    <w:p>
      <w:pPr>
        <w:ind w:left="32"/>
        <w:spacing w:before="78" w:line="233" w:lineRule="auto"/>
        <w:outlineLvl w:val="1"/>
        <w:rPr>
          <w:rFonts w:ascii="SimSun" w:hAnsi="SimSun" w:eastAsia="SimSun" w:cs="SimSun"/>
          <w:sz w:val="24"/>
          <w:szCs w:val="24"/>
        </w:rPr>
      </w:pPr>
      <w:bookmarkStart w:name="bookmark21" w:id="25"/>
      <w:bookmarkEnd w:id="25"/>
      <w:r>
        <w:rPr>
          <w:rFonts w:ascii="Times New Roman" w:hAnsi="Times New Roman" w:eastAsia="Times New Roman" w:cs="Times New Roman"/>
          <w:sz w:val="24"/>
          <w:szCs w:val="24"/>
          <w:b/>
          <w:bCs/>
          <w:spacing w:val="-2"/>
        </w:rPr>
        <w:t>3.4 </w:t>
      </w:r>
      <w:r>
        <w:rPr>
          <w:rFonts w:ascii="SimSun" w:hAnsi="SimSun" w:eastAsia="SimSun" w:cs="SimSun"/>
          <w:sz w:val="24"/>
          <w:szCs w:val="24"/>
          <w:b/>
          <w:bCs/>
          <w:spacing w:val="-2"/>
        </w:rPr>
        <w:t>清洁生产分析</w:t>
      </w:r>
    </w:p>
    <w:p>
      <w:pPr>
        <w:pStyle w:val="BodyText"/>
        <w:spacing w:line="341" w:lineRule="auto"/>
        <w:rPr/>
      </w:pPr>
      <w:r/>
    </w:p>
    <w:p>
      <w:pPr>
        <w:ind w:left="40" w:right="75" w:firstLine="478"/>
        <w:spacing w:before="78" w:line="359" w:lineRule="auto"/>
        <w:rPr>
          <w:rFonts w:ascii="SimSun" w:hAnsi="SimSun" w:eastAsia="SimSun" w:cs="SimSun"/>
          <w:sz w:val="24"/>
          <w:szCs w:val="24"/>
        </w:rPr>
      </w:pPr>
      <w:r>
        <w:rPr>
          <w:rFonts w:ascii="SimSun" w:hAnsi="SimSun" w:eastAsia="SimSun" w:cs="SimSun"/>
          <w:sz w:val="24"/>
          <w:szCs w:val="24"/>
          <w:spacing w:val="2"/>
        </w:rPr>
        <w:t>本项目从原辅材料、产品、生产工艺、设备先进性、节能降耗和废物资源化</w:t>
      </w:r>
      <w:r>
        <w:rPr>
          <w:rFonts w:ascii="SimSun" w:hAnsi="SimSun" w:eastAsia="SimSun" w:cs="SimSun"/>
          <w:sz w:val="24"/>
          <w:szCs w:val="24"/>
          <w:spacing w:val="-4"/>
        </w:rPr>
        <w:t>等方面对项目的清洁性进行分析，具体如下：</w:t>
      </w:r>
    </w:p>
    <w:p>
      <w:pPr>
        <w:ind w:left="524"/>
        <w:spacing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）原料清洁性分析</w:t>
      </w:r>
    </w:p>
    <w:p>
      <w:pPr>
        <w:ind w:left="39" w:right="66" w:firstLine="479"/>
        <w:spacing w:before="162" w:line="359" w:lineRule="auto"/>
        <w:rPr>
          <w:rFonts w:ascii="SimSun" w:hAnsi="SimSun" w:eastAsia="SimSun" w:cs="SimSun"/>
          <w:sz w:val="24"/>
          <w:szCs w:val="24"/>
        </w:rPr>
      </w:pPr>
      <w:r>
        <w:rPr>
          <w:rFonts w:ascii="SimSun" w:hAnsi="SimSun" w:eastAsia="SimSun" w:cs="SimSun"/>
          <w:sz w:val="24"/>
          <w:szCs w:val="24"/>
          <w:spacing w:val="3"/>
        </w:rPr>
        <w:t>本项目外购全价料主要原料，本项目不含有毒有害物质，所使</w:t>
      </w:r>
      <w:r>
        <w:rPr>
          <w:rFonts w:ascii="SimSun" w:hAnsi="SimSun" w:eastAsia="SimSun" w:cs="SimSun"/>
          <w:sz w:val="24"/>
          <w:szCs w:val="24"/>
          <w:spacing w:val="2"/>
        </w:rPr>
        <w:t>用的饲料不含</w:t>
      </w:r>
      <w:r>
        <w:rPr>
          <w:rFonts w:ascii="SimSun" w:hAnsi="SimSun" w:eastAsia="SimSun" w:cs="SimSun"/>
          <w:sz w:val="24"/>
          <w:szCs w:val="24"/>
          <w:spacing w:val="-5"/>
        </w:rPr>
        <w:t>兴奋剂、镇静剂和各种违禁药品，</w:t>
      </w:r>
      <w:r>
        <w:rPr>
          <w:rFonts w:ascii="SimSun" w:hAnsi="SimSun" w:eastAsia="SimSun" w:cs="SimSun"/>
          <w:sz w:val="24"/>
          <w:szCs w:val="24"/>
          <w:spacing w:val="63"/>
        </w:rPr>
        <w:t xml:space="preserve"> </w:t>
      </w:r>
      <w:r>
        <w:rPr>
          <w:rFonts w:ascii="SimSun" w:hAnsi="SimSun" w:eastAsia="SimSun" w:cs="SimSun"/>
          <w:sz w:val="24"/>
          <w:szCs w:val="24"/>
          <w:spacing w:val="-5"/>
        </w:rPr>
        <w:t>各种饲料添加剂均不超标，符合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GB13</w:t>
      </w:r>
      <w:r>
        <w:rPr>
          <w:rFonts w:ascii="Times New Roman" w:hAnsi="Times New Roman" w:eastAsia="Times New Roman" w:cs="Times New Roman"/>
          <w:sz w:val="24"/>
          <w:szCs w:val="24"/>
          <w:spacing w:val="-6"/>
        </w:rPr>
        <w:t>078-2017</w:t>
      </w:r>
      <w:r>
        <w:rPr>
          <w:rFonts w:ascii="Times New Roman" w:hAnsi="Times New Roman" w:eastAsia="Times New Roman" w:cs="Times New Roman"/>
          <w:sz w:val="24"/>
          <w:szCs w:val="24"/>
        </w:rPr>
        <w:t xml:space="preserve"> </w:t>
      </w:r>
      <w:r>
        <w:rPr>
          <w:rFonts w:ascii="SimSun" w:hAnsi="SimSun" w:eastAsia="SimSun" w:cs="SimSun"/>
          <w:sz w:val="24"/>
          <w:szCs w:val="24"/>
          <w:spacing w:val="2"/>
        </w:rPr>
        <w:t>《饲料卫生标准》及《饲料和饲料添加剂管理条例》中的相关规定，保证了饲料</w:t>
      </w:r>
      <w:r>
        <w:rPr>
          <w:rFonts w:ascii="SimSun" w:hAnsi="SimSun" w:eastAsia="SimSun" w:cs="SimSun"/>
          <w:sz w:val="24"/>
          <w:szCs w:val="24"/>
          <w:spacing w:val="2"/>
        </w:rPr>
        <w:t>的清洁性、营养性和安全性，避免了由原料带来的危害和损失，综上所述，本项</w:t>
      </w:r>
      <w:r>
        <w:rPr>
          <w:rFonts w:ascii="SimSun" w:hAnsi="SimSun" w:eastAsia="SimSun" w:cs="SimSun"/>
          <w:sz w:val="24"/>
          <w:szCs w:val="24"/>
          <w:spacing w:val="-2"/>
        </w:rPr>
        <w:t>目饲料属清洁原料，符合清洁生产不用或少用有毒有害原料的要求。</w:t>
      </w:r>
    </w:p>
    <w:p>
      <w:pPr>
        <w:ind w:left="524"/>
        <w:spacing w:before="1"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）产品清洁性分析</w:t>
      </w:r>
    </w:p>
    <w:p>
      <w:pPr>
        <w:ind w:left="519"/>
        <w:spacing w:before="164" w:line="219" w:lineRule="auto"/>
        <w:rPr>
          <w:rFonts w:ascii="SimSun" w:hAnsi="SimSun" w:eastAsia="SimSun" w:cs="SimSun"/>
          <w:sz w:val="24"/>
          <w:szCs w:val="24"/>
        </w:rPr>
      </w:pPr>
      <w:r>
        <w:rPr>
          <w:rFonts w:ascii="SimSun" w:hAnsi="SimSun" w:eastAsia="SimSun" w:cs="SimSun"/>
          <w:sz w:val="24"/>
          <w:szCs w:val="24"/>
          <w:spacing w:val="-2"/>
        </w:rPr>
        <w:t>本项目产品为育肥牛，不属于有毒有害产品，符合清洁生产要求。</w:t>
      </w:r>
    </w:p>
    <w:p>
      <w:pPr>
        <w:ind w:left="524"/>
        <w:spacing w:before="18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）生产工艺先进性</w:t>
      </w:r>
    </w:p>
    <w:p>
      <w:pPr>
        <w:ind w:left="39" w:firstLine="479"/>
        <w:spacing w:before="163" w:line="359" w:lineRule="auto"/>
        <w:rPr>
          <w:rFonts w:ascii="SimSun" w:hAnsi="SimSun" w:eastAsia="SimSun" w:cs="SimSun"/>
          <w:sz w:val="24"/>
          <w:szCs w:val="24"/>
        </w:rPr>
      </w:pPr>
      <w:r>
        <w:rPr>
          <w:rFonts w:ascii="SimSun" w:hAnsi="SimSun" w:eastAsia="SimSun" w:cs="SimSun"/>
          <w:sz w:val="24"/>
          <w:szCs w:val="24"/>
          <w:spacing w:val="3"/>
        </w:rPr>
        <w:t>本项目育肥牛全部外购优质肉牛，不在厂区进行繁育，采</w:t>
      </w:r>
      <w:r>
        <w:rPr>
          <w:rFonts w:ascii="SimSun" w:hAnsi="SimSun" w:eastAsia="SimSun" w:cs="SimSun"/>
          <w:sz w:val="24"/>
          <w:szCs w:val="24"/>
          <w:spacing w:val="2"/>
        </w:rPr>
        <w:t>用先进的科学饲养</w:t>
      </w:r>
      <w:r>
        <w:rPr>
          <w:rFonts w:ascii="SimSun" w:hAnsi="SimSun" w:eastAsia="SimSun" w:cs="SimSun"/>
          <w:sz w:val="24"/>
          <w:szCs w:val="24"/>
          <w:spacing w:val="3"/>
        </w:rPr>
        <w:t>方式，每栋牛舍各配置一套全自动化智能饲喂</w:t>
      </w:r>
      <w:r>
        <w:rPr>
          <w:rFonts w:ascii="SimSun" w:hAnsi="SimSun" w:eastAsia="SimSun" w:cs="SimSun"/>
          <w:sz w:val="24"/>
          <w:szCs w:val="24"/>
          <w:spacing w:val="2"/>
        </w:rPr>
        <w:t>装置，并实行科学的分段饲养，定</w:t>
      </w:r>
      <w:r>
        <w:rPr>
          <w:rFonts w:ascii="SimSun" w:hAnsi="SimSun" w:eastAsia="SimSun" w:cs="SimSun"/>
          <w:sz w:val="24"/>
          <w:szCs w:val="24"/>
          <w:spacing w:val="-2"/>
        </w:rPr>
        <w:t>时喂食，自动饮水。同时加强牛舍环境管理，及时清理牛舍内</w:t>
      </w:r>
      <w:r>
        <w:rPr>
          <w:rFonts w:ascii="SimSun" w:hAnsi="SimSun" w:eastAsia="SimSun" w:cs="SimSun"/>
          <w:sz w:val="24"/>
          <w:szCs w:val="24"/>
          <w:spacing w:val="-3"/>
        </w:rPr>
        <w:t>的粪便，定期消毒，</w:t>
      </w:r>
      <w:r>
        <w:rPr>
          <w:rFonts w:ascii="SimSun" w:hAnsi="SimSun" w:eastAsia="SimSun" w:cs="SimSun"/>
          <w:sz w:val="24"/>
          <w:szCs w:val="24"/>
          <w:spacing w:val="-2"/>
        </w:rPr>
        <w:t>保证了干净整洁的饲养环境，有效保证产品品质优良。</w:t>
      </w:r>
    </w:p>
    <w:p>
      <w:pPr>
        <w:ind w:left="520"/>
        <w:spacing w:before="1" w:line="218" w:lineRule="auto"/>
        <w:rPr>
          <w:rFonts w:ascii="SimSun" w:hAnsi="SimSun" w:eastAsia="SimSun" w:cs="SimSun"/>
          <w:sz w:val="24"/>
          <w:szCs w:val="24"/>
        </w:rPr>
      </w:pPr>
      <w:r>
        <w:rPr>
          <w:rFonts w:ascii="SimSun" w:hAnsi="SimSun" w:eastAsia="SimSun" w:cs="SimSun"/>
          <w:sz w:val="24"/>
          <w:szCs w:val="24"/>
          <w:spacing w:val="-3"/>
        </w:rPr>
        <w:t>综上所述，本项目符合清洁生产要求。</w:t>
      </w:r>
    </w:p>
    <w:p>
      <w:pPr>
        <w:ind w:left="524"/>
        <w:spacing w:before="18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）生产设备先进性</w:t>
      </w:r>
    </w:p>
    <w:p>
      <w:pPr>
        <w:ind w:left="39" w:right="69" w:firstLine="479"/>
        <w:spacing w:before="164" w:line="359" w:lineRule="auto"/>
        <w:rPr>
          <w:rFonts w:ascii="SimSun" w:hAnsi="SimSun" w:eastAsia="SimSun" w:cs="SimSun"/>
          <w:sz w:val="24"/>
          <w:szCs w:val="24"/>
        </w:rPr>
      </w:pPr>
      <w:r>
        <w:rPr>
          <w:rFonts w:ascii="SimSun" w:hAnsi="SimSun" w:eastAsia="SimSun" w:cs="SimSun"/>
          <w:sz w:val="24"/>
          <w:szCs w:val="24"/>
          <w:spacing w:val="2"/>
        </w:rPr>
        <w:t>本项目饲养设备包括各类牛栏、喂料、饮水、牛舍环境控制、防疫消毒、兽</w:t>
      </w:r>
      <w:r>
        <w:rPr>
          <w:rFonts w:ascii="SimSun" w:hAnsi="SimSun" w:eastAsia="SimSun" w:cs="SimSun"/>
          <w:sz w:val="24"/>
          <w:szCs w:val="24"/>
          <w:spacing w:val="3"/>
        </w:rPr>
        <w:t>医治疗、配种繁育等一系列配套的专业设备。</w:t>
      </w:r>
      <w:r>
        <w:rPr>
          <w:rFonts w:ascii="SimSun" w:hAnsi="SimSun" w:eastAsia="SimSun" w:cs="SimSun"/>
          <w:sz w:val="24"/>
          <w:szCs w:val="24"/>
          <w:spacing w:val="2"/>
        </w:rPr>
        <w:t>自动饲喂系统可实现饲料全程机械</w:t>
      </w:r>
      <w:r>
        <w:rPr>
          <w:rFonts w:ascii="SimSun" w:hAnsi="SimSun" w:eastAsia="SimSun" w:cs="SimSun"/>
          <w:sz w:val="24"/>
          <w:szCs w:val="24"/>
          <w:spacing w:val="-3"/>
        </w:rPr>
        <w:t>化操作，避免饲料污染，保证饲料安全卫生。</w:t>
      </w:r>
    </w:p>
    <w:p>
      <w:pPr>
        <w:ind w:left="520"/>
        <w:spacing w:before="1" w:line="218" w:lineRule="auto"/>
        <w:rPr>
          <w:rFonts w:ascii="SimSun" w:hAnsi="SimSun" w:eastAsia="SimSun" w:cs="SimSun"/>
          <w:sz w:val="24"/>
          <w:szCs w:val="24"/>
        </w:rPr>
      </w:pPr>
      <w:r>
        <w:rPr>
          <w:rFonts w:ascii="SimSun" w:hAnsi="SimSun" w:eastAsia="SimSun" w:cs="SimSun"/>
          <w:sz w:val="24"/>
          <w:szCs w:val="24"/>
          <w:spacing w:val="-3"/>
        </w:rPr>
        <w:t>综上所述，本项目生产设备较为先进。</w:t>
      </w:r>
    </w:p>
    <w:p>
      <w:pPr>
        <w:ind w:left="524"/>
        <w:spacing w:before="182"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）节能降耗措施</w:t>
      </w:r>
    </w:p>
    <w:p>
      <w:pPr>
        <w:ind w:left="38" w:right="64" w:firstLine="481"/>
        <w:spacing w:before="162" w:line="358" w:lineRule="auto"/>
        <w:rPr>
          <w:rFonts w:ascii="SimSun" w:hAnsi="SimSun" w:eastAsia="SimSun" w:cs="SimSun"/>
          <w:sz w:val="24"/>
          <w:szCs w:val="24"/>
        </w:rPr>
      </w:pPr>
      <w:r>
        <w:rPr>
          <w:rFonts w:ascii="SimSun" w:hAnsi="SimSun" w:eastAsia="SimSun" w:cs="SimSun"/>
          <w:sz w:val="24"/>
          <w:szCs w:val="24"/>
          <w:spacing w:val="3"/>
        </w:rPr>
        <w:t>我国是能源消耗大国，仅次于俄罗斯和美国，居于世</w:t>
      </w:r>
      <w:r>
        <w:rPr>
          <w:rFonts w:ascii="SimSun" w:hAnsi="SimSun" w:eastAsia="SimSun" w:cs="SimSun"/>
          <w:sz w:val="24"/>
          <w:szCs w:val="24"/>
          <w:spacing w:val="2"/>
        </w:rPr>
        <w:t>界第三位，可是我国的</w:t>
      </w:r>
      <w:r>
        <w:rPr>
          <w:rFonts w:ascii="SimSun" w:hAnsi="SimSun" w:eastAsia="SimSun" w:cs="SimSun"/>
          <w:sz w:val="24"/>
          <w:szCs w:val="24"/>
          <w:spacing w:val="-2"/>
        </w:rPr>
        <w:t>能源利用率很低，只有</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30%</w:t>
      </w:r>
      <w:r>
        <w:rPr>
          <w:rFonts w:ascii="SimSun" w:hAnsi="SimSun" w:eastAsia="SimSun" w:cs="SimSun"/>
          <w:sz w:val="24"/>
          <w:szCs w:val="24"/>
          <w:spacing w:val="-2"/>
        </w:rPr>
        <w:t>，仅仅是日本的</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50%</w:t>
      </w:r>
      <w:r>
        <w:rPr>
          <w:rFonts w:ascii="SimSun" w:hAnsi="SimSun" w:eastAsia="SimSun" w:cs="SimSun"/>
          <w:sz w:val="24"/>
          <w:szCs w:val="24"/>
          <w:spacing w:val="-2"/>
        </w:rPr>
        <w:t>，美国的 </w:t>
      </w:r>
      <w:r>
        <w:rPr>
          <w:rFonts w:ascii="Times New Roman" w:hAnsi="Times New Roman" w:eastAsia="Times New Roman" w:cs="Times New Roman"/>
          <w:sz w:val="24"/>
          <w:szCs w:val="24"/>
          <w:spacing w:val="-2"/>
        </w:rPr>
        <w:t>60%</w:t>
      </w:r>
      <w:r>
        <w:rPr>
          <w:rFonts w:ascii="SimSun" w:hAnsi="SimSun" w:eastAsia="SimSun" w:cs="SimSun"/>
          <w:sz w:val="24"/>
          <w:szCs w:val="24"/>
          <w:spacing w:val="-2"/>
        </w:rPr>
        <w:t>。这一数据说明我</w:t>
      </w:r>
      <w:r>
        <w:rPr>
          <w:rFonts w:ascii="SimSun" w:hAnsi="SimSun" w:eastAsia="SimSun" w:cs="SimSun"/>
          <w:sz w:val="24"/>
          <w:szCs w:val="24"/>
          <w:spacing w:val="2"/>
        </w:rPr>
        <w:t>国在能源的开发利用上还很落后，但同时也反映出节约能源的潜力很大。本项目</w:t>
      </w:r>
      <w:r>
        <w:rPr>
          <w:rFonts w:ascii="SimSun" w:hAnsi="SimSun" w:eastAsia="SimSun" w:cs="SimSun"/>
          <w:sz w:val="24"/>
          <w:szCs w:val="24"/>
          <w:spacing w:val="-6"/>
        </w:rPr>
        <w:t>所采取的节能措施如下：</w:t>
      </w:r>
    </w:p>
    <w:p>
      <w:pPr>
        <w:ind w:left="517"/>
        <w:spacing w:before="9" w:line="217" w:lineRule="auto"/>
        <w:rPr>
          <w:rFonts w:ascii="SimSun" w:hAnsi="SimSun" w:eastAsia="SimSun" w:cs="SimSun"/>
          <w:sz w:val="24"/>
          <w:szCs w:val="24"/>
        </w:rPr>
      </w:pPr>
      <w:r>
        <w:rPr>
          <w:rFonts w:ascii="SimSun" w:hAnsi="SimSun" w:eastAsia="SimSun" w:cs="SimSun"/>
          <w:sz w:val="24"/>
          <w:szCs w:val="24"/>
          <w:spacing w:val="-2"/>
        </w:rPr>
        <w:t>①建筑节能</w:t>
      </w:r>
    </w:p>
    <w:p>
      <w:pPr>
        <w:ind w:left="517"/>
        <w:spacing w:before="185" w:line="220" w:lineRule="auto"/>
        <w:rPr>
          <w:rFonts w:ascii="SimSun" w:hAnsi="SimSun" w:eastAsia="SimSun" w:cs="SimSun"/>
          <w:sz w:val="24"/>
          <w:szCs w:val="24"/>
        </w:rPr>
      </w:pPr>
      <w:r>
        <w:rPr>
          <w:rFonts w:ascii="SimSun" w:hAnsi="SimSun" w:eastAsia="SimSun" w:cs="SimSun"/>
          <w:sz w:val="24"/>
          <w:szCs w:val="24"/>
          <w:spacing w:val="3"/>
        </w:rPr>
        <w:t>在设计中要按国家建筑节能设计标准和建筑业</w:t>
      </w:r>
      <w:r>
        <w:rPr>
          <w:rFonts w:ascii="SimSun" w:hAnsi="SimSun" w:eastAsia="SimSun" w:cs="SimSun"/>
          <w:sz w:val="24"/>
          <w:szCs w:val="24"/>
          <w:spacing w:val="2"/>
        </w:rPr>
        <w:t>设计规范，严格执行有关建筑</w:t>
      </w:r>
    </w:p>
    <w:p>
      <w:pPr>
        <w:spacing w:line="220" w:lineRule="auto"/>
        <w:sectPr>
          <w:headerReference w:type="default" r:id="rId88"/>
          <w:pgSz w:w="11907" w:h="16839"/>
          <w:pgMar w:top="1390" w:right="1633" w:bottom="400" w:left="1673" w:header="1054" w:footer="0" w:gutter="0"/>
        </w:sectPr>
        <w:rPr>
          <w:rFonts w:ascii="SimSun" w:hAnsi="SimSun" w:eastAsia="SimSun" w:cs="SimSun"/>
          <w:sz w:val="24"/>
          <w:szCs w:val="24"/>
        </w:rPr>
      </w:pPr>
    </w:p>
    <w:p>
      <w:pPr>
        <w:ind w:left="38"/>
        <w:spacing w:before="83" w:line="220" w:lineRule="auto"/>
        <w:rPr>
          <w:rFonts w:ascii="SimSun" w:hAnsi="SimSun" w:eastAsia="SimSun" w:cs="SimSun"/>
          <w:sz w:val="24"/>
          <w:szCs w:val="24"/>
        </w:rPr>
      </w:pPr>
      <w:r>
        <w:rPr>
          <w:rFonts w:ascii="SimSun" w:hAnsi="SimSun" w:eastAsia="SimSun" w:cs="SimSun"/>
          <w:sz w:val="24"/>
          <w:szCs w:val="24"/>
          <w:spacing w:val="-6"/>
        </w:rPr>
        <w:t>节能技术标准。</w:t>
      </w:r>
    </w:p>
    <w:p>
      <w:pPr>
        <w:ind w:left="518"/>
        <w:spacing w:before="182" w:line="219" w:lineRule="auto"/>
        <w:rPr>
          <w:rFonts w:ascii="SimSun" w:hAnsi="SimSun" w:eastAsia="SimSun" w:cs="SimSun"/>
          <w:sz w:val="24"/>
          <w:szCs w:val="24"/>
        </w:rPr>
      </w:pPr>
      <w:r>
        <w:rPr>
          <w:rFonts w:ascii="SimSun" w:hAnsi="SimSun" w:eastAsia="SimSun" w:cs="SimSun"/>
          <w:sz w:val="24"/>
          <w:szCs w:val="24"/>
          <w:spacing w:val="-2"/>
        </w:rPr>
        <w:t>适当采用新型建筑材料、高效隔热保温材料、节能型门窗等。</w:t>
      </w:r>
    </w:p>
    <w:p>
      <w:pPr>
        <w:ind w:left="39" w:firstLine="478"/>
        <w:spacing w:before="181" w:line="359" w:lineRule="auto"/>
        <w:rPr>
          <w:rFonts w:ascii="SimSun" w:hAnsi="SimSun" w:eastAsia="SimSun" w:cs="SimSun"/>
          <w:sz w:val="24"/>
          <w:szCs w:val="24"/>
        </w:rPr>
      </w:pPr>
      <w:r>
        <w:rPr>
          <w:rFonts w:ascii="SimSun" w:hAnsi="SimSun" w:eastAsia="SimSun" w:cs="SimSun"/>
          <w:sz w:val="24"/>
          <w:szCs w:val="24"/>
          <w:spacing w:val="-2"/>
        </w:rPr>
        <w:t>在各建筑的设计上，充分考虑本地气候特征，充分利用</w:t>
      </w:r>
      <w:r>
        <w:rPr>
          <w:rFonts w:ascii="SimSun" w:hAnsi="SimSun" w:eastAsia="SimSun" w:cs="SimSun"/>
          <w:sz w:val="24"/>
          <w:szCs w:val="24"/>
          <w:spacing w:val="-3"/>
        </w:rPr>
        <w:t>自然采光和自然通风，</w:t>
      </w:r>
      <w:r>
        <w:rPr>
          <w:rFonts w:ascii="SimSun" w:hAnsi="SimSun" w:eastAsia="SimSun" w:cs="SimSun"/>
          <w:sz w:val="24"/>
          <w:szCs w:val="24"/>
          <w:spacing w:val="-3"/>
        </w:rPr>
        <w:t>合理控制直射阳光，降低暖通和照明能耗。</w:t>
      </w:r>
    </w:p>
    <w:p>
      <w:pPr>
        <w:ind w:left="516"/>
        <w:spacing w:line="217" w:lineRule="auto"/>
        <w:rPr>
          <w:rFonts w:ascii="SimSun" w:hAnsi="SimSun" w:eastAsia="SimSun" w:cs="SimSun"/>
          <w:sz w:val="24"/>
          <w:szCs w:val="24"/>
        </w:rPr>
      </w:pPr>
      <w:r>
        <w:rPr>
          <w:rFonts w:ascii="SimSun" w:hAnsi="SimSun" w:eastAsia="SimSun" w:cs="SimSun"/>
          <w:sz w:val="24"/>
          <w:szCs w:val="24"/>
          <w:spacing w:val="-2"/>
        </w:rPr>
        <w:t>②电气节能</w:t>
      </w:r>
    </w:p>
    <w:p>
      <w:pPr>
        <w:ind w:left="44" w:right="79" w:firstLine="472"/>
        <w:spacing w:before="185" w:line="359" w:lineRule="auto"/>
        <w:rPr>
          <w:rFonts w:ascii="SimSun" w:hAnsi="SimSun" w:eastAsia="SimSun" w:cs="SimSun"/>
          <w:sz w:val="24"/>
          <w:szCs w:val="24"/>
        </w:rPr>
      </w:pPr>
      <w:r>
        <w:rPr>
          <w:rFonts w:ascii="SimSun" w:hAnsi="SimSun" w:eastAsia="SimSun" w:cs="SimSun"/>
          <w:sz w:val="24"/>
          <w:szCs w:val="24"/>
          <w:spacing w:val="2"/>
        </w:rPr>
        <w:t>在建设方案选择时，尽可能运用节能新技术、新工艺，将低能耗的理念融入</w:t>
      </w:r>
      <w:r>
        <w:rPr>
          <w:rFonts w:ascii="SimSun" w:hAnsi="SimSun" w:eastAsia="SimSun" w:cs="SimSun"/>
          <w:sz w:val="24"/>
          <w:szCs w:val="24"/>
          <w:spacing w:val="-6"/>
        </w:rPr>
        <w:t>到建筑设计中去。</w:t>
      </w:r>
    </w:p>
    <w:p>
      <w:pPr>
        <w:ind w:left="38" w:firstLine="478"/>
        <w:spacing w:before="1" w:line="359" w:lineRule="auto"/>
        <w:rPr>
          <w:rFonts w:ascii="SimSun" w:hAnsi="SimSun" w:eastAsia="SimSun" w:cs="SimSun"/>
          <w:sz w:val="24"/>
          <w:szCs w:val="24"/>
        </w:rPr>
      </w:pPr>
      <w:r>
        <w:rPr>
          <w:rFonts w:ascii="SimSun" w:hAnsi="SimSun" w:eastAsia="SimSun" w:cs="SimSun"/>
          <w:sz w:val="24"/>
          <w:szCs w:val="24"/>
          <w:spacing w:val="-2"/>
        </w:rPr>
        <w:t>在总图布置方面，尽可能将公用工程布置在负荷中心，</w:t>
      </w:r>
      <w:r>
        <w:rPr>
          <w:rFonts w:ascii="SimSun" w:hAnsi="SimSun" w:eastAsia="SimSun" w:cs="SimSun"/>
          <w:sz w:val="24"/>
          <w:szCs w:val="24"/>
          <w:spacing w:val="-3"/>
        </w:rPr>
        <w:t>并合理布置负荷流向，</w:t>
      </w:r>
      <w:r>
        <w:rPr>
          <w:rFonts w:ascii="SimSun" w:hAnsi="SimSun" w:eastAsia="SimSun" w:cs="SimSun"/>
          <w:sz w:val="24"/>
          <w:szCs w:val="24"/>
          <w:spacing w:val="-3"/>
        </w:rPr>
        <w:t>减少线路长度，以利于降低能耗。</w:t>
      </w:r>
    </w:p>
    <w:p>
      <w:pPr>
        <w:ind w:left="39" w:right="76" w:firstLine="478"/>
        <w:spacing w:line="359" w:lineRule="auto"/>
        <w:rPr>
          <w:rFonts w:ascii="SimSun" w:hAnsi="SimSun" w:eastAsia="SimSun" w:cs="SimSun"/>
          <w:sz w:val="24"/>
          <w:szCs w:val="24"/>
        </w:rPr>
      </w:pPr>
      <w:r>
        <w:rPr>
          <w:rFonts w:ascii="SimSun" w:hAnsi="SimSun" w:eastAsia="SimSun" w:cs="SimSun"/>
          <w:sz w:val="24"/>
          <w:szCs w:val="24"/>
          <w:spacing w:val="3"/>
        </w:rPr>
        <w:t>减少配电线路的损耗，调节功率因数、实现</w:t>
      </w:r>
      <w:r>
        <w:rPr>
          <w:rFonts w:ascii="SimSun" w:hAnsi="SimSun" w:eastAsia="SimSun" w:cs="SimSun"/>
          <w:sz w:val="24"/>
          <w:szCs w:val="24"/>
          <w:spacing w:val="2"/>
        </w:rPr>
        <w:t>合理的配电方式，通过分散补偿</w:t>
      </w:r>
      <w:r>
        <w:rPr>
          <w:rFonts w:ascii="SimSun" w:hAnsi="SimSun" w:eastAsia="SimSun" w:cs="SimSun"/>
          <w:sz w:val="24"/>
          <w:szCs w:val="24"/>
          <w:spacing w:val="-3"/>
        </w:rPr>
        <w:t>和优化配电方式减少配电线路的损耗。</w:t>
      </w:r>
    </w:p>
    <w:p>
      <w:pPr>
        <w:ind w:left="37" w:right="76" w:firstLine="481"/>
        <w:spacing w:before="3" w:line="358" w:lineRule="auto"/>
        <w:jc w:val="both"/>
        <w:rPr>
          <w:rFonts w:ascii="SimSun" w:hAnsi="SimSun" w:eastAsia="SimSun" w:cs="SimSun"/>
          <w:sz w:val="24"/>
          <w:szCs w:val="24"/>
        </w:rPr>
      </w:pPr>
      <w:r>
        <w:rPr>
          <w:rFonts w:ascii="SimSun" w:hAnsi="SimSun" w:eastAsia="SimSun" w:cs="SimSun"/>
          <w:sz w:val="24"/>
          <w:szCs w:val="24"/>
          <w:spacing w:val="2"/>
        </w:rPr>
        <w:t>合理确定各功能区照明，根据照明场所的建筑与装饰设计所确定的采光形式</w:t>
      </w:r>
      <w:r>
        <w:rPr>
          <w:rFonts w:ascii="SimSun" w:hAnsi="SimSun" w:eastAsia="SimSun" w:cs="SimSun"/>
          <w:sz w:val="24"/>
          <w:szCs w:val="24"/>
          <w:spacing w:val="2"/>
        </w:rPr>
        <w:t>及采光参数、主要装饰材料的技术参数和照明区域的性质、规模等，合理选择照</w:t>
      </w:r>
      <w:r>
        <w:rPr>
          <w:rFonts w:ascii="SimSun" w:hAnsi="SimSun" w:eastAsia="SimSun" w:cs="SimSun"/>
          <w:sz w:val="24"/>
          <w:szCs w:val="24"/>
          <w:spacing w:val="-4"/>
        </w:rPr>
        <w:t>度防止电能的无效耗用。</w:t>
      </w:r>
    </w:p>
    <w:p>
      <w:pPr>
        <w:ind w:left="40" w:right="70" w:firstLine="480"/>
        <w:spacing w:before="2" w:line="359" w:lineRule="auto"/>
        <w:jc w:val="both"/>
        <w:rPr>
          <w:rFonts w:ascii="SimSun" w:hAnsi="SimSun" w:eastAsia="SimSun" w:cs="SimSun"/>
          <w:sz w:val="24"/>
          <w:szCs w:val="24"/>
        </w:rPr>
      </w:pPr>
      <w:r>
        <w:rPr>
          <w:rFonts w:ascii="SimSun" w:hAnsi="SimSun" w:eastAsia="SimSun" w:cs="SimSun"/>
          <w:sz w:val="24"/>
          <w:szCs w:val="24"/>
          <w:spacing w:val="2"/>
        </w:rPr>
        <w:t>大力推行绿色照明理念，在满足照明和装饰效果的前提下控制好照明度；选</w:t>
      </w:r>
      <w:r>
        <w:rPr>
          <w:rFonts w:ascii="SimSun" w:hAnsi="SimSun" w:eastAsia="SimSun" w:cs="SimSun"/>
          <w:sz w:val="24"/>
          <w:szCs w:val="24"/>
          <w:spacing w:val="3"/>
        </w:rPr>
        <w:t>用多组合控制开关，分区、分功能控制，按</w:t>
      </w:r>
      <w:r>
        <w:rPr>
          <w:rFonts w:ascii="SimSun" w:hAnsi="SimSun" w:eastAsia="SimSun" w:cs="SimSun"/>
          <w:sz w:val="24"/>
          <w:szCs w:val="24"/>
          <w:spacing w:val="2"/>
        </w:rPr>
        <w:t>实际需要进行开关，从而达到节能目</w:t>
      </w:r>
      <w:r>
        <w:rPr>
          <w:rFonts w:ascii="SimSun" w:hAnsi="SimSun" w:eastAsia="SimSun" w:cs="SimSun"/>
          <w:sz w:val="24"/>
          <w:szCs w:val="24"/>
          <w:spacing w:val="-12"/>
        </w:rPr>
        <w:t>的。</w:t>
      </w:r>
    </w:p>
    <w:p>
      <w:pPr>
        <w:ind w:left="57" w:right="76" w:firstLine="459"/>
        <w:spacing w:before="1" w:line="359" w:lineRule="auto"/>
        <w:jc w:val="both"/>
        <w:rPr>
          <w:rFonts w:ascii="SimSun" w:hAnsi="SimSun" w:eastAsia="SimSun" w:cs="SimSun"/>
          <w:sz w:val="24"/>
          <w:szCs w:val="24"/>
        </w:rPr>
      </w:pPr>
      <w:r>
        <w:rPr>
          <w:rFonts w:ascii="SimSun" w:hAnsi="SimSun" w:eastAsia="SimSun" w:cs="SimSun"/>
          <w:sz w:val="24"/>
          <w:szCs w:val="24"/>
          <w:spacing w:val="3"/>
        </w:rPr>
        <w:t>选用合理的高效机电设备，在价格合理的情况</w:t>
      </w:r>
      <w:r>
        <w:rPr>
          <w:rFonts w:ascii="SimSun" w:hAnsi="SimSun" w:eastAsia="SimSun" w:cs="SimSun"/>
          <w:sz w:val="24"/>
          <w:szCs w:val="24"/>
          <w:spacing w:val="2"/>
        </w:rPr>
        <w:t>下尽量采用技术先进、材料优</w:t>
      </w:r>
      <w:r>
        <w:rPr>
          <w:rFonts w:ascii="SimSun" w:hAnsi="SimSun" w:eastAsia="SimSun" w:cs="SimSun"/>
          <w:sz w:val="24"/>
          <w:szCs w:val="24"/>
          <w:spacing w:val="2"/>
        </w:rPr>
        <w:t>良、结构合理、机械强度高、使用寿命长的节能型机电设备，以利于</w:t>
      </w:r>
      <w:r>
        <w:rPr>
          <w:rFonts w:ascii="SimSun" w:hAnsi="SimSun" w:eastAsia="SimSun" w:cs="SimSun"/>
          <w:sz w:val="24"/>
          <w:szCs w:val="24"/>
          <w:spacing w:val="1"/>
        </w:rPr>
        <w:t>有效降低产</w:t>
      </w:r>
      <w:r>
        <w:rPr>
          <w:rFonts w:ascii="SimSun" w:hAnsi="SimSun" w:eastAsia="SimSun" w:cs="SimSun"/>
          <w:sz w:val="24"/>
          <w:szCs w:val="24"/>
          <w:spacing w:val="-11"/>
        </w:rPr>
        <w:t>品的能耗。</w:t>
      </w:r>
    </w:p>
    <w:p>
      <w:pPr>
        <w:ind w:left="516"/>
        <w:spacing w:before="1" w:line="217" w:lineRule="auto"/>
        <w:rPr>
          <w:rFonts w:ascii="SimSun" w:hAnsi="SimSun" w:eastAsia="SimSun" w:cs="SimSun"/>
          <w:sz w:val="24"/>
          <w:szCs w:val="24"/>
        </w:rPr>
      </w:pPr>
      <w:r>
        <w:rPr>
          <w:rFonts w:ascii="SimSun" w:hAnsi="SimSun" w:eastAsia="SimSun" w:cs="SimSun"/>
          <w:sz w:val="24"/>
          <w:szCs w:val="24"/>
          <w:spacing w:val="-2"/>
        </w:rPr>
        <w:t>③节水措施</w:t>
      </w:r>
    </w:p>
    <w:p>
      <w:pPr>
        <w:ind w:left="40" w:right="67" w:firstLine="478"/>
        <w:spacing w:before="184" w:line="359" w:lineRule="auto"/>
        <w:rPr>
          <w:rFonts w:ascii="SimSun" w:hAnsi="SimSun" w:eastAsia="SimSun" w:cs="SimSun"/>
          <w:sz w:val="24"/>
          <w:szCs w:val="24"/>
        </w:rPr>
      </w:pPr>
      <w:r>
        <w:rPr>
          <w:rFonts w:ascii="SimSun" w:hAnsi="SimSun" w:eastAsia="SimSun" w:cs="SimSun"/>
          <w:sz w:val="24"/>
          <w:szCs w:val="24"/>
          <w:spacing w:val="3"/>
        </w:rPr>
        <w:t>根据给水系统出流的实际情况，综合考虑到</w:t>
      </w:r>
      <w:r>
        <w:rPr>
          <w:rFonts w:ascii="SimSun" w:hAnsi="SimSun" w:eastAsia="SimSun" w:cs="SimSun"/>
          <w:sz w:val="24"/>
          <w:szCs w:val="24"/>
          <w:spacing w:val="2"/>
        </w:rPr>
        <w:t>各种配水器具的位置标高和保证</w:t>
      </w:r>
      <w:r>
        <w:rPr>
          <w:rFonts w:ascii="SimSun" w:hAnsi="SimSun" w:eastAsia="SimSun" w:cs="SimSun"/>
          <w:sz w:val="24"/>
          <w:szCs w:val="24"/>
          <w:spacing w:val="2"/>
        </w:rPr>
        <w:t>安全供水等多种因素，对给水系统的压力做出合理限定，通过采用节水龙头或采</w:t>
      </w:r>
      <w:r>
        <w:rPr>
          <w:rFonts w:ascii="SimSun" w:hAnsi="SimSun" w:eastAsia="SimSun" w:cs="SimSun"/>
          <w:sz w:val="24"/>
          <w:szCs w:val="24"/>
          <w:spacing w:val="1"/>
        </w:rPr>
        <w:t>用减压措施合理限定配水点的水压，防止给水系统超压出流造成</w:t>
      </w:r>
      <w:r>
        <w:rPr>
          <w:rFonts w:ascii="SimSun" w:hAnsi="SimSun" w:eastAsia="SimSun" w:cs="SimSun"/>
          <w:sz w:val="24"/>
          <w:szCs w:val="24"/>
        </w:rPr>
        <w:t>的“</w:t>
      </w:r>
      <w:r>
        <w:rPr>
          <w:rFonts w:ascii="SimSun" w:hAnsi="SimSun" w:eastAsia="SimSun" w:cs="SimSun"/>
          <w:sz w:val="24"/>
          <w:szCs w:val="24"/>
          <w:spacing w:val="-90"/>
        </w:rPr>
        <w:t xml:space="preserve"> </w:t>
      </w:r>
      <w:r>
        <w:rPr>
          <w:rFonts w:ascii="SimSun" w:hAnsi="SimSun" w:eastAsia="SimSun" w:cs="SimSun"/>
          <w:sz w:val="24"/>
          <w:szCs w:val="24"/>
        </w:rPr>
        <w:t>隐形</w:t>
      </w:r>
      <w:r>
        <w:rPr>
          <w:rFonts w:ascii="SimSun" w:hAnsi="SimSun" w:eastAsia="SimSun" w:cs="SimSun"/>
          <w:sz w:val="24"/>
          <w:szCs w:val="24"/>
          <w:spacing w:val="-86"/>
        </w:rPr>
        <w:t xml:space="preserve"> </w:t>
      </w:r>
      <w:r>
        <w:rPr>
          <w:rFonts w:ascii="SimSun" w:hAnsi="SimSun" w:eastAsia="SimSun" w:cs="SimSun"/>
          <w:sz w:val="24"/>
          <w:szCs w:val="24"/>
        </w:rPr>
        <w:t>”水量</w:t>
      </w:r>
      <w:r>
        <w:rPr>
          <w:rFonts w:ascii="SimSun" w:hAnsi="SimSun" w:eastAsia="SimSun" w:cs="SimSun"/>
          <w:sz w:val="24"/>
          <w:szCs w:val="24"/>
          <w:spacing w:val="-11"/>
        </w:rPr>
        <w:t>浪费。</w:t>
      </w:r>
    </w:p>
    <w:p>
      <w:pPr>
        <w:ind w:left="40" w:right="76" w:firstLine="478"/>
        <w:spacing w:line="359" w:lineRule="auto"/>
        <w:rPr>
          <w:rFonts w:ascii="SimSun" w:hAnsi="SimSun" w:eastAsia="SimSun" w:cs="SimSun"/>
          <w:sz w:val="24"/>
          <w:szCs w:val="24"/>
        </w:rPr>
      </w:pPr>
      <w:r>
        <w:rPr>
          <w:rFonts w:ascii="SimSun" w:hAnsi="SimSun" w:eastAsia="SimSun" w:cs="SimSun"/>
          <w:sz w:val="24"/>
          <w:szCs w:val="24"/>
          <w:spacing w:val="2"/>
        </w:rPr>
        <w:t>尽可能采用变频调速泵供水，选用优质给水管材，避免因给水系统发生二次</w:t>
      </w:r>
      <w:r>
        <w:rPr>
          <w:rFonts w:ascii="SimSun" w:hAnsi="SimSun" w:eastAsia="SimSun" w:cs="SimSun"/>
          <w:sz w:val="24"/>
          <w:szCs w:val="24"/>
          <w:spacing w:val="-1"/>
        </w:rPr>
        <w:t>污染而需将受到污染的水排放和对供水系统进行清洗处</w:t>
      </w:r>
      <w:r>
        <w:rPr>
          <w:rFonts w:ascii="SimSun" w:hAnsi="SimSun" w:eastAsia="SimSun" w:cs="SimSun"/>
          <w:sz w:val="24"/>
          <w:szCs w:val="24"/>
          <w:spacing w:val="-2"/>
        </w:rPr>
        <w:t>理所造成的水量浪费。</w:t>
      </w:r>
    </w:p>
    <w:p>
      <w:pPr>
        <w:ind w:left="37" w:right="75" w:firstLine="482"/>
        <w:spacing w:before="2" w:line="360" w:lineRule="auto"/>
        <w:jc w:val="both"/>
        <w:rPr>
          <w:rFonts w:ascii="SimSun" w:hAnsi="SimSun" w:eastAsia="SimSun" w:cs="SimSun"/>
          <w:sz w:val="24"/>
          <w:szCs w:val="24"/>
        </w:rPr>
      </w:pPr>
      <w:r>
        <w:rPr>
          <w:rFonts w:ascii="SimSun" w:hAnsi="SimSun" w:eastAsia="SimSun" w:cs="SimSun"/>
          <w:sz w:val="24"/>
          <w:szCs w:val="24"/>
          <w:spacing w:val="2"/>
        </w:rPr>
        <w:t>用水采用节水阀门，并采用有效措施避免跑冒滴漏等现象。配水装置和卫生</w:t>
      </w:r>
      <w:r>
        <w:rPr>
          <w:rFonts w:ascii="SimSun" w:hAnsi="SimSun" w:eastAsia="SimSun" w:cs="SimSun"/>
          <w:sz w:val="24"/>
          <w:szCs w:val="24"/>
          <w:spacing w:val="2"/>
        </w:rPr>
        <w:t>设备是水的最终使用单元，其节水性能的好坏，直接影响节水的成效，因此应根</w:t>
      </w:r>
      <w:r>
        <w:rPr>
          <w:rFonts w:ascii="SimSun" w:hAnsi="SimSun" w:eastAsia="SimSun" w:cs="SimSun"/>
          <w:sz w:val="24"/>
          <w:szCs w:val="24"/>
          <w:spacing w:val="-2"/>
        </w:rPr>
        <w:t>据所在场所的实际情况，选择使用适用的节水器具，提高节水效益。</w:t>
      </w:r>
    </w:p>
    <w:p>
      <w:pPr>
        <w:spacing w:line="360" w:lineRule="auto"/>
        <w:sectPr>
          <w:headerReference w:type="default" r:id="rId89"/>
          <w:pgSz w:w="11907" w:h="16839"/>
          <w:pgMar w:top="1390" w:right="1632" w:bottom="400" w:left="1673" w:header="1054" w:footer="0" w:gutter="0"/>
        </w:sectPr>
        <w:rPr>
          <w:rFonts w:ascii="SimSun" w:hAnsi="SimSun" w:eastAsia="SimSun" w:cs="SimSun"/>
          <w:sz w:val="24"/>
          <w:szCs w:val="24"/>
        </w:rPr>
      </w:pPr>
    </w:p>
    <w:p>
      <w:pPr>
        <w:ind w:left="520"/>
        <w:spacing w:before="83" w:line="219" w:lineRule="auto"/>
        <w:rPr>
          <w:rFonts w:ascii="SimSun" w:hAnsi="SimSun" w:eastAsia="SimSun" w:cs="SimSun"/>
          <w:sz w:val="24"/>
          <w:szCs w:val="24"/>
        </w:rPr>
      </w:pPr>
      <w:r>
        <w:rPr>
          <w:rFonts w:ascii="SimSun" w:hAnsi="SimSun" w:eastAsia="SimSun" w:cs="SimSun"/>
          <w:sz w:val="24"/>
          <w:szCs w:val="24"/>
          <w:spacing w:val="-1"/>
        </w:rPr>
        <w:t>各项具体工程的生活、消防给水系统的设备</w:t>
      </w:r>
      <w:r>
        <w:rPr>
          <w:rFonts w:ascii="SimSun" w:hAnsi="SimSun" w:eastAsia="SimSun" w:cs="SimSun"/>
          <w:sz w:val="24"/>
          <w:szCs w:val="24"/>
          <w:spacing w:val="-2"/>
        </w:rPr>
        <w:t>，宜选用高效节能的供水设备。</w:t>
      </w:r>
    </w:p>
    <w:p>
      <w:pPr>
        <w:ind w:left="524"/>
        <w:spacing w:before="18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）废物资源化</w:t>
      </w:r>
    </w:p>
    <w:p>
      <w:pPr>
        <w:ind w:left="37" w:right="36" w:firstLine="481"/>
        <w:spacing w:before="162" w:line="359" w:lineRule="auto"/>
        <w:rPr>
          <w:rFonts w:ascii="SimSun" w:hAnsi="SimSun" w:eastAsia="SimSun" w:cs="SimSun"/>
          <w:sz w:val="24"/>
          <w:szCs w:val="24"/>
        </w:rPr>
      </w:pPr>
      <w:r>
        <w:rPr>
          <w:rFonts w:ascii="SimSun" w:hAnsi="SimSun" w:eastAsia="SimSun" w:cs="SimSun"/>
          <w:sz w:val="24"/>
          <w:szCs w:val="24"/>
          <w:spacing w:val="3"/>
        </w:rPr>
        <w:t>养殖场产生的牛尿及牛粪进入垫料，废垫料外</w:t>
      </w:r>
      <w:r>
        <w:rPr>
          <w:rFonts w:ascii="SimSun" w:hAnsi="SimSun" w:eastAsia="SimSun" w:cs="SimSun"/>
          <w:sz w:val="24"/>
          <w:szCs w:val="24"/>
          <w:spacing w:val="2"/>
        </w:rPr>
        <w:t>卖有机肥厂做有机肥，可有效</w:t>
      </w:r>
      <w:r>
        <w:rPr>
          <w:rFonts w:ascii="SimSun" w:hAnsi="SimSun" w:eastAsia="SimSun" w:cs="SimSun"/>
          <w:sz w:val="24"/>
          <w:szCs w:val="24"/>
          <w:spacing w:val="2"/>
        </w:rPr>
        <w:t>的改善区域土地硬化及板结，提高肥力，废物合理化利用，达到废物减量化、资</w:t>
      </w:r>
      <w:r>
        <w:rPr>
          <w:rFonts w:ascii="SimSun" w:hAnsi="SimSun" w:eastAsia="SimSun" w:cs="SimSun"/>
          <w:sz w:val="24"/>
          <w:szCs w:val="24"/>
          <w:spacing w:val="-3"/>
        </w:rPr>
        <w:t>源化的目的，有良好的经济效益和环境效益。</w:t>
      </w:r>
    </w:p>
    <w:p>
      <w:pPr>
        <w:ind w:left="524"/>
        <w:spacing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7</w:t>
      </w:r>
      <w:r>
        <w:rPr>
          <w:rFonts w:ascii="SimSun" w:hAnsi="SimSun" w:eastAsia="SimSun" w:cs="SimSun"/>
          <w:sz w:val="24"/>
          <w:szCs w:val="24"/>
          <w:spacing w:val="-3"/>
        </w:rPr>
        <w:t>）三废治理达标情况</w:t>
      </w:r>
    </w:p>
    <w:p>
      <w:pPr>
        <w:ind w:left="519"/>
        <w:spacing w:before="161" w:line="219" w:lineRule="auto"/>
        <w:rPr>
          <w:rFonts w:ascii="SimSun" w:hAnsi="SimSun" w:eastAsia="SimSun" w:cs="SimSun"/>
          <w:sz w:val="24"/>
          <w:szCs w:val="24"/>
        </w:rPr>
      </w:pPr>
      <w:r>
        <w:rPr>
          <w:rFonts w:ascii="SimSun" w:hAnsi="SimSun" w:eastAsia="SimSun" w:cs="SimSun"/>
          <w:sz w:val="24"/>
          <w:szCs w:val="24"/>
          <w:spacing w:val="-1"/>
        </w:rPr>
        <w:t>本项目三废均得到了合理的处理和处置，均能达</w:t>
      </w:r>
      <w:r>
        <w:rPr>
          <w:rFonts w:ascii="SimSun" w:hAnsi="SimSun" w:eastAsia="SimSun" w:cs="SimSun"/>
          <w:sz w:val="24"/>
          <w:szCs w:val="24"/>
          <w:spacing w:val="-2"/>
        </w:rPr>
        <w:t>标排放，对环境影响不大。</w:t>
      </w:r>
    </w:p>
    <w:p>
      <w:pPr>
        <w:ind w:left="524"/>
        <w:spacing w:before="18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8</w:t>
      </w:r>
      <w:r>
        <w:rPr>
          <w:rFonts w:ascii="SimSun" w:hAnsi="SimSun" w:eastAsia="SimSun" w:cs="SimSun"/>
          <w:sz w:val="24"/>
          <w:szCs w:val="24"/>
          <w:spacing w:val="-3"/>
        </w:rPr>
        <w:t>）清洁生产结论</w:t>
      </w:r>
    </w:p>
    <w:p>
      <w:pPr>
        <w:ind w:left="39" w:right="32" w:firstLine="479"/>
        <w:spacing w:before="165" w:line="360" w:lineRule="auto"/>
        <w:rPr>
          <w:rFonts w:ascii="SimSun" w:hAnsi="SimSun" w:eastAsia="SimSun" w:cs="SimSun"/>
          <w:sz w:val="24"/>
          <w:szCs w:val="24"/>
        </w:rPr>
      </w:pPr>
      <w:r>
        <w:rPr>
          <w:rFonts w:ascii="SimSun" w:hAnsi="SimSun" w:eastAsia="SimSun" w:cs="SimSun"/>
          <w:sz w:val="24"/>
          <w:szCs w:val="24"/>
          <w:spacing w:val="2"/>
        </w:rPr>
        <w:t>本项目从原辅材料、产品、生产工艺、设备先进性和节能降耗等方面进行分</w:t>
      </w:r>
      <w:r>
        <w:rPr>
          <w:rFonts w:ascii="SimSun" w:hAnsi="SimSun" w:eastAsia="SimSun" w:cs="SimSun"/>
          <w:sz w:val="24"/>
          <w:szCs w:val="24"/>
          <w:spacing w:val="3"/>
        </w:rPr>
        <w:t>析，原辅材料和产品清洁无毒，生产工艺技术</w:t>
      </w:r>
      <w:r>
        <w:rPr>
          <w:rFonts w:ascii="SimSun" w:hAnsi="SimSun" w:eastAsia="SimSun" w:cs="SimSun"/>
          <w:sz w:val="24"/>
          <w:szCs w:val="24"/>
          <w:spacing w:val="2"/>
        </w:rPr>
        <w:t>和设备先进，符合提倡的清洁生产</w:t>
      </w:r>
      <w:r>
        <w:rPr>
          <w:rFonts w:ascii="SimSun" w:hAnsi="SimSun" w:eastAsia="SimSun" w:cs="SimSun"/>
          <w:sz w:val="24"/>
          <w:szCs w:val="24"/>
          <w:spacing w:val="3"/>
        </w:rPr>
        <w:t>要求，并认真贯彻落实各项清洁生产措施，</w:t>
      </w:r>
      <w:r>
        <w:rPr>
          <w:rFonts w:ascii="SimSun" w:hAnsi="SimSun" w:eastAsia="SimSun" w:cs="SimSun"/>
          <w:sz w:val="24"/>
          <w:szCs w:val="24"/>
          <w:spacing w:val="2"/>
        </w:rPr>
        <w:t>使养殖过程中产生的废物进行了综合</w:t>
      </w:r>
      <w:r>
        <w:rPr>
          <w:rFonts w:ascii="SimSun" w:hAnsi="SimSun" w:eastAsia="SimSun" w:cs="SimSun"/>
          <w:sz w:val="24"/>
          <w:szCs w:val="24"/>
          <w:spacing w:val="-2"/>
        </w:rPr>
        <w:t>利用，保障清洁生产的推行，属国内清洁生产先进水平。</w:t>
      </w:r>
    </w:p>
    <w:p>
      <w:pPr>
        <w:ind w:left="32"/>
        <w:spacing w:before="254" w:line="234" w:lineRule="auto"/>
        <w:outlineLvl w:val="1"/>
        <w:rPr>
          <w:rFonts w:ascii="SimSun" w:hAnsi="SimSun" w:eastAsia="SimSun" w:cs="SimSun"/>
          <w:sz w:val="24"/>
          <w:szCs w:val="24"/>
        </w:rPr>
      </w:pPr>
      <w:bookmarkStart w:name="bookmark22" w:id="26"/>
      <w:bookmarkEnd w:id="26"/>
      <w:r>
        <w:rPr>
          <w:rFonts w:ascii="Times New Roman" w:hAnsi="Times New Roman" w:eastAsia="Times New Roman" w:cs="Times New Roman"/>
          <w:sz w:val="24"/>
          <w:szCs w:val="24"/>
          <w:b/>
          <w:bCs/>
          <w:spacing w:val="-4"/>
        </w:rPr>
        <w:t>3.5</w:t>
      </w:r>
      <w:r>
        <w:rPr>
          <w:rFonts w:ascii="Times New Roman" w:hAnsi="Times New Roman" w:eastAsia="Times New Roman" w:cs="Times New Roman"/>
          <w:sz w:val="24"/>
          <w:szCs w:val="24"/>
          <w:b/>
          <w:bCs/>
          <w:spacing w:val="25"/>
        </w:rPr>
        <w:t xml:space="preserve"> </w:t>
      </w:r>
      <w:r>
        <w:rPr>
          <w:rFonts w:ascii="SimSun" w:hAnsi="SimSun" w:eastAsia="SimSun" w:cs="SimSun"/>
          <w:sz w:val="24"/>
          <w:szCs w:val="24"/>
          <w:b/>
          <w:bCs/>
          <w:spacing w:val="-4"/>
        </w:rPr>
        <w:t>总量控制方案分析</w:t>
      </w:r>
    </w:p>
    <w:p>
      <w:pPr>
        <w:ind w:left="38" w:right="38" w:firstLine="480"/>
        <w:spacing w:before="266" w:line="359" w:lineRule="auto"/>
        <w:jc w:val="both"/>
        <w:rPr>
          <w:rFonts w:ascii="SimSun" w:hAnsi="SimSun" w:eastAsia="SimSun" w:cs="SimSun"/>
          <w:sz w:val="24"/>
          <w:szCs w:val="24"/>
        </w:rPr>
      </w:pPr>
      <w:r>
        <w:rPr>
          <w:rFonts w:ascii="SimSun" w:hAnsi="SimSun" w:eastAsia="SimSun" w:cs="SimSun"/>
          <w:sz w:val="24"/>
          <w:szCs w:val="24"/>
          <w:spacing w:val="2"/>
        </w:rPr>
        <w:t>本项目生活污水排入方深处，定期由环卫部门清抽处理；牛尿及牛粪进入垫</w:t>
      </w:r>
      <w:r>
        <w:rPr>
          <w:rFonts w:ascii="SimSun" w:hAnsi="SimSun" w:eastAsia="SimSun" w:cs="SimSun"/>
          <w:sz w:val="24"/>
          <w:szCs w:val="24"/>
          <w:spacing w:val="2"/>
        </w:rPr>
        <w:t>料，定期清运至储粪库最终外卖有机肥厂生产有机肥。因此，本项目无需申请废</w:t>
      </w:r>
      <w:r>
        <w:rPr>
          <w:rFonts w:ascii="SimSun" w:hAnsi="SimSun" w:eastAsia="SimSun" w:cs="SimSun"/>
          <w:sz w:val="24"/>
          <w:szCs w:val="24"/>
          <w:spacing w:val="-4"/>
        </w:rPr>
        <w:t>水污染物总量控制指标。</w:t>
      </w:r>
    </w:p>
    <w:p>
      <w:pPr>
        <w:ind w:left="39" w:right="26" w:firstLine="482"/>
        <w:spacing w:before="1" w:line="344" w:lineRule="auto"/>
        <w:rPr>
          <w:rFonts w:ascii="SimSun" w:hAnsi="SimSun" w:eastAsia="SimSun" w:cs="SimSun"/>
          <w:sz w:val="24"/>
          <w:szCs w:val="24"/>
        </w:rPr>
      </w:pPr>
      <w:r>
        <w:rPr>
          <w:rFonts w:ascii="SimSun" w:hAnsi="SimSun" w:eastAsia="SimSun" w:cs="SimSun"/>
          <w:sz w:val="24"/>
          <w:szCs w:val="24"/>
          <w:spacing w:val="-2"/>
        </w:rPr>
        <w:t>项目采暖及生产设备均采用电供应，故无烟尘、</w:t>
      </w:r>
      <w:r>
        <w:rPr>
          <w:rFonts w:ascii="Times New Roman" w:hAnsi="Times New Roman" w:eastAsia="Times New Roman" w:cs="Times New Roman"/>
          <w:sz w:val="24"/>
          <w:szCs w:val="24"/>
          <w:spacing w:val="-2"/>
        </w:rPr>
        <w:t>SO</w:t>
      </w:r>
      <w:r>
        <w:rPr>
          <w:rFonts w:ascii="Times New Roman" w:hAnsi="Times New Roman" w:eastAsia="Times New Roman" w:cs="Times New Roman"/>
          <w:sz w:val="16"/>
          <w:szCs w:val="16"/>
          <w:spacing w:val="-2"/>
          <w:position w:val="-3"/>
        </w:rPr>
        <w:t>2</w:t>
      </w:r>
      <w:r>
        <w:rPr>
          <w:rFonts w:ascii="SimSun" w:hAnsi="SimSun" w:eastAsia="SimSun" w:cs="SimSun"/>
          <w:sz w:val="24"/>
          <w:szCs w:val="24"/>
          <w:spacing w:val="-2"/>
        </w:rPr>
        <w:t>、</w:t>
      </w:r>
      <w:r>
        <w:rPr>
          <w:rFonts w:ascii="Times New Roman" w:hAnsi="Times New Roman" w:eastAsia="Times New Roman" w:cs="Times New Roman"/>
          <w:sz w:val="24"/>
          <w:szCs w:val="24"/>
          <w:spacing w:val="-2"/>
        </w:rPr>
        <w:t>NO</w:t>
      </w:r>
      <w:r>
        <w:rPr>
          <w:rFonts w:ascii="Times New Roman" w:hAnsi="Times New Roman" w:eastAsia="Times New Roman" w:cs="Times New Roman"/>
          <w:sz w:val="16"/>
          <w:szCs w:val="16"/>
          <w:spacing w:val="-2"/>
          <w:position w:val="-3"/>
        </w:rPr>
        <w:t>x </w:t>
      </w:r>
      <w:r>
        <w:rPr>
          <w:rFonts w:ascii="SimSun" w:hAnsi="SimSun" w:eastAsia="SimSun" w:cs="SimSun"/>
          <w:sz w:val="24"/>
          <w:szCs w:val="24"/>
          <w:spacing w:val="-2"/>
        </w:rPr>
        <w:t>及</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2"/>
        </w:rPr>
        <w:t>VOCS</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3"/>
        </w:rPr>
        <w:t>产生。因</w:t>
      </w:r>
      <w:r>
        <w:rPr>
          <w:rFonts w:ascii="SimSun" w:hAnsi="SimSun" w:eastAsia="SimSun" w:cs="SimSun"/>
          <w:sz w:val="24"/>
          <w:szCs w:val="24"/>
          <w:spacing w:val="-2"/>
        </w:rPr>
        <w:t>此，本项目无需申请大气污染物总量控制指</w:t>
      </w:r>
      <w:r>
        <w:rPr>
          <w:rFonts w:ascii="SimSun" w:hAnsi="SimSun" w:eastAsia="SimSun" w:cs="SimSun"/>
          <w:sz w:val="24"/>
          <w:szCs w:val="24"/>
          <w:spacing w:val="-3"/>
        </w:rPr>
        <w:t>标。</w:t>
      </w:r>
    </w:p>
    <w:p>
      <w:pPr>
        <w:spacing w:line="344" w:lineRule="auto"/>
        <w:sectPr>
          <w:headerReference w:type="default" r:id="rId86"/>
          <w:pgSz w:w="11907" w:h="16839"/>
          <w:pgMar w:top="1390" w:right="1670" w:bottom="400" w:left="1673" w:header="1054" w:footer="0" w:gutter="0"/>
        </w:sectPr>
        <w:rPr>
          <w:rFonts w:ascii="SimSun" w:hAnsi="SimSun" w:eastAsia="SimSun" w:cs="SimSun"/>
          <w:sz w:val="24"/>
          <w:szCs w:val="24"/>
        </w:rPr>
      </w:pPr>
    </w:p>
    <w:p>
      <w:pPr>
        <w:pStyle w:val="BodyText"/>
        <w:spacing w:line="259" w:lineRule="auto"/>
        <w:rPr/>
      </w:pPr>
      <w:r/>
    </w:p>
    <w:p>
      <w:pPr>
        <w:pStyle w:val="BodyText"/>
        <w:spacing w:line="260" w:lineRule="auto"/>
        <w:rPr/>
      </w:pPr>
      <w:r/>
    </w:p>
    <w:p>
      <w:pPr>
        <w:ind w:left="103"/>
        <w:spacing w:before="98" w:line="232" w:lineRule="auto"/>
        <w:outlineLvl w:val="0"/>
        <w:rPr>
          <w:rFonts w:ascii="SimSun" w:hAnsi="SimSun" w:eastAsia="SimSun" w:cs="SimSun"/>
          <w:sz w:val="30"/>
          <w:szCs w:val="30"/>
        </w:rPr>
      </w:pPr>
      <w:bookmarkStart w:name="bookmark23" w:id="27"/>
      <w:bookmarkEnd w:id="27"/>
      <w:bookmarkStart w:name="bookmark24" w:id="28"/>
      <w:bookmarkEnd w:id="28"/>
      <w:r>
        <w:rPr>
          <w:rFonts w:ascii="Times New Roman" w:hAnsi="Times New Roman" w:eastAsia="Times New Roman" w:cs="Times New Roman"/>
          <w:sz w:val="30"/>
          <w:szCs w:val="30"/>
          <w:b/>
          <w:bCs/>
          <w:spacing w:val="-3"/>
        </w:rPr>
        <w:t>4.</w:t>
      </w:r>
      <w:r>
        <w:rPr>
          <w:rFonts w:ascii="SimSun" w:hAnsi="SimSun" w:eastAsia="SimSun" w:cs="SimSun"/>
          <w:sz w:val="30"/>
          <w:szCs w:val="30"/>
          <w:b/>
          <w:bCs/>
          <w:spacing w:val="-3"/>
        </w:rPr>
        <w:t>环境现状调查与评价</w:t>
      </w:r>
    </w:p>
    <w:p>
      <w:pPr>
        <w:pStyle w:val="BodyText"/>
        <w:spacing w:line="450" w:lineRule="auto"/>
        <w:rPr/>
      </w:pPr>
      <w:r/>
    </w:p>
    <w:p>
      <w:pPr>
        <w:ind w:left="102"/>
        <w:spacing w:before="78" w:line="232" w:lineRule="auto"/>
        <w:outlineLvl w:val="1"/>
        <w:rPr>
          <w:rFonts w:ascii="SimSun" w:hAnsi="SimSun" w:eastAsia="SimSun" w:cs="SimSun"/>
          <w:sz w:val="24"/>
          <w:szCs w:val="24"/>
        </w:rPr>
      </w:pPr>
      <w:bookmarkStart w:name="bookmark66" w:id="29"/>
      <w:bookmarkEnd w:id="29"/>
      <w:r>
        <w:rPr>
          <w:rFonts w:ascii="Times New Roman" w:hAnsi="Times New Roman" w:eastAsia="Times New Roman" w:cs="Times New Roman"/>
          <w:sz w:val="24"/>
          <w:szCs w:val="24"/>
          <w:b/>
          <w:bCs/>
          <w:spacing w:val="-6"/>
        </w:rPr>
        <w:t>4.1</w:t>
      </w:r>
      <w:r>
        <w:rPr>
          <w:rFonts w:ascii="Times New Roman" w:hAnsi="Times New Roman" w:eastAsia="Times New Roman" w:cs="Times New Roman"/>
          <w:sz w:val="24"/>
          <w:szCs w:val="24"/>
          <w:b/>
          <w:bCs/>
          <w:spacing w:val="57"/>
          <w:w w:val="101"/>
        </w:rPr>
        <w:t xml:space="preserve"> </w:t>
      </w:r>
      <w:r>
        <w:rPr>
          <w:rFonts w:ascii="SimSun" w:hAnsi="SimSun" w:eastAsia="SimSun" w:cs="SimSun"/>
          <w:sz w:val="24"/>
          <w:szCs w:val="24"/>
          <w:b/>
          <w:bCs/>
          <w:spacing w:val="-6"/>
        </w:rPr>
        <w:t>自然环境现状调查与评价</w:t>
      </w:r>
    </w:p>
    <w:p>
      <w:pPr>
        <w:pStyle w:val="BodyText"/>
        <w:spacing w:line="345" w:lineRule="auto"/>
        <w:rPr/>
      </w:pPr>
      <w:r/>
    </w:p>
    <w:p>
      <w:pPr>
        <w:ind w:left="102"/>
        <w:spacing w:before="78" w:line="235" w:lineRule="auto"/>
        <w:rPr>
          <w:rFonts w:ascii="SimSun" w:hAnsi="SimSun" w:eastAsia="SimSun" w:cs="SimSun"/>
          <w:sz w:val="24"/>
          <w:szCs w:val="24"/>
        </w:rPr>
      </w:pPr>
      <w:r>
        <w:rPr>
          <w:rFonts w:ascii="Times New Roman" w:hAnsi="Times New Roman" w:eastAsia="Times New Roman" w:cs="Times New Roman"/>
          <w:sz w:val="24"/>
          <w:szCs w:val="24"/>
          <w:b/>
          <w:bCs/>
          <w:spacing w:val="-2"/>
        </w:rPr>
        <w:t>4.1.1 </w:t>
      </w:r>
      <w:r>
        <w:rPr>
          <w:rFonts w:ascii="SimSun" w:hAnsi="SimSun" w:eastAsia="SimSun" w:cs="SimSun"/>
          <w:sz w:val="24"/>
          <w:szCs w:val="24"/>
          <w:b/>
          <w:bCs/>
          <w:spacing w:val="-2"/>
        </w:rPr>
        <w:t>地理位置</w:t>
      </w:r>
    </w:p>
    <w:p>
      <w:pPr>
        <w:pStyle w:val="BodyText"/>
        <w:spacing w:line="264" w:lineRule="auto"/>
        <w:rPr/>
      </w:pPr>
      <w:r/>
    </w:p>
    <w:p>
      <w:pPr>
        <w:ind w:left="105" w:right="86" w:firstLine="478"/>
        <w:spacing w:before="78" w:line="359" w:lineRule="auto"/>
        <w:jc w:val="both"/>
        <w:rPr>
          <w:rFonts w:ascii="SimSun" w:hAnsi="SimSun" w:eastAsia="SimSun" w:cs="SimSun"/>
          <w:sz w:val="24"/>
          <w:szCs w:val="24"/>
        </w:rPr>
      </w:pPr>
      <w:r>
        <w:rPr>
          <w:rFonts w:ascii="SimSun" w:hAnsi="SimSun" w:eastAsia="SimSun" w:cs="SimSun"/>
          <w:sz w:val="24"/>
          <w:szCs w:val="24"/>
          <w:spacing w:val="6"/>
        </w:rPr>
        <w:t>锡林浩特市位于锡林郭勒草原中部，北纬 </w:t>
      </w:r>
      <w:r>
        <w:rPr>
          <w:rFonts w:ascii="Times New Roman" w:hAnsi="Times New Roman" w:eastAsia="Times New Roman" w:cs="Times New Roman"/>
          <w:sz w:val="24"/>
          <w:szCs w:val="24"/>
          <w:spacing w:val="6"/>
        </w:rPr>
        <w:t>43°02′</w:t>
      </w:r>
      <w:r>
        <w:rPr>
          <w:rFonts w:ascii="SimSun" w:hAnsi="SimSun" w:eastAsia="SimSun" w:cs="SimSun"/>
          <w:sz w:val="24"/>
          <w:szCs w:val="24"/>
          <w:spacing w:val="6"/>
        </w:rPr>
        <w:t>～</w:t>
      </w:r>
      <w:r>
        <w:rPr>
          <w:rFonts w:ascii="Times New Roman" w:hAnsi="Times New Roman" w:eastAsia="Times New Roman" w:cs="Times New Roman"/>
          <w:sz w:val="24"/>
          <w:szCs w:val="24"/>
          <w:spacing w:val="6"/>
        </w:rPr>
        <w:t>44°52′</w:t>
      </w:r>
      <w:r>
        <w:rPr>
          <w:rFonts w:ascii="SimSun" w:hAnsi="SimSun" w:eastAsia="SimSun" w:cs="SimSun"/>
          <w:sz w:val="24"/>
          <w:szCs w:val="24"/>
          <w:spacing w:val="6"/>
        </w:rPr>
        <w:t>，东经</w:t>
      </w:r>
      <w:r>
        <w:rPr>
          <w:rFonts w:ascii="SimSun" w:hAnsi="SimSun" w:eastAsia="SimSun" w:cs="SimSun"/>
          <w:sz w:val="24"/>
          <w:szCs w:val="24"/>
          <w:spacing w:val="67"/>
        </w:rPr>
        <w:t xml:space="preserve"> </w:t>
      </w:r>
      <w:r>
        <w:rPr>
          <w:rFonts w:ascii="Times New Roman" w:hAnsi="Times New Roman" w:eastAsia="Times New Roman" w:cs="Times New Roman"/>
          <w:sz w:val="24"/>
          <w:szCs w:val="24"/>
          <w:spacing w:val="6"/>
        </w:rPr>
        <w:t>115°13′</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6"/>
        </w:rPr>
        <w:t>~</w:t>
      </w:r>
      <w:r>
        <w:rPr>
          <w:rFonts w:ascii="SimSun" w:hAnsi="SimSun" w:eastAsia="SimSun" w:cs="SimSun"/>
          <w:sz w:val="24"/>
          <w:szCs w:val="24"/>
        </w:rPr>
        <w:t xml:space="preserve"> </w:t>
      </w:r>
      <w:r>
        <w:rPr>
          <w:rFonts w:ascii="Times New Roman" w:hAnsi="Times New Roman" w:eastAsia="Times New Roman" w:cs="Times New Roman"/>
          <w:sz w:val="24"/>
          <w:szCs w:val="24"/>
          <w:spacing w:val="1"/>
        </w:rPr>
        <w:t>117°06′</w:t>
      </w:r>
      <w:r>
        <w:rPr>
          <w:rFonts w:ascii="SimSun" w:hAnsi="SimSun" w:eastAsia="SimSun" w:cs="SimSun"/>
          <w:sz w:val="24"/>
          <w:szCs w:val="24"/>
          <w:spacing w:val="1"/>
        </w:rPr>
        <w:t>。东邻西乌珠穆沁旗，西依阿巴嘎旗，南与正蓝旗相连，东南与赤峰市克</w:t>
      </w:r>
      <w:r>
        <w:rPr>
          <w:rFonts w:ascii="SimSun" w:hAnsi="SimSun" w:eastAsia="SimSun" w:cs="SimSun"/>
          <w:sz w:val="24"/>
          <w:szCs w:val="24"/>
          <w:spacing w:val="-1"/>
        </w:rPr>
        <w:t>什克腾旗接壤，北同东乌珠穆沁旗为邻。市境南北长 </w:t>
      </w:r>
      <w:r>
        <w:rPr>
          <w:rFonts w:ascii="Times New Roman" w:hAnsi="Times New Roman" w:eastAsia="Times New Roman" w:cs="Times New Roman"/>
          <w:sz w:val="24"/>
          <w:szCs w:val="24"/>
          <w:spacing w:val="-2"/>
        </w:rPr>
        <w:t>208km</w:t>
      </w:r>
      <w:r>
        <w:rPr>
          <w:rFonts w:ascii="SimSun" w:hAnsi="SimSun" w:eastAsia="SimSun" w:cs="SimSun"/>
          <w:sz w:val="24"/>
          <w:szCs w:val="24"/>
          <w:spacing w:val="-2"/>
        </w:rPr>
        <w:t>，东西长 </w:t>
      </w:r>
      <w:r>
        <w:rPr>
          <w:rFonts w:ascii="Times New Roman" w:hAnsi="Times New Roman" w:eastAsia="Times New Roman" w:cs="Times New Roman"/>
          <w:sz w:val="24"/>
          <w:szCs w:val="24"/>
          <w:spacing w:val="-2"/>
        </w:rPr>
        <w:t>143km</w:t>
      </w:r>
      <w:r>
        <w:rPr>
          <w:rFonts w:ascii="SimSun" w:hAnsi="SimSun" w:eastAsia="SimSun" w:cs="SimSun"/>
          <w:sz w:val="24"/>
          <w:szCs w:val="24"/>
          <w:spacing w:val="-2"/>
        </w:rPr>
        <w:t>。总</w:t>
      </w:r>
      <w:r>
        <w:rPr>
          <w:rFonts w:ascii="SimSun" w:hAnsi="SimSun" w:eastAsia="SimSun" w:cs="SimSun"/>
          <w:sz w:val="24"/>
          <w:szCs w:val="24"/>
          <w:spacing w:val="-5"/>
        </w:rPr>
        <w:t>面积</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5"/>
        </w:rPr>
        <w:t>18750km</w:t>
      </w:r>
      <w:r>
        <w:rPr>
          <w:rFonts w:ascii="SimSun" w:hAnsi="SimSun" w:eastAsia="SimSun" w:cs="SimSun"/>
          <w:sz w:val="24"/>
          <w:szCs w:val="24"/>
          <w:spacing w:val="-5"/>
        </w:rPr>
        <w:t>²。</w:t>
      </w:r>
    </w:p>
    <w:p>
      <w:pPr>
        <w:ind w:left="109" w:right="121" w:firstLine="477"/>
        <w:spacing w:line="370" w:lineRule="auto"/>
        <w:rPr>
          <w:rFonts w:ascii="SimSun" w:hAnsi="SimSun" w:eastAsia="SimSun" w:cs="SimSun"/>
          <w:sz w:val="24"/>
          <w:szCs w:val="24"/>
        </w:rPr>
      </w:pPr>
      <w:r>
        <w:rPr>
          <w:rFonts w:ascii="SimSun" w:hAnsi="SimSun" w:eastAsia="SimSun" w:cs="SimSun"/>
          <w:sz w:val="24"/>
          <w:szCs w:val="24"/>
          <w:spacing w:val="1"/>
        </w:rPr>
        <w:t>本项目位于锡林郭勒盟锡林浩特市额尔顿街道办事处新兴社区沃源奶牛场，</w:t>
      </w:r>
      <w:r>
        <w:rPr>
          <w:rFonts w:ascii="SimSun" w:hAnsi="SimSun" w:eastAsia="SimSun" w:cs="SimSun"/>
          <w:sz w:val="24"/>
          <w:szCs w:val="24"/>
          <w:spacing w:val="-3"/>
        </w:rPr>
        <w:t>项目位置见图</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3-1</w:t>
      </w:r>
      <w:r>
        <w:rPr>
          <w:rFonts w:ascii="SimSun" w:hAnsi="SimSun" w:eastAsia="SimSun" w:cs="SimSun"/>
          <w:sz w:val="24"/>
          <w:szCs w:val="24"/>
          <w:spacing w:val="-3"/>
        </w:rPr>
        <w:t>。</w:t>
      </w:r>
    </w:p>
    <w:p>
      <w:pPr>
        <w:ind w:left="102"/>
        <w:spacing w:before="311"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4.1.2 </w:t>
      </w:r>
      <w:r>
        <w:rPr>
          <w:rFonts w:ascii="SimSun" w:hAnsi="SimSun" w:eastAsia="SimSun" w:cs="SimSun"/>
          <w:sz w:val="24"/>
          <w:szCs w:val="24"/>
          <w:b/>
          <w:bCs/>
          <w:spacing w:val="-2"/>
        </w:rPr>
        <w:t>地形地貌</w:t>
      </w:r>
    </w:p>
    <w:p>
      <w:pPr>
        <w:pStyle w:val="BodyText"/>
        <w:spacing w:line="266" w:lineRule="auto"/>
        <w:rPr/>
      </w:pPr>
      <w:r/>
    </w:p>
    <w:p>
      <w:pPr>
        <w:ind w:left="104" w:right="77" w:firstLine="479"/>
        <w:spacing w:before="79" w:line="359" w:lineRule="auto"/>
        <w:jc w:val="both"/>
        <w:rPr>
          <w:rFonts w:ascii="SimSun" w:hAnsi="SimSun" w:eastAsia="SimSun" w:cs="SimSun"/>
          <w:sz w:val="24"/>
          <w:szCs w:val="24"/>
        </w:rPr>
      </w:pPr>
      <w:r>
        <w:rPr>
          <w:rFonts w:ascii="SimSun" w:hAnsi="SimSun" w:eastAsia="SimSun" w:cs="SimSun"/>
          <w:sz w:val="24"/>
          <w:szCs w:val="24"/>
          <w:spacing w:val="2"/>
        </w:rPr>
        <w:t>锡林郭勒盟是一个以高平原为主体，兼有多种地貌的地区；地势南高北低，</w:t>
      </w:r>
      <w:r>
        <w:rPr>
          <w:rFonts w:ascii="SimSun" w:hAnsi="SimSun" w:eastAsia="SimSun" w:cs="SimSun"/>
          <w:sz w:val="24"/>
          <w:szCs w:val="24"/>
          <w:spacing w:val="2"/>
        </w:rPr>
        <w:t>东、南部多低山丘陵，盆地错落其间，为大兴安岭向西和阴山山脉向东延伸的余</w:t>
      </w:r>
      <w:r>
        <w:rPr>
          <w:rFonts w:ascii="SimSun" w:hAnsi="SimSun" w:eastAsia="SimSun" w:cs="SimSun"/>
          <w:sz w:val="24"/>
          <w:szCs w:val="24"/>
          <w:spacing w:val="2"/>
        </w:rPr>
        <w:t>脉。西、北部地形平坦，零星分布一些低山丘陵和熔岩台地，为高原草场。海拔</w:t>
      </w:r>
      <w:r>
        <w:rPr>
          <w:rFonts w:ascii="SimSun" w:hAnsi="SimSun" w:eastAsia="SimSun" w:cs="SimSun"/>
          <w:sz w:val="24"/>
          <w:szCs w:val="24"/>
          <w:spacing w:val="-6"/>
        </w:rPr>
        <w:t>在</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6"/>
        </w:rPr>
        <w:t>800</w:t>
      </w:r>
      <w:r>
        <w:rPr>
          <w:rFonts w:ascii="SimSun" w:hAnsi="SimSun" w:eastAsia="SimSun" w:cs="SimSun"/>
          <w:sz w:val="24"/>
          <w:szCs w:val="24"/>
          <w:spacing w:val="-6"/>
        </w:rPr>
        <w:t>～</w:t>
      </w:r>
      <w:r>
        <w:rPr>
          <w:rFonts w:ascii="Times New Roman" w:hAnsi="Times New Roman" w:eastAsia="Times New Roman" w:cs="Times New Roman"/>
          <w:sz w:val="24"/>
          <w:szCs w:val="24"/>
          <w:spacing w:val="-6"/>
        </w:rPr>
        <w:t>1800m </w:t>
      </w:r>
      <w:r>
        <w:rPr>
          <w:rFonts w:ascii="SimSun" w:hAnsi="SimSun" w:eastAsia="SimSun" w:cs="SimSun"/>
          <w:sz w:val="24"/>
          <w:szCs w:val="24"/>
          <w:spacing w:val="-6"/>
        </w:rPr>
        <w:t>之间。最高山峰为古如格苏乌拉山峰， </w:t>
      </w:r>
      <w:r>
        <w:rPr>
          <w:rFonts w:ascii="SimSun" w:hAnsi="SimSun" w:eastAsia="SimSun" w:cs="SimSun"/>
          <w:sz w:val="24"/>
          <w:szCs w:val="24"/>
          <w:spacing w:val="-7"/>
        </w:rPr>
        <w:t>海拔</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7"/>
        </w:rPr>
        <w:t>1957m</w:t>
      </w:r>
      <w:r>
        <w:rPr>
          <w:rFonts w:ascii="SimSun" w:hAnsi="SimSun" w:eastAsia="SimSun" w:cs="SimSun"/>
          <w:sz w:val="24"/>
          <w:szCs w:val="24"/>
          <w:spacing w:val="-7"/>
        </w:rPr>
        <w:t>。浑善达克沙地</w:t>
      </w:r>
      <w:r>
        <w:rPr>
          <w:rFonts w:ascii="SimSun" w:hAnsi="SimSun" w:eastAsia="SimSun" w:cs="SimSun"/>
          <w:sz w:val="24"/>
          <w:szCs w:val="24"/>
          <w:spacing w:val="5"/>
        </w:rPr>
        <w:t>又称小腾格里沙地，由西北向东南横贯中部，</w:t>
      </w:r>
      <w:r>
        <w:rPr>
          <w:rFonts w:ascii="SimSun" w:hAnsi="SimSun" w:eastAsia="SimSun" w:cs="SimSun"/>
          <w:sz w:val="24"/>
          <w:szCs w:val="24"/>
          <w:spacing w:val="-45"/>
        </w:rPr>
        <w:t xml:space="preserve"> </w:t>
      </w:r>
      <w:r>
        <w:rPr>
          <w:rFonts w:ascii="SimSun" w:hAnsi="SimSun" w:eastAsia="SimSun" w:cs="SimSun"/>
          <w:sz w:val="24"/>
          <w:szCs w:val="24"/>
          <w:spacing w:val="5"/>
        </w:rPr>
        <w:t>东西长约 </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4"/>
        </w:rPr>
        <w:t>80</w:t>
      </w:r>
      <w:r>
        <w:rPr>
          <w:rFonts w:ascii="Times New Roman" w:hAnsi="Times New Roman" w:eastAsia="Times New Roman" w:cs="Times New Roman"/>
          <w:sz w:val="24"/>
          <w:szCs w:val="24"/>
        </w:rPr>
        <w:t>km</w:t>
      </w:r>
      <w:r>
        <w:rPr>
          <w:rFonts w:ascii="SimSun" w:hAnsi="SimSun" w:eastAsia="SimSun" w:cs="SimSun"/>
          <w:sz w:val="24"/>
          <w:szCs w:val="24"/>
          <w:spacing w:val="4"/>
        </w:rPr>
        <w:t>，南北宽约 </w:t>
      </w:r>
      <w:r>
        <w:rPr>
          <w:rFonts w:ascii="Times New Roman" w:hAnsi="Times New Roman" w:eastAsia="Times New Roman" w:cs="Times New Roman"/>
          <w:sz w:val="24"/>
          <w:szCs w:val="24"/>
          <w:spacing w:val="4"/>
        </w:rPr>
        <w:t>40</w:t>
      </w:r>
      <w:r>
        <w:rPr>
          <w:rFonts w:ascii="SimSun" w:hAnsi="SimSun" w:eastAsia="SimSun" w:cs="SimSun"/>
          <w:sz w:val="24"/>
          <w:szCs w:val="24"/>
          <w:spacing w:val="4"/>
        </w:rPr>
        <w:t>~</w:t>
      </w:r>
      <w:r>
        <w:rPr>
          <w:rFonts w:ascii="SimSun" w:hAnsi="SimSun" w:eastAsia="SimSun" w:cs="SimSun"/>
          <w:sz w:val="24"/>
          <w:szCs w:val="24"/>
        </w:rPr>
        <w:t xml:space="preserve"> </w:t>
      </w:r>
      <w:r>
        <w:rPr>
          <w:rFonts w:ascii="Times New Roman" w:hAnsi="Times New Roman" w:eastAsia="Times New Roman" w:cs="Times New Roman"/>
          <w:sz w:val="24"/>
          <w:szCs w:val="24"/>
          <w:spacing w:val="-3"/>
        </w:rPr>
        <w:t>100km</w:t>
      </w:r>
      <w:r>
        <w:rPr>
          <w:rFonts w:ascii="SimSun" w:hAnsi="SimSun" w:eastAsia="SimSun" w:cs="SimSun"/>
          <w:sz w:val="24"/>
          <w:szCs w:val="24"/>
          <w:spacing w:val="-3"/>
        </w:rPr>
        <w:t>；属半固定沙地。</w:t>
      </w:r>
    </w:p>
    <w:p>
      <w:pPr>
        <w:ind w:left="104" w:right="66" w:firstLine="479"/>
        <w:spacing w:before="6" w:line="357" w:lineRule="auto"/>
        <w:jc w:val="both"/>
        <w:rPr>
          <w:rFonts w:ascii="SimSun" w:hAnsi="SimSun" w:eastAsia="SimSun" w:cs="SimSun"/>
          <w:sz w:val="24"/>
          <w:szCs w:val="24"/>
        </w:rPr>
      </w:pPr>
      <w:r>
        <w:rPr>
          <w:rFonts w:ascii="SimSun" w:hAnsi="SimSun" w:eastAsia="SimSun" w:cs="SimSun"/>
          <w:sz w:val="24"/>
          <w:szCs w:val="24"/>
          <w:spacing w:val="-2"/>
        </w:rPr>
        <w:t>锡林浩特市地势南高北低，北部为平原的波状平原，海拔 </w:t>
      </w:r>
      <w:r>
        <w:rPr>
          <w:rFonts w:ascii="Times New Roman" w:hAnsi="Times New Roman" w:eastAsia="Times New Roman" w:cs="Times New Roman"/>
          <w:sz w:val="24"/>
          <w:szCs w:val="24"/>
          <w:spacing w:val="-2"/>
        </w:rPr>
        <w:t>1000m</w:t>
      </w:r>
      <w:r>
        <w:rPr>
          <w:rFonts w:ascii="Times New Roman" w:hAnsi="Times New Roman" w:eastAsia="Times New Roman" w:cs="Times New Roman"/>
          <w:sz w:val="24"/>
          <w:szCs w:val="24"/>
          <w:spacing w:val="40"/>
          <w:w w:val="101"/>
        </w:rPr>
        <w:t xml:space="preserve"> </w:t>
      </w:r>
      <w:r>
        <w:rPr>
          <w:rFonts w:ascii="SimSun" w:hAnsi="SimSun" w:eastAsia="SimSun" w:cs="SimSun"/>
          <w:sz w:val="24"/>
          <w:szCs w:val="24"/>
          <w:spacing w:val="-2"/>
        </w:rPr>
        <w:t>左右，南部</w:t>
      </w:r>
      <w:r>
        <w:rPr>
          <w:rFonts w:ascii="SimSun" w:hAnsi="SimSun" w:eastAsia="SimSun" w:cs="SimSun"/>
          <w:sz w:val="24"/>
          <w:szCs w:val="24"/>
          <w:spacing w:val="-2"/>
        </w:rPr>
        <w:t>为低山丘陵，海拔 </w:t>
      </w:r>
      <w:r>
        <w:rPr>
          <w:rFonts w:ascii="Times New Roman" w:hAnsi="Times New Roman" w:eastAsia="Times New Roman" w:cs="Times New Roman"/>
          <w:sz w:val="24"/>
          <w:szCs w:val="24"/>
          <w:spacing w:val="-2"/>
        </w:rPr>
        <w:t>1300m</w:t>
      </w:r>
      <w:r>
        <w:rPr>
          <w:rFonts w:ascii="Times New Roman" w:hAnsi="Times New Roman" w:eastAsia="Times New Roman" w:cs="Times New Roman"/>
          <w:sz w:val="24"/>
          <w:szCs w:val="24"/>
          <w:spacing w:val="46"/>
        </w:rPr>
        <w:t xml:space="preserve"> </w:t>
      </w:r>
      <w:r>
        <w:rPr>
          <w:rFonts w:ascii="SimSun" w:hAnsi="SimSun" w:eastAsia="SimSun" w:cs="SimSun"/>
          <w:sz w:val="24"/>
          <w:szCs w:val="24"/>
          <w:spacing w:val="-2"/>
        </w:rPr>
        <w:t>左右。锡林河纵贯中部，形成河谷冲积盆地，间有不均</w:t>
      </w:r>
      <w:r>
        <w:rPr>
          <w:rFonts w:ascii="SimSun" w:hAnsi="SimSun" w:eastAsia="SimSun" w:cs="SimSun"/>
          <w:sz w:val="24"/>
          <w:szCs w:val="24"/>
          <w:spacing w:val="-3"/>
        </w:rPr>
        <w:t>匀沼泽。盆地最低海拔</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3"/>
        </w:rPr>
        <w:t>920m </w:t>
      </w:r>
      <w:r>
        <w:rPr>
          <w:rFonts w:ascii="SimSun" w:hAnsi="SimSun" w:eastAsia="SimSun" w:cs="SimSun"/>
          <w:sz w:val="24"/>
          <w:szCs w:val="24"/>
          <w:spacing w:val="-3"/>
        </w:rPr>
        <w:t>左右，市区位于河谷盆地，周边低丘环绕，地势较平</w:t>
      </w:r>
      <w:r>
        <w:rPr>
          <w:rFonts w:ascii="SimSun" w:hAnsi="SimSun" w:eastAsia="SimSun" w:cs="SimSun"/>
          <w:sz w:val="24"/>
          <w:szCs w:val="24"/>
          <w:spacing w:val="2"/>
        </w:rPr>
        <w:t>坦，北倚敖包山，锡林河流经市区西部。构成了次一级的锡林浩特盆地；盆地内</w:t>
      </w:r>
      <w:r>
        <w:rPr>
          <w:rFonts w:ascii="SimSun" w:hAnsi="SimSun" w:eastAsia="SimSun" w:cs="SimSun"/>
          <w:sz w:val="24"/>
          <w:szCs w:val="24"/>
          <w:spacing w:val="2"/>
        </w:rPr>
        <w:t>储藏着丰富的松散层孔隙潜水，地下水的补给来源，主要是大气降水和地表水的</w:t>
      </w:r>
      <w:r>
        <w:rPr>
          <w:rFonts w:ascii="SimSun" w:hAnsi="SimSun" w:eastAsia="SimSun" w:cs="SimSun"/>
          <w:sz w:val="24"/>
          <w:szCs w:val="24"/>
          <w:spacing w:val="-10"/>
        </w:rPr>
        <w:t>渗入。</w:t>
      </w:r>
    </w:p>
    <w:p>
      <w:pPr>
        <w:ind w:left="109" w:right="5" w:firstLine="475"/>
        <w:spacing w:before="11" w:line="370" w:lineRule="auto"/>
        <w:rPr>
          <w:rFonts w:ascii="SimSun" w:hAnsi="SimSun" w:eastAsia="SimSun" w:cs="SimSun"/>
          <w:sz w:val="24"/>
          <w:szCs w:val="24"/>
        </w:rPr>
      </w:pPr>
      <w:r>
        <w:rPr>
          <w:rFonts w:ascii="SimSun" w:hAnsi="SimSun" w:eastAsia="SimSun" w:cs="SimSun"/>
          <w:sz w:val="24"/>
          <w:szCs w:val="24"/>
          <w:spacing w:val="-2"/>
        </w:rPr>
        <w:t>锡林浩特市现已作为水源地开采利用的是在</w:t>
      </w:r>
      <w:r>
        <w:rPr>
          <w:rFonts w:ascii="SimSun" w:hAnsi="SimSun" w:eastAsia="SimSun" w:cs="SimSun"/>
          <w:sz w:val="24"/>
          <w:szCs w:val="24"/>
          <w:spacing w:val="-3"/>
        </w:rPr>
        <w:t>锡林河上游地段，市区西南一带；</w:t>
      </w:r>
      <w:r>
        <w:rPr>
          <w:rFonts w:ascii="SimSun" w:hAnsi="SimSun" w:eastAsia="SimSun" w:cs="SimSun"/>
          <w:sz w:val="24"/>
          <w:szCs w:val="24"/>
          <w:spacing w:val="-1"/>
        </w:rPr>
        <w:t>该水源地地下水埋藏浅，富水性好，含水层厚度在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72</w:t>
      </w:r>
      <w:r>
        <w:rPr>
          <w:rFonts w:ascii="SimSun" w:hAnsi="SimSun" w:eastAsia="SimSun" w:cs="SimSun"/>
          <w:sz w:val="24"/>
          <w:szCs w:val="24"/>
          <w:spacing w:val="-2"/>
        </w:rPr>
        <w:t>～</w:t>
      </w:r>
      <w:r>
        <w:rPr>
          <w:rFonts w:ascii="Times New Roman" w:hAnsi="Times New Roman" w:eastAsia="Times New Roman" w:cs="Times New Roman"/>
          <w:sz w:val="24"/>
          <w:szCs w:val="24"/>
          <w:spacing w:val="-2"/>
        </w:rPr>
        <w:t>95m </w:t>
      </w:r>
      <w:r>
        <w:rPr>
          <w:rFonts w:ascii="SimSun" w:hAnsi="SimSun" w:eastAsia="SimSun" w:cs="SimSun"/>
          <w:sz w:val="24"/>
          <w:szCs w:val="24"/>
          <w:spacing w:val="-2"/>
        </w:rPr>
        <w:t>之间。</w:t>
      </w:r>
    </w:p>
    <w:p>
      <w:pPr>
        <w:spacing w:line="370" w:lineRule="auto"/>
        <w:sectPr>
          <w:headerReference w:type="default" r:id="rId90"/>
          <w:footerReference w:type="default" r:id="rId91"/>
          <w:pgSz w:w="11907" w:h="16839"/>
          <w:pgMar w:top="1582" w:right="1631" w:bottom="1235" w:left="1606" w:header="1241" w:footer="992" w:gutter="0"/>
        </w:sectPr>
        <w:rPr>
          <w:rFonts w:ascii="SimSun" w:hAnsi="SimSun" w:eastAsia="SimSun" w:cs="SimSun"/>
          <w:sz w:val="24"/>
          <w:szCs w:val="24"/>
        </w:rPr>
      </w:pPr>
    </w:p>
    <w:p>
      <w:pPr>
        <w:ind w:left="102"/>
        <w:spacing w:before="233"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4.1.3 </w:t>
      </w:r>
      <w:r>
        <w:rPr>
          <w:rFonts w:ascii="SimSun" w:hAnsi="SimSun" w:eastAsia="SimSun" w:cs="SimSun"/>
          <w:sz w:val="24"/>
          <w:szCs w:val="24"/>
          <w:b/>
          <w:bCs/>
          <w:spacing w:val="-2"/>
        </w:rPr>
        <w:t>地质构造</w:t>
      </w:r>
    </w:p>
    <w:p>
      <w:pPr>
        <w:pStyle w:val="BodyText"/>
        <w:spacing w:line="265" w:lineRule="auto"/>
        <w:rPr/>
      </w:pPr>
      <w:r/>
    </w:p>
    <w:p>
      <w:pPr>
        <w:ind w:left="105" w:right="71" w:firstLine="478"/>
        <w:spacing w:before="78" w:line="359" w:lineRule="auto"/>
        <w:jc w:val="both"/>
        <w:rPr>
          <w:rFonts w:ascii="SimSun" w:hAnsi="SimSun" w:eastAsia="SimSun" w:cs="SimSun"/>
          <w:sz w:val="24"/>
          <w:szCs w:val="24"/>
        </w:rPr>
      </w:pPr>
      <w:r>
        <w:rPr>
          <w:rFonts w:ascii="SimSun" w:hAnsi="SimSun" w:eastAsia="SimSun" w:cs="SimSun"/>
          <w:sz w:val="24"/>
          <w:szCs w:val="24"/>
          <w:spacing w:val="3"/>
        </w:rPr>
        <w:t>锡林浩特市气候干燥，降水量少，地表水系不发育，区内</w:t>
      </w:r>
      <w:r>
        <w:rPr>
          <w:rFonts w:ascii="SimSun" w:hAnsi="SimSun" w:eastAsia="SimSun" w:cs="SimSun"/>
          <w:sz w:val="24"/>
          <w:szCs w:val="24"/>
          <w:spacing w:val="2"/>
        </w:rPr>
        <w:t>有河流五条，除锡</w:t>
      </w:r>
      <w:r>
        <w:rPr>
          <w:rFonts w:ascii="SimSun" w:hAnsi="SimSun" w:eastAsia="SimSun" w:cs="SimSun"/>
          <w:sz w:val="24"/>
          <w:szCs w:val="24"/>
          <w:spacing w:val="2"/>
        </w:rPr>
        <w:t>林河常年有水外，其余为季节型河流。地下水位埋深变化较大，含水层厚度变化</w:t>
      </w:r>
      <w:r>
        <w:rPr>
          <w:rFonts w:ascii="SimSun" w:hAnsi="SimSun" w:eastAsia="SimSun" w:cs="SimSun"/>
          <w:sz w:val="24"/>
          <w:szCs w:val="24"/>
          <w:spacing w:val="-5"/>
        </w:rPr>
        <w:t>较大，但水质良好。</w:t>
      </w:r>
    </w:p>
    <w:p>
      <w:pPr>
        <w:ind w:left="106" w:right="66" w:firstLine="478"/>
        <w:spacing w:before="3" w:line="358" w:lineRule="auto"/>
        <w:jc w:val="both"/>
        <w:rPr>
          <w:rFonts w:ascii="SimSun" w:hAnsi="SimSun" w:eastAsia="SimSun" w:cs="SimSun"/>
          <w:sz w:val="24"/>
          <w:szCs w:val="24"/>
        </w:rPr>
      </w:pPr>
      <w:r>
        <w:rPr>
          <w:rFonts w:ascii="SimSun" w:hAnsi="SimSun" w:eastAsia="SimSun" w:cs="SimSun"/>
          <w:sz w:val="24"/>
          <w:szCs w:val="24"/>
          <w:spacing w:val="-1"/>
        </w:rPr>
        <w:t>锡林浩特城区及近郊</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1"/>
        </w:rPr>
        <w:t>300km</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1"/>
        </w:rPr>
        <w:t>范围内均处于胜利</w:t>
      </w:r>
      <w:r>
        <w:rPr>
          <w:rFonts w:ascii="Times New Roman" w:hAnsi="Times New Roman" w:eastAsia="Times New Roman" w:cs="Times New Roman"/>
          <w:sz w:val="24"/>
          <w:szCs w:val="24"/>
          <w:spacing w:val="-1"/>
        </w:rPr>
        <w:t>—</w:t>
      </w:r>
      <w:r>
        <w:rPr>
          <w:rFonts w:ascii="SimSun" w:hAnsi="SimSun" w:eastAsia="SimSun" w:cs="SimSun"/>
          <w:sz w:val="24"/>
          <w:szCs w:val="24"/>
          <w:spacing w:val="-1"/>
        </w:rPr>
        <w:t>毛登断陷盆地中，盆地周边</w:t>
      </w:r>
      <w:r>
        <w:rPr>
          <w:rFonts w:ascii="SimSun" w:hAnsi="SimSun" w:eastAsia="SimSun" w:cs="SimSun"/>
          <w:sz w:val="24"/>
          <w:szCs w:val="24"/>
          <w:spacing w:val="2"/>
        </w:rPr>
        <w:t>为低山丘陵及玄武岩台地，罕尼乌拉北断裂使其南侧下沉，第四纪厚度增大，构</w:t>
      </w:r>
      <w:r>
        <w:rPr>
          <w:rFonts w:ascii="SimSun" w:hAnsi="SimSun" w:eastAsia="SimSun" w:cs="SimSun"/>
          <w:sz w:val="24"/>
          <w:szCs w:val="24"/>
          <w:spacing w:val="2"/>
        </w:rPr>
        <w:t>成了次一级的锡林浩特盆地；盆地内储藏着丰富的松散层孔隙潜水，地下水的补</w:t>
      </w:r>
      <w:r>
        <w:rPr>
          <w:rFonts w:ascii="SimSun" w:hAnsi="SimSun" w:eastAsia="SimSun" w:cs="SimSun"/>
          <w:sz w:val="24"/>
          <w:szCs w:val="24"/>
          <w:spacing w:val="-3"/>
        </w:rPr>
        <w:t>给来源，主要是大气降水和地表水的渗入。</w:t>
      </w:r>
    </w:p>
    <w:p>
      <w:pPr>
        <w:ind w:left="109" w:right="5" w:firstLine="475"/>
        <w:spacing w:before="3" w:line="370" w:lineRule="auto"/>
        <w:rPr>
          <w:rFonts w:ascii="SimSun" w:hAnsi="SimSun" w:eastAsia="SimSun" w:cs="SimSun"/>
          <w:sz w:val="24"/>
          <w:szCs w:val="24"/>
        </w:rPr>
      </w:pPr>
      <w:r>
        <w:rPr>
          <w:rFonts w:ascii="SimSun" w:hAnsi="SimSun" w:eastAsia="SimSun" w:cs="SimSun"/>
          <w:sz w:val="24"/>
          <w:szCs w:val="24"/>
          <w:spacing w:val="-2"/>
        </w:rPr>
        <w:t>锡林浩特市现已作为水源地开采利用的是在</w:t>
      </w:r>
      <w:r>
        <w:rPr>
          <w:rFonts w:ascii="SimSun" w:hAnsi="SimSun" w:eastAsia="SimSun" w:cs="SimSun"/>
          <w:sz w:val="24"/>
          <w:szCs w:val="24"/>
          <w:spacing w:val="-3"/>
        </w:rPr>
        <w:t>锡林河上游地段，市区西南一带；</w:t>
      </w:r>
      <w:r>
        <w:rPr>
          <w:rFonts w:ascii="SimSun" w:hAnsi="SimSun" w:eastAsia="SimSun" w:cs="SimSun"/>
          <w:sz w:val="24"/>
          <w:szCs w:val="24"/>
          <w:spacing w:val="-1"/>
        </w:rPr>
        <w:t>该水源地地下水埋藏浅，富水性好，含水层厚度在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72</w:t>
      </w:r>
      <w:r>
        <w:rPr>
          <w:rFonts w:ascii="SimSun" w:hAnsi="SimSun" w:eastAsia="SimSun" w:cs="SimSun"/>
          <w:sz w:val="24"/>
          <w:szCs w:val="24"/>
          <w:spacing w:val="-2"/>
        </w:rPr>
        <w:t>～</w:t>
      </w:r>
      <w:r>
        <w:rPr>
          <w:rFonts w:ascii="Times New Roman" w:hAnsi="Times New Roman" w:eastAsia="Times New Roman" w:cs="Times New Roman"/>
          <w:sz w:val="24"/>
          <w:szCs w:val="24"/>
          <w:spacing w:val="-2"/>
        </w:rPr>
        <w:t>95m </w:t>
      </w:r>
      <w:r>
        <w:rPr>
          <w:rFonts w:ascii="SimSun" w:hAnsi="SimSun" w:eastAsia="SimSun" w:cs="SimSun"/>
          <w:sz w:val="24"/>
          <w:szCs w:val="24"/>
          <w:spacing w:val="-2"/>
        </w:rPr>
        <w:t>之间。</w:t>
      </w:r>
    </w:p>
    <w:p>
      <w:pPr>
        <w:ind w:left="102"/>
        <w:spacing w:before="312"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4.1.4 </w:t>
      </w:r>
      <w:r>
        <w:rPr>
          <w:rFonts w:ascii="SimSun" w:hAnsi="SimSun" w:eastAsia="SimSun" w:cs="SimSun"/>
          <w:sz w:val="24"/>
          <w:szCs w:val="24"/>
          <w:b/>
          <w:bCs/>
          <w:spacing w:val="-2"/>
        </w:rPr>
        <w:t>气象条件</w:t>
      </w:r>
    </w:p>
    <w:p>
      <w:pPr>
        <w:pStyle w:val="BodyText"/>
        <w:spacing w:line="266" w:lineRule="auto"/>
        <w:rPr/>
      </w:pPr>
      <w:r/>
    </w:p>
    <w:p>
      <w:pPr>
        <w:ind w:left="105" w:right="63" w:firstLine="478"/>
        <w:spacing w:before="78" w:line="360" w:lineRule="auto"/>
        <w:jc w:val="both"/>
        <w:rPr>
          <w:rFonts w:ascii="SimSun" w:hAnsi="SimSun" w:eastAsia="SimSun" w:cs="SimSun"/>
          <w:sz w:val="24"/>
          <w:szCs w:val="24"/>
        </w:rPr>
      </w:pPr>
      <w:r>
        <w:rPr>
          <w:rFonts w:ascii="SimSun" w:hAnsi="SimSun" w:eastAsia="SimSun" w:cs="SimSun"/>
          <w:sz w:val="24"/>
          <w:szCs w:val="24"/>
          <w:spacing w:val="3"/>
        </w:rPr>
        <w:t>锡林浩特市属于内蒙古干旱高寒地区，无霜期</w:t>
      </w:r>
      <w:r>
        <w:rPr>
          <w:rFonts w:ascii="SimSun" w:hAnsi="SimSun" w:eastAsia="SimSun" w:cs="SimSun"/>
          <w:sz w:val="24"/>
          <w:szCs w:val="24"/>
          <w:spacing w:val="2"/>
        </w:rPr>
        <w:t>短，降雨量少，冬季寒冷而漫</w:t>
      </w:r>
      <w:r>
        <w:rPr>
          <w:rFonts w:ascii="SimSun" w:hAnsi="SimSun" w:eastAsia="SimSun" w:cs="SimSun"/>
          <w:sz w:val="24"/>
          <w:szCs w:val="24"/>
          <w:spacing w:val="2"/>
        </w:rPr>
        <w:t>长，夏季酷热而短暂，是典型的大陆型气候。由于其地理位置及特殊的地理环境</w:t>
      </w:r>
      <w:r>
        <w:rPr>
          <w:rFonts w:ascii="SimSun" w:hAnsi="SimSun" w:eastAsia="SimSun" w:cs="SimSun"/>
          <w:sz w:val="24"/>
          <w:szCs w:val="24"/>
          <w:spacing w:val="2"/>
        </w:rPr>
        <w:t>使得该地的气候特征主要表现为：春季雨少风大，气候干燥，天气变化剧烈；夏</w:t>
      </w:r>
      <w:r>
        <w:rPr>
          <w:rFonts w:ascii="SimSun" w:hAnsi="SimSun" w:eastAsia="SimSun" w:cs="SimSun"/>
          <w:sz w:val="24"/>
          <w:szCs w:val="24"/>
          <w:spacing w:val="1"/>
        </w:rPr>
        <w:t>季雨热同季，雨季短促而集中，</w:t>
      </w:r>
      <w:r>
        <w:rPr>
          <w:rFonts w:ascii="SimSun" w:hAnsi="SimSun" w:eastAsia="SimSun" w:cs="SimSun"/>
          <w:sz w:val="24"/>
          <w:szCs w:val="24"/>
          <w:spacing w:val="-65"/>
        </w:rPr>
        <w:t xml:space="preserve"> </w:t>
      </w:r>
      <w:r>
        <w:rPr>
          <w:rFonts w:ascii="SimSun" w:hAnsi="SimSun" w:eastAsia="SimSun" w:cs="SimSun"/>
          <w:sz w:val="24"/>
          <w:szCs w:val="24"/>
          <w:spacing w:val="1"/>
        </w:rPr>
        <w:t>日照充足；秋季降温快，秋风寒，</w:t>
      </w:r>
      <w:r>
        <w:rPr>
          <w:rFonts w:ascii="SimSun" w:hAnsi="SimSun" w:eastAsia="SimSun" w:cs="SimSun"/>
          <w:sz w:val="24"/>
          <w:szCs w:val="24"/>
        </w:rPr>
        <w:t>霜冻早；冬季</w:t>
      </w:r>
      <w:r>
        <w:rPr>
          <w:rFonts w:ascii="SimSun" w:hAnsi="SimSun" w:eastAsia="SimSun" w:cs="SimSun"/>
          <w:sz w:val="24"/>
          <w:szCs w:val="24"/>
          <w:spacing w:val="-9"/>
        </w:rPr>
        <w:t>漫长、寒冷，</w:t>
      </w:r>
      <w:r>
        <w:rPr>
          <w:rFonts w:ascii="SimSun" w:hAnsi="SimSun" w:eastAsia="SimSun" w:cs="SimSun"/>
          <w:sz w:val="24"/>
          <w:szCs w:val="24"/>
          <w:spacing w:val="64"/>
        </w:rPr>
        <w:t xml:space="preserve"> </w:t>
      </w:r>
      <w:r>
        <w:rPr>
          <w:rFonts w:ascii="SimSun" w:hAnsi="SimSun" w:eastAsia="SimSun" w:cs="SimSun"/>
          <w:sz w:val="24"/>
          <w:szCs w:val="24"/>
          <w:spacing w:val="-9"/>
        </w:rPr>
        <w:t>灾害多。年平均气温为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9"/>
        </w:rPr>
        <w:t>2.8℃</w:t>
      </w:r>
      <w:r>
        <w:rPr>
          <w:rFonts w:ascii="SimSun" w:hAnsi="SimSun" w:eastAsia="SimSun" w:cs="SimSun"/>
          <w:sz w:val="24"/>
          <w:szCs w:val="24"/>
          <w:spacing w:val="-9"/>
        </w:rPr>
        <w:t>,</w:t>
      </w:r>
      <w:r>
        <w:rPr>
          <w:rFonts w:ascii="SimSun" w:hAnsi="SimSun" w:eastAsia="SimSun" w:cs="SimSun"/>
          <w:sz w:val="24"/>
          <w:szCs w:val="24"/>
          <w:spacing w:val="60"/>
        </w:rPr>
        <w:t xml:space="preserve"> </w:t>
      </w:r>
      <w:r>
        <w:rPr>
          <w:rFonts w:ascii="SimSun" w:hAnsi="SimSun" w:eastAsia="SimSun" w:cs="SimSun"/>
          <w:sz w:val="24"/>
          <w:szCs w:val="24"/>
          <w:spacing w:val="-9"/>
        </w:rPr>
        <w:t>极端最高气温为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9"/>
        </w:rPr>
        <w:t>39</w:t>
      </w:r>
      <w:r>
        <w:rPr>
          <w:rFonts w:ascii="Times New Roman" w:hAnsi="Times New Roman" w:eastAsia="Times New Roman" w:cs="Times New Roman"/>
          <w:sz w:val="24"/>
          <w:szCs w:val="24"/>
          <w:spacing w:val="-10"/>
        </w:rPr>
        <w:t>.2℃</w:t>
      </w:r>
      <w:r>
        <w:rPr>
          <w:rFonts w:ascii="SimSun" w:hAnsi="SimSun" w:eastAsia="SimSun" w:cs="SimSun"/>
          <w:sz w:val="24"/>
          <w:szCs w:val="24"/>
          <w:spacing w:val="-10"/>
        </w:rPr>
        <w:t>,</w:t>
      </w:r>
      <w:r>
        <w:rPr>
          <w:rFonts w:ascii="SimSun" w:hAnsi="SimSun" w:eastAsia="SimSun" w:cs="SimSun"/>
          <w:sz w:val="24"/>
          <w:szCs w:val="24"/>
          <w:spacing w:val="61"/>
        </w:rPr>
        <w:t xml:space="preserve"> </w:t>
      </w:r>
      <w:r>
        <w:rPr>
          <w:rFonts w:ascii="SimSun" w:hAnsi="SimSun" w:eastAsia="SimSun" w:cs="SimSun"/>
          <w:sz w:val="24"/>
          <w:szCs w:val="24"/>
          <w:spacing w:val="-10"/>
        </w:rPr>
        <w:t>极端最低气</w:t>
      </w:r>
      <w:r>
        <w:rPr>
          <w:rFonts w:ascii="SimSun" w:hAnsi="SimSun" w:eastAsia="SimSun" w:cs="SimSun"/>
          <w:sz w:val="24"/>
          <w:szCs w:val="24"/>
          <w:spacing w:val="-1"/>
        </w:rPr>
        <w:t>温为</w:t>
      </w:r>
      <w:r>
        <w:rPr>
          <w:rFonts w:ascii="Times New Roman" w:hAnsi="Times New Roman" w:eastAsia="Times New Roman" w:cs="Times New Roman"/>
          <w:sz w:val="24"/>
          <w:szCs w:val="24"/>
          <w:spacing w:val="-1"/>
        </w:rPr>
        <w:t>-37.7℃</w:t>
      </w:r>
      <w:r>
        <w:rPr>
          <w:rFonts w:ascii="SimSun" w:hAnsi="SimSun" w:eastAsia="SimSun" w:cs="SimSun"/>
          <w:sz w:val="24"/>
          <w:szCs w:val="24"/>
          <w:spacing w:val="-1"/>
        </w:rPr>
        <w:t>；年平均气压为</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1"/>
        </w:rPr>
        <w:t>901.5hPa</w:t>
      </w:r>
      <w:r>
        <w:rPr>
          <w:rFonts w:ascii="SimSun" w:hAnsi="SimSun" w:eastAsia="SimSun" w:cs="SimSun"/>
          <w:sz w:val="24"/>
          <w:szCs w:val="24"/>
          <w:spacing w:val="-1"/>
        </w:rPr>
        <w:t>；年平均相对湿度为 </w:t>
      </w:r>
      <w:r>
        <w:rPr>
          <w:rFonts w:ascii="Times New Roman" w:hAnsi="Times New Roman" w:eastAsia="Times New Roman" w:cs="Times New Roman"/>
          <w:sz w:val="24"/>
          <w:szCs w:val="24"/>
          <w:spacing w:val="-1"/>
        </w:rPr>
        <w:t>58%</w:t>
      </w:r>
      <w:r>
        <w:rPr>
          <w:rFonts w:ascii="SimSun" w:hAnsi="SimSun" w:eastAsia="SimSun" w:cs="SimSun"/>
          <w:sz w:val="24"/>
          <w:szCs w:val="24"/>
          <w:spacing w:val="-1"/>
        </w:rPr>
        <w:t>；年平</w:t>
      </w:r>
      <w:r>
        <w:rPr>
          <w:rFonts w:ascii="SimSun" w:hAnsi="SimSun" w:eastAsia="SimSun" w:cs="SimSun"/>
          <w:sz w:val="24"/>
          <w:szCs w:val="24"/>
          <w:spacing w:val="-2"/>
        </w:rPr>
        <w:t>均降水量为</w:t>
      </w:r>
      <w:r>
        <w:rPr>
          <w:rFonts w:ascii="Times New Roman" w:hAnsi="Times New Roman" w:eastAsia="Times New Roman" w:cs="Times New Roman"/>
          <w:sz w:val="24"/>
          <w:szCs w:val="24"/>
          <w:spacing w:val="-4"/>
        </w:rPr>
        <w:t>342mm</w:t>
      </w:r>
      <w:r>
        <w:rPr>
          <w:rFonts w:ascii="SimSun" w:hAnsi="SimSun" w:eastAsia="SimSun" w:cs="SimSun"/>
          <w:sz w:val="24"/>
          <w:szCs w:val="24"/>
          <w:spacing w:val="-4"/>
        </w:rPr>
        <w:t>，年极端最高降水量为</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481.00mm</w:t>
      </w:r>
      <w:r>
        <w:rPr>
          <w:rFonts w:ascii="SimSun" w:hAnsi="SimSun" w:eastAsia="SimSun" w:cs="SimSun"/>
          <w:sz w:val="24"/>
          <w:szCs w:val="24"/>
          <w:spacing w:val="-4"/>
        </w:rPr>
        <w:t>；年平均蒸</w:t>
      </w:r>
      <w:r>
        <w:rPr>
          <w:rFonts w:ascii="SimSun" w:hAnsi="SimSun" w:eastAsia="SimSun" w:cs="SimSun"/>
          <w:sz w:val="24"/>
          <w:szCs w:val="24"/>
          <w:spacing w:val="-5"/>
        </w:rPr>
        <w:t>发量为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5"/>
        </w:rPr>
        <w:t>1805.1mm</w:t>
      </w:r>
      <w:r>
        <w:rPr>
          <w:rFonts w:ascii="SimSun" w:hAnsi="SimSun" w:eastAsia="SimSun" w:cs="SimSun"/>
          <w:sz w:val="24"/>
          <w:szCs w:val="24"/>
          <w:spacing w:val="-5"/>
        </w:rPr>
        <w:t>（</w:t>
      </w:r>
      <w:r>
        <w:rPr>
          <w:rFonts w:ascii="Times New Roman" w:hAnsi="Times New Roman" w:eastAsia="Times New Roman" w:cs="Times New Roman"/>
          <w:sz w:val="24"/>
          <w:szCs w:val="24"/>
          <w:spacing w:val="-5"/>
        </w:rPr>
        <w:t>1991—2021</w:t>
      </w:r>
      <w:r>
        <w:rPr>
          <w:rFonts w:ascii="SimSun" w:hAnsi="SimSun" w:eastAsia="SimSun" w:cs="SimSun"/>
          <w:sz w:val="24"/>
          <w:szCs w:val="24"/>
          <w:spacing w:val="-1"/>
        </w:rPr>
        <w:t>年</w:t>
      </w:r>
      <w:r>
        <w:rPr>
          <w:rFonts w:ascii="SimSun" w:hAnsi="SimSun" w:eastAsia="SimSun" w:cs="SimSun"/>
          <w:sz w:val="24"/>
          <w:szCs w:val="24"/>
          <w:spacing w:val="-2"/>
        </w:rPr>
        <w:t>）；</w:t>
      </w:r>
      <w:r>
        <w:rPr>
          <w:rFonts w:ascii="SimSun" w:hAnsi="SimSun" w:eastAsia="SimSun" w:cs="SimSun"/>
          <w:sz w:val="24"/>
          <w:szCs w:val="24"/>
          <w:spacing w:val="-1"/>
        </w:rPr>
        <w:t>年日照时数</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2929.8h</w:t>
      </w:r>
      <w:r>
        <w:rPr>
          <w:rFonts w:ascii="SimSun" w:hAnsi="SimSun" w:eastAsia="SimSun" w:cs="SimSun"/>
          <w:sz w:val="24"/>
          <w:szCs w:val="24"/>
          <w:spacing w:val="-1"/>
        </w:rPr>
        <w:t>；年平均风速为</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3.4m/s</w:t>
      </w:r>
      <w:r>
        <w:rPr>
          <w:rFonts w:ascii="SimSun" w:hAnsi="SimSun" w:eastAsia="SimSun" w:cs="SimSun"/>
          <w:sz w:val="24"/>
          <w:szCs w:val="24"/>
          <w:spacing w:val="-2"/>
        </w:rPr>
        <w:t>，年主导风向为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SW </w:t>
      </w:r>
      <w:r>
        <w:rPr>
          <w:rFonts w:ascii="SimSun" w:hAnsi="SimSun" w:eastAsia="SimSun" w:cs="SimSun"/>
          <w:sz w:val="24"/>
          <w:szCs w:val="24"/>
          <w:spacing w:val="-2"/>
        </w:rPr>
        <w:t>风，出现频</w:t>
      </w:r>
      <w:r>
        <w:rPr>
          <w:rFonts w:ascii="SimSun" w:hAnsi="SimSun" w:eastAsia="SimSun" w:cs="SimSun"/>
          <w:sz w:val="24"/>
          <w:szCs w:val="24"/>
          <w:spacing w:val="-2"/>
        </w:rPr>
        <w:t>率为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13.0%</w:t>
      </w:r>
      <w:r>
        <w:rPr>
          <w:rFonts w:ascii="SimSun" w:hAnsi="SimSun" w:eastAsia="SimSun" w:cs="SimSun"/>
          <w:sz w:val="24"/>
          <w:szCs w:val="24"/>
          <w:spacing w:val="-2"/>
        </w:rPr>
        <w:t>，冬季主导风向为</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2"/>
        </w:rPr>
        <w:t>SW</w:t>
      </w:r>
      <w:r>
        <w:rPr>
          <w:rFonts w:ascii="SimSun" w:hAnsi="SimSun" w:eastAsia="SimSun" w:cs="SimSun"/>
          <w:sz w:val="24"/>
          <w:szCs w:val="24"/>
          <w:spacing w:val="-2"/>
        </w:rPr>
        <w:t>，相应频率为</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21%</w:t>
      </w:r>
      <w:r>
        <w:rPr>
          <w:rFonts w:ascii="SimSun" w:hAnsi="SimSun" w:eastAsia="SimSun" w:cs="SimSun"/>
          <w:sz w:val="24"/>
          <w:szCs w:val="24"/>
          <w:spacing w:val="-2"/>
        </w:rPr>
        <w:t>；</w:t>
      </w:r>
      <w:r>
        <w:rPr>
          <w:rFonts w:ascii="SimSun" w:hAnsi="SimSun" w:eastAsia="SimSun" w:cs="SimSun"/>
          <w:sz w:val="24"/>
          <w:szCs w:val="24"/>
          <w:spacing w:val="-3"/>
        </w:rPr>
        <w:t>夏季主导风向为</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3"/>
        </w:rPr>
        <w:t>SW</w:t>
      </w:r>
      <w:r>
        <w:rPr>
          <w:rFonts w:ascii="SimSun" w:hAnsi="SimSun" w:eastAsia="SimSun" w:cs="SimSun"/>
          <w:sz w:val="24"/>
          <w:szCs w:val="24"/>
          <w:spacing w:val="-3"/>
        </w:rPr>
        <w:t>，相应</w:t>
      </w:r>
      <w:r>
        <w:rPr>
          <w:rFonts w:ascii="SimSun" w:hAnsi="SimSun" w:eastAsia="SimSun" w:cs="SimSun"/>
          <w:sz w:val="24"/>
          <w:szCs w:val="24"/>
          <w:spacing w:val="-2"/>
        </w:rPr>
        <w:t>频率为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9%</w:t>
      </w:r>
      <w:r>
        <w:rPr>
          <w:rFonts w:ascii="SimSun" w:hAnsi="SimSun" w:eastAsia="SimSun" w:cs="SimSun"/>
          <w:sz w:val="24"/>
          <w:szCs w:val="24"/>
          <w:spacing w:val="-2"/>
        </w:rPr>
        <w:t>；累年最大冻土深度</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2"/>
        </w:rPr>
        <w:t>2.89m</w:t>
      </w:r>
      <w:r>
        <w:rPr>
          <w:rFonts w:ascii="SimSun" w:hAnsi="SimSun" w:eastAsia="SimSun" w:cs="SimSun"/>
          <w:sz w:val="24"/>
          <w:szCs w:val="24"/>
          <w:spacing w:val="-2"/>
        </w:rPr>
        <w:t>。</w:t>
      </w:r>
    </w:p>
    <w:p>
      <w:pPr>
        <w:pStyle w:val="BodyText"/>
        <w:spacing w:line="249" w:lineRule="auto"/>
        <w:rPr/>
      </w:pPr>
      <w:r/>
    </w:p>
    <w:p>
      <w:pPr>
        <w:ind w:left="102"/>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4.1.5 </w:t>
      </w:r>
      <w:r>
        <w:rPr>
          <w:rFonts w:ascii="SimSun" w:hAnsi="SimSun" w:eastAsia="SimSun" w:cs="SimSun"/>
          <w:sz w:val="24"/>
          <w:szCs w:val="24"/>
          <w:b/>
          <w:bCs/>
          <w:spacing w:val="-2"/>
        </w:rPr>
        <w:t>土壤植被</w:t>
      </w:r>
    </w:p>
    <w:p>
      <w:pPr>
        <w:pStyle w:val="BodyText"/>
        <w:spacing w:line="263" w:lineRule="auto"/>
        <w:rPr/>
      </w:pPr>
      <w:r/>
    </w:p>
    <w:p>
      <w:pPr>
        <w:ind w:left="105" w:right="1" w:firstLine="480"/>
        <w:spacing w:before="78" w:line="363" w:lineRule="auto"/>
        <w:jc w:val="both"/>
        <w:rPr>
          <w:rFonts w:ascii="SimSun" w:hAnsi="SimSun" w:eastAsia="SimSun" w:cs="SimSun"/>
          <w:sz w:val="24"/>
          <w:szCs w:val="24"/>
        </w:rPr>
      </w:pPr>
      <w:r>
        <w:rPr>
          <w:rFonts w:ascii="SimSun" w:hAnsi="SimSun" w:eastAsia="SimSun" w:cs="SimSun"/>
          <w:sz w:val="24"/>
          <w:szCs w:val="24"/>
          <w:spacing w:val="2"/>
        </w:rPr>
        <w:t>本市地带性土壤为栗钙土，非地带性土壤有沙壤土等。土壤团粒结构较差，</w:t>
      </w:r>
      <w:r>
        <w:rPr>
          <w:rFonts w:ascii="SimSun" w:hAnsi="SimSun" w:eastAsia="SimSun" w:cs="SimSun"/>
          <w:sz w:val="24"/>
          <w:szCs w:val="24"/>
          <w:spacing w:val="-7"/>
        </w:rPr>
        <w:t>裸土抗蚀性较差。栗钙土有机质含量为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7"/>
        </w:rPr>
        <w:t>4.3%</w:t>
      </w:r>
      <w:r>
        <w:rPr>
          <w:rFonts w:ascii="SimSun" w:hAnsi="SimSun" w:eastAsia="SimSun" w:cs="SimSun"/>
          <w:sz w:val="24"/>
          <w:szCs w:val="24"/>
          <w:spacing w:val="-7"/>
        </w:rPr>
        <w:t>，</w:t>
      </w:r>
      <w:r>
        <w:rPr>
          <w:rFonts w:ascii="Times New Roman" w:hAnsi="Times New Roman" w:eastAsia="Times New Roman" w:cs="Times New Roman"/>
          <w:sz w:val="24"/>
          <w:szCs w:val="24"/>
          <w:spacing w:val="-7"/>
        </w:rPr>
        <w:t>pH </w:t>
      </w:r>
      <w:r>
        <w:rPr>
          <w:rFonts w:ascii="SimSun" w:hAnsi="SimSun" w:eastAsia="SimSun" w:cs="SimSun"/>
          <w:sz w:val="24"/>
          <w:szCs w:val="24"/>
          <w:spacing w:val="-7"/>
        </w:rPr>
        <w:t>值为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7.87</w:t>
      </w:r>
      <w:r>
        <w:rPr>
          <w:rFonts w:ascii="SimSun" w:hAnsi="SimSun" w:eastAsia="SimSun" w:cs="SimSun"/>
          <w:sz w:val="24"/>
          <w:szCs w:val="24"/>
          <w:spacing w:val="-7"/>
        </w:rPr>
        <w:t>，土壤质地为轻壤中壤，</w:t>
      </w:r>
      <w:r>
        <w:rPr>
          <w:rFonts w:ascii="SimSun" w:hAnsi="SimSun" w:eastAsia="SimSun" w:cs="SimSun"/>
          <w:sz w:val="24"/>
          <w:szCs w:val="24"/>
          <w:spacing w:val="2"/>
        </w:rPr>
        <w:t>土壤养分状况是缺磷、富钾、氮中等。锡林浩特市处于典型草原地带性植被类型</w:t>
      </w:r>
      <w:r>
        <w:rPr>
          <w:rFonts w:ascii="SimSun" w:hAnsi="SimSun" w:eastAsia="SimSun" w:cs="SimSun"/>
          <w:sz w:val="24"/>
          <w:szCs w:val="24"/>
          <w:spacing w:val="2"/>
        </w:rPr>
        <w:t>区，该区域属于温带干草原栗钙土地带，其类型为贝加尔针茅</w:t>
      </w:r>
      <w:r>
        <w:rPr>
          <w:rFonts w:ascii="Times New Roman" w:hAnsi="Times New Roman" w:eastAsia="Times New Roman" w:cs="Times New Roman"/>
          <w:sz w:val="24"/>
          <w:szCs w:val="24"/>
          <w:spacing w:val="2"/>
        </w:rPr>
        <w:t>+</w:t>
      </w:r>
      <w:r>
        <w:rPr>
          <w:rFonts w:ascii="SimSun" w:hAnsi="SimSun" w:eastAsia="SimSun" w:cs="SimSun"/>
          <w:sz w:val="24"/>
          <w:szCs w:val="24"/>
          <w:spacing w:val="2"/>
        </w:rPr>
        <w:t>羊草</w:t>
      </w:r>
      <w:r>
        <w:rPr>
          <w:rFonts w:ascii="Times New Roman" w:hAnsi="Times New Roman" w:eastAsia="Times New Roman" w:cs="Times New Roman"/>
          <w:sz w:val="24"/>
          <w:szCs w:val="24"/>
          <w:spacing w:val="1"/>
        </w:rPr>
        <w:t>+</w:t>
      </w:r>
      <w:r>
        <w:rPr>
          <w:rFonts w:ascii="SimSun" w:hAnsi="SimSun" w:eastAsia="SimSun" w:cs="SimSun"/>
          <w:sz w:val="24"/>
          <w:szCs w:val="24"/>
          <w:spacing w:val="1"/>
        </w:rPr>
        <w:t>线叶菊、线</w:t>
      </w:r>
    </w:p>
    <w:p>
      <w:pPr>
        <w:spacing w:line="363" w:lineRule="auto"/>
        <w:sectPr>
          <w:footerReference w:type="default" r:id="rId92"/>
          <w:pgSz w:w="11907" w:h="16839"/>
          <w:pgMar w:top="1582" w:right="1631" w:bottom="1235" w:left="1606" w:header="1241" w:footer="992" w:gutter="0"/>
        </w:sectPr>
        <w:rPr>
          <w:rFonts w:ascii="SimSun" w:hAnsi="SimSun" w:eastAsia="SimSun" w:cs="SimSun"/>
          <w:sz w:val="24"/>
          <w:szCs w:val="24"/>
        </w:rPr>
      </w:pPr>
    </w:p>
    <w:p>
      <w:pPr>
        <w:ind w:left="104" w:right="72" w:firstLine="16"/>
        <w:spacing w:before="152" w:line="362" w:lineRule="auto"/>
        <w:jc w:val="both"/>
        <w:rPr>
          <w:rFonts w:ascii="SimSun" w:hAnsi="SimSun" w:eastAsia="SimSun" w:cs="SimSun"/>
          <w:sz w:val="24"/>
          <w:szCs w:val="24"/>
        </w:rPr>
      </w:pPr>
      <w:r>
        <w:rPr>
          <w:rFonts w:ascii="SimSun" w:hAnsi="SimSun" w:eastAsia="SimSun" w:cs="SimSun"/>
          <w:sz w:val="24"/>
          <w:szCs w:val="24"/>
        </w:rPr>
        <w:t>叶菊</w:t>
      </w:r>
      <w:r>
        <w:rPr>
          <w:rFonts w:ascii="Times New Roman" w:hAnsi="Times New Roman" w:eastAsia="Times New Roman" w:cs="Times New Roman"/>
          <w:sz w:val="24"/>
          <w:szCs w:val="24"/>
        </w:rPr>
        <w:t>+</w:t>
      </w:r>
      <w:r>
        <w:rPr>
          <w:rFonts w:ascii="SimSun" w:hAnsi="SimSun" w:eastAsia="SimSun" w:cs="SimSun"/>
          <w:sz w:val="24"/>
          <w:szCs w:val="24"/>
        </w:rPr>
        <w:t>贝加尔针茅</w:t>
      </w:r>
      <w:r>
        <w:rPr>
          <w:rFonts w:ascii="Times New Roman" w:hAnsi="Times New Roman" w:eastAsia="Times New Roman" w:cs="Times New Roman"/>
          <w:sz w:val="24"/>
          <w:szCs w:val="24"/>
        </w:rPr>
        <w:t>+</w:t>
      </w:r>
      <w:r>
        <w:rPr>
          <w:rFonts w:ascii="SimSun" w:hAnsi="SimSun" w:eastAsia="SimSun" w:cs="SimSun"/>
          <w:sz w:val="24"/>
          <w:szCs w:val="24"/>
        </w:rPr>
        <w:t>羊草、芨芨草</w:t>
      </w:r>
      <w:r>
        <w:rPr>
          <w:rFonts w:ascii="Times New Roman" w:hAnsi="Times New Roman" w:eastAsia="Times New Roman" w:cs="Times New Roman"/>
          <w:sz w:val="24"/>
          <w:szCs w:val="24"/>
        </w:rPr>
        <w:t>-</w:t>
      </w:r>
      <w:r>
        <w:rPr>
          <w:rFonts w:ascii="SimSun" w:hAnsi="SimSun" w:eastAsia="SimSun" w:cs="SimSun"/>
          <w:sz w:val="24"/>
          <w:szCs w:val="24"/>
        </w:rPr>
        <w:t>杂草类、芨芨草</w:t>
      </w:r>
      <w:r>
        <w:rPr>
          <w:rFonts w:ascii="Times New Roman" w:hAnsi="Times New Roman" w:eastAsia="Times New Roman" w:cs="Times New Roman"/>
          <w:sz w:val="24"/>
          <w:szCs w:val="24"/>
        </w:rPr>
        <w:t>-</w:t>
      </w:r>
      <w:r>
        <w:rPr>
          <w:rFonts w:ascii="SimSun" w:hAnsi="SimSun" w:eastAsia="SimSun" w:cs="SimSun"/>
          <w:sz w:val="24"/>
          <w:szCs w:val="24"/>
        </w:rPr>
        <w:t>针茅</w:t>
      </w:r>
      <w:r>
        <w:rPr>
          <w:rFonts w:ascii="Times New Roman" w:hAnsi="Times New Roman" w:eastAsia="Times New Roman" w:cs="Times New Roman"/>
          <w:sz w:val="24"/>
          <w:szCs w:val="24"/>
        </w:rPr>
        <w:t>+</w:t>
      </w:r>
      <w:r>
        <w:rPr>
          <w:rFonts w:ascii="SimSun" w:hAnsi="SimSun" w:eastAsia="SimSun" w:cs="SimSun"/>
          <w:sz w:val="24"/>
          <w:szCs w:val="24"/>
        </w:rPr>
        <w:t>羊草</w:t>
      </w:r>
      <w:r>
        <w:rPr>
          <w:rFonts w:ascii="Times New Roman" w:hAnsi="Times New Roman" w:eastAsia="Times New Roman" w:cs="Times New Roman"/>
          <w:sz w:val="24"/>
          <w:szCs w:val="24"/>
        </w:rPr>
        <w:t>+</w:t>
      </w:r>
      <w:r>
        <w:rPr>
          <w:rFonts w:ascii="SimSun" w:hAnsi="SimSun" w:eastAsia="SimSun" w:cs="SimSun"/>
          <w:sz w:val="24"/>
          <w:szCs w:val="24"/>
        </w:rPr>
        <w:t>杂草类、芨芨草</w:t>
      </w:r>
      <w:r>
        <w:rPr>
          <w:rFonts w:ascii="Times New Roman" w:hAnsi="Times New Roman" w:eastAsia="Times New Roman" w:cs="Times New Roman"/>
          <w:sz w:val="24"/>
          <w:szCs w:val="24"/>
        </w:rPr>
        <w:t>-</w:t>
      </w:r>
      <w:r>
        <w:rPr>
          <w:rFonts w:ascii="SimSun" w:hAnsi="SimSun" w:eastAsia="SimSun" w:cs="SimSun"/>
          <w:sz w:val="24"/>
          <w:szCs w:val="24"/>
        </w:rPr>
        <w:t>羊</w:t>
      </w:r>
      <w:r>
        <w:rPr>
          <w:rFonts w:ascii="SimSun" w:hAnsi="SimSun" w:eastAsia="SimSun" w:cs="SimSun"/>
          <w:sz w:val="24"/>
          <w:szCs w:val="24"/>
        </w:rPr>
        <w:t>草</w:t>
      </w:r>
      <w:r>
        <w:rPr>
          <w:rFonts w:ascii="Times New Roman" w:hAnsi="Times New Roman" w:eastAsia="Times New Roman" w:cs="Times New Roman"/>
          <w:sz w:val="24"/>
          <w:szCs w:val="24"/>
        </w:rPr>
        <w:t>+</w:t>
      </w:r>
      <w:r>
        <w:rPr>
          <w:rFonts w:ascii="SimSun" w:hAnsi="SimSun" w:eastAsia="SimSun" w:cs="SimSun"/>
          <w:sz w:val="24"/>
          <w:szCs w:val="24"/>
        </w:rPr>
        <w:t>杂草类，林草覆盖率</w:t>
      </w:r>
      <w:r>
        <w:rPr>
          <w:rFonts w:ascii="Times New Roman" w:hAnsi="Times New Roman" w:eastAsia="Times New Roman" w:cs="Times New Roman"/>
          <w:sz w:val="24"/>
          <w:szCs w:val="24"/>
        </w:rPr>
        <w:t>50%</w:t>
      </w:r>
      <w:r>
        <w:rPr>
          <w:rFonts w:ascii="SimSun" w:hAnsi="SimSun" w:eastAsia="SimSun" w:cs="SimSun"/>
          <w:sz w:val="24"/>
          <w:szCs w:val="24"/>
        </w:rPr>
        <w:t>左右。项目区适宜人工种植牧草有羊草、无芒雀麦、</w:t>
      </w:r>
      <w:r>
        <w:rPr>
          <w:rFonts w:ascii="SimSun" w:hAnsi="SimSun" w:eastAsia="SimSun" w:cs="SimSun"/>
          <w:sz w:val="24"/>
          <w:szCs w:val="24"/>
          <w:spacing w:val="2"/>
        </w:rPr>
        <w:t>蒙古冰草、老芒麦、披碱草、杂花苜蓿等，乔木有白榆、赤峰杨，灌木有小叶锦</w:t>
      </w:r>
      <w:r>
        <w:rPr>
          <w:rFonts w:ascii="SimSun" w:hAnsi="SimSun" w:eastAsia="SimSun" w:cs="SimSun"/>
          <w:sz w:val="24"/>
          <w:szCs w:val="24"/>
          <w:spacing w:val="2"/>
        </w:rPr>
        <w:t>鸡儿、沙棘等；适宜绿化树种为云杉、樟子松、垂枝榆、丁香、黄刺梅、榆叶梅</w:t>
      </w:r>
      <w:r>
        <w:rPr>
          <w:rFonts w:ascii="SimSun" w:hAnsi="SimSun" w:eastAsia="SimSun" w:cs="SimSun"/>
          <w:sz w:val="24"/>
          <w:szCs w:val="24"/>
          <w:spacing w:val="2"/>
        </w:rPr>
        <w:t>等，适合当地绿化草种为早熟禾草、野牛草等，本项目植被类型及植被土壤区具</w:t>
      </w:r>
      <w:r>
        <w:rPr>
          <w:rFonts w:ascii="SimSun" w:hAnsi="SimSun" w:eastAsia="SimSun" w:cs="SimSun"/>
          <w:sz w:val="24"/>
          <w:szCs w:val="24"/>
          <w:spacing w:val="-2"/>
        </w:rPr>
        <w:t>体详见图</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4-1</w:t>
      </w:r>
      <w:r>
        <w:rPr>
          <w:rFonts w:ascii="SimSun" w:hAnsi="SimSun" w:eastAsia="SimSun" w:cs="SimSun"/>
          <w:sz w:val="24"/>
          <w:szCs w:val="24"/>
          <w:spacing w:val="-2"/>
        </w:rPr>
        <w:t>。</w:t>
      </w:r>
    </w:p>
    <w:p>
      <w:pPr>
        <w:ind w:left="102"/>
        <w:spacing w:before="31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4.1.6 </w:t>
      </w:r>
      <w:r>
        <w:rPr>
          <w:rFonts w:ascii="SimSun" w:hAnsi="SimSun" w:eastAsia="SimSun" w:cs="SimSun"/>
          <w:sz w:val="24"/>
          <w:szCs w:val="24"/>
          <w:b/>
          <w:bCs/>
          <w:spacing w:val="-2"/>
        </w:rPr>
        <w:t>锡林郭勒草原国家级自然保护区</w:t>
      </w:r>
    </w:p>
    <w:p>
      <w:pPr>
        <w:pStyle w:val="BodyText"/>
        <w:spacing w:line="269" w:lineRule="auto"/>
        <w:rPr/>
      </w:pPr>
      <w:r/>
    </w:p>
    <w:p>
      <w:pPr>
        <w:ind w:left="104" w:firstLine="479"/>
        <w:spacing w:before="78" w:line="357" w:lineRule="auto"/>
        <w:jc w:val="both"/>
        <w:rPr>
          <w:rFonts w:ascii="SimSun" w:hAnsi="SimSun" w:eastAsia="SimSun" w:cs="SimSun"/>
          <w:sz w:val="24"/>
          <w:szCs w:val="24"/>
        </w:rPr>
      </w:pPr>
      <w:r>
        <w:rPr>
          <w:rFonts w:ascii="SimSun" w:hAnsi="SimSun" w:eastAsia="SimSun" w:cs="SimSun"/>
          <w:sz w:val="24"/>
          <w:szCs w:val="24"/>
          <w:spacing w:val="3"/>
        </w:rPr>
        <w:t>锡林郭勒（蒙古语，意为丘陵地带的河）。锡林郭勒草原</w:t>
      </w:r>
      <w:r>
        <w:rPr>
          <w:rFonts w:ascii="SimSun" w:hAnsi="SimSun" w:eastAsia="SimSun" w:cs="SimSun"/>
          <w:sz w:val="24"/>
          <w:szCs w:val="24"/>
          <w:spacing w:val="2"/>
        </w:rPr>
        <w:t>位于内蒙古自治区</w:t>
      </w:r>
      <w:r>
        <w:rPr>
          <w:rFonts w:ascii="SimSun" w:hAnsi="SimSun" w:eastAsia="SimSun" w:cs="SimSun"/>
          <w:sz w:val="24"/>
          <w:szCs w:val="24"/>
          <w:spacing w:val="-5"/>
        </w:rPr>
        <w:t>锡林浩特市境内，面积</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107.86</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5"/>
        </w:rPr>
        <w:t>万公顷，</w:t>
      </w:r>
      <w:r>
        <w:rPr>
          <w:rFonts w:ascii="Times New Roman" w:hAnsi="Times New Roman" w:eastAsia="Times New Roman" w:cs="Times New Roman"/>
          <w:sz w:val="24"/>
          <w:szCs w:val="24"/>
          <w:spacing w:val="-5"/>
        </w:rPr>
        <w:t>1985 </w:t>
      </w:r>
      <w:r>
        <w:rPr>
          <w:rFonts w:ascii="SimSun" w:hAnsi="SimSun" w:eastAsia="SimSun" w:cs="SimSun"/>
          <w:sz w:val="24"/>
          <w:szCs w:val="24"/>
          <w:spacing w:val="-5"/>
        </w:rPr>
        <w:t>年经内蒙古</w:t>
      </w:r>
      <w:r>
        <w:rPr>
          <w:rFonts w:ascii="SimSun" w:hAnsi="SimSun" w:eastAsia="SimSun" w:cs="SimSun"/>
          <w:sz w:val="24"/>
          <w:szCs w:val="24"/>
          <w:spacing w:val="-6"/>
        </w:rPr>
        <w:t>自治区人民政府批准建立，</w:t>
      </w:r>
      <w:r>
        <w:rPr>
          <w:rFonts w:ascii="SimSun" w:hAnsi="SimSun" w:eastAsia="SimSun" w:cs="SimSun"/>
          <w:sz w:val="24"/>
          <w:szCs w:val="24"/>
        </w:rPr>
        <w:t xml:space="preserve"> </w:t>
      </w:r>
      <w:r>
        <w:rPr>
          <w:rFonts w:ascii="Times New Roman" w:hAnsi="Times New Roman" w:eastAsia="Times New Roman" w:cs="Times New Roman"/>
          <w:sz w:val="24"/>
          <w:szCs w:val="24"/>
          <w:spacing w:val="-1"/>
        </w:rPr>
        <w:t>1987</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1"/>
        </w:rPr>
        <w:t>年被联合国教科文组织接纳为</w:t>
      </w:r>
      <w:r>
        <w:rPr>
          <w:rFonts w:ascii="Times New Roman" w:hAnsi="Times New Roman" w:eastAsia="Times New Roman" w:cs="Times New Roman"/>
          <w:sz w:val="24"/>
          <w:szCs w:val="24"/>
          <w:spacing w:val="-1"/>
        </w:rPr>
        <w:t>"</w:t>
      </w:r>
      <w:r>
        <w:rPr>
          <w:rFonts w:ascii="SimSun" w:hAnsi="SimSun" w:eastAsia="SimSun" w:cs="SimSun"/>
          <w:sz w:val="24"/>
          <w:szCs w:val="24"/>
          <w:spacing w:val="-1"/>
        </w:rPr>
        <w:t>国际生物圈保护区</w:t>
      </w:r>
      <w:r>
        <w:rPr>
          <w:rFonts w:ascii="Times New Roman" w:hAnsi="Times New Roman" w:eastAsia="Times New Roman" w:cs="Times New Roman"/>
          <w:sz w:val="24"/>
          <w:szCs w:val="24"/>
          <w:spacing w:val="-1"/>
        </w:rPr>
        <w:t>"</w:t>
      </w:r>
      <w:r>
        <w:rPr>
          <w:rFonts w:ascii="SimSun" w:hAnsi="SimSun" w:eastAsia="SimSun" w:cs="SimSun"/>
          <w:sz w:val="24"/>
          <w:szCs w:val="24"/>
          <w:spacing w:val="-1"/>
        </w:rPr>
        <w:t>网络成员，</w:t>
      </w:r>
      <w:r>
        <w:rPr>
          <w:rFonts w:ascii="Times New Roman" w:hAnsi="Times New Roman" w:eastAsia="Times New Roman" w:cs="Times New Roman"/>
          <w:sz w:val="24"/>
          <w:szCs w:val="24"/>
          <w:spacing w:val="-1"/>
        </w:rPr>
        <w:t>1997</w:t>
      </w:r>
      <w:r>
        <w:rPr>
          <w:rFonts w:ascii="Times New Roman" w:hAnsi="Times New Roman" w:eastAsia="Times New Roman" w:cs="Times New Roman"/>
          <w:sz w:val="24"/>
          <w:szCs w:val="24"/>
          <w:spacing w:val="24"/>
          <w:w w:val="101"/>
        </w:rPr>
        <w:t xml:space="preserve"> </w:t>
      </w:r>
      <w:r>
        <w:rPr>
          <w:rFonts w:ascii="SimSun" w:hAnsi="SimSun" w:eastAsia="SimSun" w:cs="SimSun"/>
          <w:sz w:val="24"/>
          <w:szCs w:val="24"/>
          <w:spacing w:val="-1"/>
        </w:rPr>
        <w:t>年晋升为</w:t>
      </w:r>
      <w:r>
        <w:rPr>
          <w:rFonts w:ascii="SimSun" w:hAnsi="SimSun" w:eastAsia="SimSun" w:cs="SimSun"/>
          <w:sz w:val="24"/>
          <w:szCs w:val="24"/>
          <w:spacing w:val="2"/>
        </w:rPr>
        <w:t>国家级，主要保护对象为草甸草原、典型草原、沙地疏林草原和河谷湿地生态系</w:t>
      </w:r>
      <w:r>
        <w:rPr>
          <w:rFonts w:ascii="SimSun" w:hAnsi="SimSun" w:eastAsia="SimSun" w:cs="SimSun"/>
          <w:sz w:val="24"/>
          <w:szCs w:val="24"/>
          <w:spacing w:val="-2"/>
        </w:rPr>
        <w:t>统。是世界闻名的大草原之一，也是中国四大草原</w:t>
      </w:r>
      <w:r>
        <w:rPr>
          <w:rFonts w:ascii="Times New Roman" w:hAnsi="Times New Roman" w:eastAsia="Times New Roman" w:cs="Times New Roman"/>
          <w:sz w:val="24"/>
          <w:szCs w:val="24"/>
          <w:spacing w:val="-2"/>
        </w:rPr>
        <w:t>---</w:t>
      </w:r>
      <w:r>
        <w:rPr>
          <w:rFonts w:ascii="SimSun" w:hAnsi="SimSun" w:eastAsia="SimSun" w:cs="SimSun"/>
          <w:sz w:val="24"/>
          <w:szCs w:val="24"/>
          <w:spacing w:val="-2"/>
        </w:rPr>
        <w:t>内蒙古草原的主要天然草场。</w:t>
      </w:r>
    </w:p>
    <w:p>
      <w:pPr>
        <w:ind w:left="107" w:right="84" w:firstLine="496"/>
        <w:spacing w:before="7" w:line="357" w:lineRule="auto"/>
        <w:jc w:val="both"/>
        <w:rPr>
          <w:rFonts w:ascii="SimSun" w:hAnsi="SimSun" w:eastAsia="SimSun" w:cs="SimSun"/>
          <w:sz w:val="24"/>
          <w:szCs w:val="24"/>
        </w:rPr>
      </w:pPr>
      <w:r>
        <w:rPr>
          <w:rFonts w:ascii="Times New Roman" w:hAnsi="Times New Roman" w:eastAsia="Times New Roman" w:cs="Times New Roman"/>
          <w:sz w:val="24"/>
          <w:szCs w:val="24"/>
          <w:spacing w:val="-1"/>
        </w:rPr>
        <w:t>1985 </w:t>
      </w:r>
      <w:r>
        <w:rPr>
          <w:rFonts w:ascii="SimSun" w:hAnsi="SimSun" w:eastAsia="SimSun" w:cs="SimSun"/>
          <w:sz w:val="24"/>
          <w:szCs w:val="24"/>
          <w:spacing w:val="-1"/>
        </w:rPr>
        <w:t>年，锡林郭勒草原自然保护区于经自治区人民政府批准成立。</w:t>
      </w:r>
      <w:r>
        <w:rPr>
          <w:rFonts w:ascii="Times New Roman" w:hAnsi="Times New Roman" w:eastAsia="Times New Roman" w:cs="Times New Roman"/>
          <w:sz w:val="24"/>
          <w:szCs w:val="24"/>
          <w:spacing w:val="-1"/>
        </w:rPr>
        <w:t>1987</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年，</w:t>
      </w:r>
      <w:r>
        <w:rPr>
          <w:rFonts w:ascii="SimSun" w:hAnsi="SimSun" w:eastAsia="SimSun" w:cs="SimSun"/>
          <w:sz w:val="24"/>
          <w:szCs w:val="24"/>
        </w:rPr>
        <w:t xml:space="preserve"> </w:t>
      </w:r>
      <w:r>
        <w:rPr>
          <w:rFonts w:ascii="Times New Roman" w:hAnsi="Times New Roman" w:eastAsia="Times New Roman" w:cs="Times New Roman"/>
          <w:sz w:val="24"/>
          <w:szCs w:val="24"/>
          <w:spacing w:val="4"/>
        </w:rPr>
        <w:t>"</w:t>
      </w:r>
      <w:r>
        <w:rPr>
          <w:rFonts w:ascii="SimSun" w:hAnsi="SimSun" w:eastAsia="SimSun" w:cs="SimSun"/>
          <w:sz w:val="24"/>
          <w:szCs w:val="24"/>
          <w:spacing w:val="4"/>
        </w:rPr>
        <w:t>联合国教科文组织人与生物圈计划</w:t>
      </w:r>
      <w:r>
        <w:rPr>
          <w:rFonts w:ascii="Times New Roman" w:hAnsi="Times New Roman" w:eastAsia="Times New Roman" w:cs="Times New Roman"/>
          <w:sz w:val="24"/>
          <w:szCs w:val="24"/>
          <w:spacing w:val="4"/>
        </w:rPr>
        <w:t>"</w:t>
      </w:r>
      <w:r>
        <w:rPr>
          <w:rFonts w:ascii="SimSun" w:hAnsi="SimSun" w:eastAsia="SimSun" w:cs="SimSun"/>
          <w:sz w:val="24"/>
          <w:szCs w:val="24"/>
          <w:spacing w:val="4"/>
        </w:rPr>
        <w:t>将锡林郭勒草原自然保护</w:t>
      </w:r>
      <w:r>
        <w:rPr>
          <w:rFonts w:ascii="SimSun" w:hAnsi="SimSun" w:eastAsia="SimSun" w:cs="SimSun"/>
          <w:sz w:val="24"/>
          <w:szCs w:val="24"/>
          <w:spacing w:val="3"/>
        </w:rPr>
        <w:t>区纳入国际生物圈</w:t>
      </w:r>
      <w:r>
        <w:rPr>
          <w:rFonts w:ascii="SimSun" w:hAnsi="SimSun" w:eastAsia="SimSun" w:cs="SimSun"/>
          <w:sz w:val="24"/>
          <w:szCs w:val="24"/>
          <w:spacing w:val="-3"/>
        </w:rPr>
        <w:t>网络。</w:t>
      </w:r>
      <w:r>
        <w:rPr>
          <w:rFonts w:ascii="Times New Roman" w:hAnsi="Times New Roman" w:eastAsia="Times New Roman" w:cs="Times New Roman"/>
          <w:sz w:val="24"/>
          <w:szCs w:val="24"/>
          <w:spacing w:val="-3"/>
        </w:rPr>
        <w:t>1993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年，纳入 </w:t>
      </w:r>
      <w:r>
        <w:rPr>
          <w:rFonts w:ascii="Times New Roman" w:hAnsi="Times New Roman" w:eastAsia="Times New Roman" w:cs="Times New Roman"/>
          <w:sz w:val="24"/>
          <w:szCs w:val="24"/>
          <w:spacing w:val="-3"/>
        </w:rPr>
        <w:t>"</w:t>
      </w:r>
      <w:r>
        <w:rPr>
          <w:rFonts w:ascii="SimSun" w:hAnsi="SimSun" w:eastAsia="SimSun" w:cs="SimSun"/>
          <w:sz w:val="24"/>
          <w:szCs w:val="24"/>
          <w:spacing w:val="-3"/>
        </w:rPr>
        <w:t>中国人与生物圈委员会</w:t>
      </w:r>
      <w:r>
        <w:rPr>
          <w:rFonts w:ascii="Times New Roman" w:hAnsi="Times New Roman" w:eastAsia="Times New Roman" w:cs="Times New Roman"/>
          <w:sz w:val="24"/>
          <w:szCs w:val="24"/>
          <w:spacing w:val="-3"/>
        </w:rPr>
        <w:t>"</w:t>
      </w:r>
      <w:r>
        <w:rPr>
          <w:rFonts w:ascii="SimSun" w:hAnsi="SimSun" w:eastAsia="SimSun" w:cs="SimSun"/>
          <w:sz w:val="24"/>
          <w:szCs w:val="24"/>
          <w:spacing w:val="-3"/>
        </w:rPr>
        <w:t>网络</w:t>
      </w:r>
      <w:r>
        <w:rPr>
          <w:rFonts w:ascii="SimSun" w:hAnsi="SimSun" w:eastAsia="SimSun" w:cs="SimSun"/>
          <w:sz w:val="24"/>
          <w:szCs w:val="24"/>
          <w:spacing w:val="-4"/>
        </w:rPr>
        <w:t>成员。</w:t>
      </w:r>
      <w:r>
        <w:rPr>
          <w:rFonts w:ascii="Times New Roman" w:hAnsi="Times New Roman" w:eastAsia="Times New Roman" w:cs="Times New Roman"/>
          <w:sz w:val="24"/>
          <w:szCs w:val="24"/>
          <w:spacing w:val="-4"/>
        </w:rPr>
        <w:t>1997</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年</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4"/>
        </w:rPr>
        <w:t>12</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4"/>
        </w:rPr>
        <w:t>月</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4"/>
        </w:rPr>
        <w:t>8  </w:t>
      </w:r>
      <w:r>
        <w:rPr>
          <w:rFonts w:ascii="SimSun" w:hAnsi="SimSun" w:eastAsia="SimSun" w:cs="SimSun"/>
          <w:sz w:val="24"/>
          <w:szCs w:val="24"/>
          <w:spacing w:val="-4"/>
        </w:rPr>
        <w:t>日，国</w:t>
      </w:r>
      <w:r>
        <w:rPr>
          <w:rFonts w:ascii="SimSun" w:hAnsi="SimSun" w:eastAsia="SimSun" w:cs="SimSun"/>
          <w:sz w:val="24"/>
          <w:szCs w:val="24"/>
        </w:rPr>
        <w:t>务院批准晋升为国家级自然保护区。</w:t>
      </w:r>
      <w:r>
        <w:rPr>
          <w:rFonts w:ascii="Times New Roman" w:hAnsi="Times New Roman" w:eastAsia="Times New Roman" w:cs="Times New Roman"/>
          <w:sz w:val="24"/>
          <w:szCs w:val="24"/>
        </w:rPr>
        <w:t>2004  </w:t>
      </w:r>
      <w:r>
        <w:rPr>
          <w:rFonts w:ascii="SimSun" w:hAnsi="SimSun" w:eastAsia="SimSun" w:cs="SimSun"/>
          <w:sz w:val="24"/>
          <w:szCs w:val="24"/>
        </w:rPr>
        <w:t>年，成为</w:t>
      </w:r>
      <w:r>
        <w:rPr>
          <w:rFonts w:ascii="Times New Roman" w:hAnsi="Times New Roman" w:eastAsia="Times New Roman" w:cs="Times New Roman"/>
          <w:sz w:val="24"/>
          <w:szCs w:val="24"/>
        </w:rPr>
        <w:t>"</w:t>
      </w:r>
      <w:r>
        <w:rPr>
          <w:rFonts w:ascii="SimSun" w:hAnsi="SimSun" w:eastAsia="SimSun" w:cs="SimSun"/>
          <w:sz w:val="24"/>
          <w:szCs w:val="24"/>
        </w:rPr>
        <w:t>中国生物多样性保护基金会</w:t>
      </w:r>
      <w:r>
        <w:rPr>
          <w:rFonts w:ascii="Times New Roman" w:hAnsi="Times New Roman" w:eastAsia="Times New Roman" w:cs="Times New Roman"/>
          <w:sz w:val="24"/>
          <w:szCs w:val="24"/>
        </w:rPr>
        <w:t>"</w:t>
      </w:r>
      <w:r>
        <w:rPr>
          <w:rFonts w:ascii="SimSun" w:hAnsi="SimSun" w:eastAsia="SimSun" w:cs="SimSun"/>
          <w:sz w:val="24"/>
          <w:szCs w:val="24"/>
          <w:spacing w:val="-2"/>
        </w:rPr>
        <w:t>自然保护区委员会成员</w:t>
      </w:r>
    </w:p>
    <w:p>
      <w:pPr>
        <w:ind w:left="107" w:right="83" w:firstLine="478"/>
        <w:spacing w:before="19" w:line="356" w:lineRule="auto"/>
        <w:jc w:val="both"/>
        <w:rPr>
          <w:rFonts w:ascii="SimSun" w:hAnsi="SimSun" w:eastAsia="SimSun" w:cs="SimSun"/>
          <w:sz w:val="24"/>
          <w:szCs w:val="24"/>
        </w:rPr>
      </w:pPr>
      <w:r>
        <w:rPr>
          <w:rFonts w:ascii="SimSun" w:hAnsi="SimSun" w:eastAsia="SimSun" w:cs="SimSun"/>
          <w:sz w:val="24"/>
          <w:szCs w:val="24"/>
          <w:spacing w:val="2"/>
        </w:rPr>
        <w:t>保护锡林河流域范围内半干旱气候条件下发育在栗钙土上的典型草原生态系</w:t>
      </w:r>
      <w:r>
        <w:rPr>
          <w:rFonts w:ascii="SimSun" w:hAnsi="SimSun" w:eastAsia="SimSun" w:cs="SimSun"/>
          <w:sz w:val="24"/>
          <w:szCs w:val="24"/>
          <w:spacing w:val="6"/>
        </w:rPr>
        <w:t>统</w:t>
      </w:r>
      <w:r>
        <w:rPr>
          <w:rFonts w:ascii="Times New Roman" w:hAnsi="Times New Roman" w:eastAsia="Times New Roman" w:cs="Times New Roman"/>
          <w:sz w:val="24"/>
          <w:szCs w:val="24"/>
          <w:spacing w:val="6"/>
        </w:rPr>
        <w:t>;</w:t>
      </w:r>
      <w:r>
        <w:rPr>
          <w:rFonts w:ascii="SimSun" w:hAnsi="SimSun" w:eastAsia="SimSun" w:cs="SimSun"/>
          <w:sz w:val="24"/>
          <w:szCs w:val="24"/>
          <w:spacing w:val="6"/>
        </w:rPr>
        <w:t>在半湿润气候条件下发育在黑钙土上的草甸草</w:t>
      </w:r>
      <w:r>
        <w:rPr>
          <w:rFonts w:ascii="SimSun" w:hAnsi="SimSun" w:eastAsia="SimSun" w:cs="SimSun"/>
          <w:sz w:val="24"/>
          <w:szCs w:val="24"/>
          <w:spacing w:val="5"/>
        </w:rPr>
        <w:t>原生态系统</w:t>
      </w:r>
      <w:r>
        <w:rPr>
          <w:rFonts w:ascii="Times New Roman" w:hAnsi="Times New Roman" w:eastAsia="Times New Roman" w:cs="Times New Roman"/>
          <w:sz w:val="24"/>
          <w:szCs w:val="24"/>
          <w:spacing w:val="5"/>
        </w:rPr>
        <w:t>;</w:t>
      </w:r>
      <w:r>
        <w:rPr>
          <w:rFonts w:ascii="SimSun" w:hAnsi="SimSun" w:eastAsia="SimSun" w:cs="SimSun"/>
          <w:sz w:val="24"/>
          <w:szCs w:val="24"/>
          <w:spacing w:val="5"/>
        </w:rPr>
        <w:t>草原地带沙地森林</w:t>
      </w:r>
      <w:r>
        <w:rPr>
          <w:rFonts w:ascii="SimSun" w:hAnsi="SimSun" w:eastAsia="SimSun" w:cs="SimSun"/>
          <w:sz w:val="24"/>
          <w:szCs w:val="24"/>
          <w:spacing w:val="1"/>
        </w:rPr>
        <w:t>生态系统以及河谷湿地生态系统等结构与功能的完整性</w:t>
      </w:r>
      <w:r>
        <w:rPr>
          <w:rFonts w:ascii="Times New Roman" w:hAnsi="Times New Roman" w:eastAsia="Times New Roman" w:cs="Times New Roman"/>
          <w:sz w:val="24"/>
          <w:szCs w:val="24"/>
        </w:rPr>
        <w:t>;</w:t>
      </w:r>
      <w:r>
        <w:rPr>
          <w:rFonts w:ascii="SimSun" w:hAnsi="SimSun" w:eastAsia="SimSun" w:cs="SimSun"/>
          <w:sz w:val="24"/>
          <w:szCs w:val="24"/>
        </w:rPr>
        <w:t>在各生态系统中繁衍生息</w:t>
      </w:r>
      <w:r>
        <w:rPr>
          <w:rFonts w:ascii="SimSun" w:hAnsi="SimSun" w:eastAsia="SimSun" w:cs="SimSun"/>
          <w:sz w:val="24"/>
          <w:szCs w:val="24"/>
          <w:spacing w:val="1"/>
        </w:rPr>
        <w:t>的野生动物、植物、菌类的多样性，对濒危物种实行特殊</w:t>
      </w:r>
      <w:r>
        <w:rPr>
          <w:rFonts w:ascii="SimSun" w:hAnsi="SimSun" w:eastAsia="SimSun" w:cs="SimSun"/>
          <w:sz w:val="24"/>
          <w:szCs w:val="24"/>
        </w:rPr>
        <w:t>保护</w:t>
      </w:r>
      <w:r>
        <w:rPr>
          <w:rFonts w:ascii="Times New Roman" w:hAnsi="Times New Roman" w:eastAsia="Times New Roman" w:cs="Times New Roman"/>
          <w:sz w:val="24"/>
          <w:szCs w:val="24"/>
        </w:rPr>
        <w:t>;</w:t>
      </w:r>
      <w:r>
        <w:rPr>
          <w:rFonts w:ascii="SimSun" w:hAnsi="SimSun" w:eastAsia="SimSun" w:cs="SimSun"/>
          <w:sz w:val="24"/>
          <w:szCs w:val="24"/>
        </w:rPr>
        <w:t>保护和管理保护区</w:t>
      </w:r>
      <w:r>
        <w:rPr>
          <w:rFonts w:ascii="SimSun" w:hAnsi="SimSun" w:eastAsia="SimSun" w:cs="SimSun"/>
          <w:sz w:val="24"/>
          <w:szCs w:val="24"/>
          <w:spacing w:val="-4"/>
        </w:rPr>
        <w:t>内的自然和人文景观资源。</w:t>
      </w:r>
    </w:p>
    <w:p>
      <w:pPr>
        <w:ind w:left="587"/>
        <w:spacing w:before="19" w:line="219" w:lineRule="auto"/>
        <w:rPr>
          <w:rFonts w:ascii="SimSun" w:hAnsi="SimSun" w:eastAsia="SimSun" w:cs="SimSun"/>
          <w:sz w:val="24"/>
          <w:szCs w:val="24"/>
        </w:rPr>
      </w:pPr>
      <w:r>
        <w:rPr>
          <w:rFonts w:ascii="SimSun" w:hAnsi="SimSun" w:eastAsia="SimSun" w:cs="SimSun"/>
          <w:sz w:val="24"/>
          <w:szCs w:val="24"/>
          <w:spacing w:val="-1"/>
        </w:rPr>
        <w:t>经查询，本项目用地不在锡林郭勒草原国家级自然保护区范围内。</w:t>
      </w:r>
    </w:p>
    <w:p>
      <w:pPr>
        <w:spacing w:line="219" w:lineRule="auto"/>
        <w:sectPr>
          <w:headerReference w:type="default" r:id="rId93"/>
          <w:footerReference w:type="default" r:id="rId94"/>
          <w:pgSz w:w="11907" w:h="16839"/>
          <w:pgMar w:top="1582" w:right="1612" w:bottom="1235" w:left="1606" w:header="1241" w:footer="992" w:gutter="0"/>
        </w:sectPr>
        <w:rPr>
          <w:rFonts w:ascii="SimSun" w:hAnsi="SimSun" w:eastAsia="SimSun" w:cs="SimSun"/>
          <w:sz w:val="24"/>
          <w:szCs w:val="24"/>
        </w:rPr>
      </w:pPr>
    </w:p>
    <w:p>
      <w:pPr>
        <w:ind w:left="128"/>
        <w:spacing w:before="232" w:line="232" w:lineRule="auto"/>
        <w:outlineLvl w:val="1"/>
        <w:rPr>
          <w:rFonts w:ascii="SimSun" w:hAnsi="SimSun" w:eastAsia="SimSun" w:cs="SimSun"/>
          <w:sz w:val="24"/>
          <w:szCs w:val="24"/>
        </w:rPr>
      </w:pPr>
      <w:bookmarkStart w:name="bookmark25" w:id="30"/>
      <w:bookmarkEnd w:id="30"/>
      <w:r>
        <w:rPr>
          <w:rFonts w:ascii="Times New Roman" w:hAnsi="Times New Roman" w:eastAsia="Times New Roman" w:cs="Times New Roman"/>
          <w:sz w:val="24"/>
          <w:szCs w:val="24"/>
          <w:b/>
          <w:bCs/>
          <w:spacing w:val="-2"/>
        </w:rPr>
        <w:t>4.2 </w:t>
      </w:r>
      <w:r>
        <w:rPr>
          <w:rFonts w:ascii="SimSun" w:hAnsi="SimSun" w:eastAsia="SimSun" w:cs="SimSun"/>
          <w:sz w:val="24"/>
          <w:szCs w:val="24"/>
          <w:b/>
          <w:bCs/>
          <w:spacing w:val="-2"/>
        </w:rPr>
        <w:t>环境质量现状调查与评价</w:t>
      </w:r>
    </w:p>
    <w:p>
      <w:pPr>
        <w:pStyle w:val="BodyText"/>
        <w:spacing w:line="347" w:lineRule="auto"/>
        <w:rPr/>
      </w:pPr>
      <w:r/>
    </w:p>
    <w:p>
      <w:pPr>
        <w:ind w:left="128"/>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4.2.1 </w:t>
      </w:r>
      <w:r>
        <w:rPr>
          <w:rFonts w:ascii="SimSun" w:hAnsi="SimSun" w:eastAsia="SimSun" w:cs="SimSun"/>
          <w:sz w:val="24"/>
          <w:szCs w:val="24"/>
          <w:b/>
          <w:bCs/>
          <w:spacing w:val="-2"/>
        </w:rPr>
        <w:t>地下水环境质量现状评价</w:t>
      </w:r>
    </w:p>
    <w:p>
      <w:pPr>
        <w:pStyle w:val="BodyText"/>
        <w:spacing w:line="342" w:lineRule="auto"/>
        <w:rPr/>
      </w:pPr>
      <w:r/>
    </w:p>
    <w:p>
      <w:pPr>
        <w:ind w:left="618"/>
        <w:spacing w:before="78"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）监测点布设</w:t>
      </w:r>
    </w:p>
    <w:p>
      <w:pPr>
        <w:ind w:left="131" w:right="39" w:firstLine="480"/>
        <w:spacing w:before="165" w:line="357" w:lineRule="auto"/>
        <w:rPr>
          <w:rFonts w:ascii="SimSun" w:hAnsi="SimSun" w:eastAsia="SimSun" w:cs="SimSun"/>
          <w:sz w:val="24"/>
          <w:szCs w:val="24"/>
        </w:rPr>
      </w:pPr>
      <w:r>
        <w:rPr>
          <w:rFonts w:ascii="SimSun" w:hAnsi="SimSun" w:eastAsia="SimSun" w:cs="SimSun"/>
          <w:sz w:val="24"/>
          <w:szCs w:val="24"/>
          <w:spacing w:val="3"/>
        </w:rPr>
        <w:t>本项目地下水监测数据引用《锡林浩特市金顺吉牛</w:t>
      </w:r>
      <w:r>
        <w:rPr>
          <w:rFonts w:ascii="SimSun" w:hAnsi="SimSun" w:eastAsia="SimSun" w:cs="SimSun"/>
          <w:sz w:val="24"/>
          <w:szCs w:val="24"/>
          <w:spacing w:val="2"/>
        </w:rPr>
        <w:t>农牧业有限公司肉牛育肥</w:t>
      </w:r>
      <w:r>
        <w:rPr>
          <w:rFonts w:ascii="SimSun" w:hAnsi="SimSun" w:eastAsia="SimSun" w:cs="SimSun"/>
          <w:sz w:val="24"/>
          <w:szCs w:val="24"/>
          <w:spacing w:val="-5"/>
        </w:rPr>
        <w:t>基地建设项目环境影响报告书》环境现状监测数据，</w:t>
      </w:r>
      <w:r>
        <w:rPr>
          <w:rFonts w:ascii="SimSun" w:hAnsi="SimSun" w:eastAsia="SimSun" w:cs="SimSun"/>
          <w:sz w:val="24"/>
          <w:szCs w:val="24"/>
          <w:spacing w:val="-24"/>
        </w:rPr>
        <w:t xml:space="preserve"> </w:t>
      </w:r>
      <w:r>
        <w:rPr>
          <w:rFonts w:ascii="SimSun" w:hAnsi="SimSun" w:eastAsia="SimSun" w:cs="SimSun"/>
          <w:sz w:val="24"/>
          <w:szCs w:val="24"/>
          <w:spacing w:val="-5"/>
        </w:rPr>
        <w:t>时间为</w:t>
      </w:r>
      <w:r>
        <w:rPr>
          <w:rFonts w:ascii="Times New Roman" w:hAnsi="Times New Roman" w:eastAsia="Times New Roman" w:cs="Times New Roman"/>
          <w:sz w:val="24"/>
          <w:szCs w:val="24"/>
          <w:spacing w:val="-5"/>
        </w:rPr>
        <w:t>2024</w:t>
      </w:r>
      <w:r>
        <w:rPr>
          <w:rFonts w:ascii="SimSun" w:hAnsi="SimSun" w:eastAsia="SimSun" w:cs="SimSun"/>
          <w:sz w:val="24"/>
          <w:szCs w:val="24"/>
          <w:spacing w:val="-5"/>
        </w:rPr>
        <w:t>年</w:t>
      </w:r>
      <w:r>
        <w:rPr>
          <w:rFonts w:ascii="Times New Roman" w:hAnsi="Times New Roman" w:eastAsia="Times New Roman" w:cs="Times New Roman"/>
          <w:sz w:val="24"/>
          <w:szCs w:val="24"/>
          <w:spacing w:val="-5"/>
        </w:rPr>
        <w:t>7</w:t>
      </w:r>
      <w:r>
        <w:rPr>
          <w:rFonts w:ascii="SimSun" w:hAnsi="SimSun" w:eastAsia="SimSun" w:cs="SimSun"/>
          <w:sz w:val="24"/>
          <w:szCs w:val="24"/>
          <w:spacing w:val="-5"/>
        </w:rPr>
        <w:t>月</w:t>
      </w:r>
      <w:r>
        <w:rPr>
          <w:rFonts w:ascii="Times New Roman" w:hAnsi="Times New Roman" w:eastAsia="Times New Roman" w:cs="Times New Roman"/>
          <w:sz w:val="24"/>
          <w:szCs w:val="24"/>
          <w:spacing w:val="-5"/>
        </w:rPr>
        <w:t>5-7</w:t>
      </w:r>
      <w:r>
        <w:rPr>
          <w:rFonts w:ascii="SimSun" w:hAnsi="SimSun" w:eastAsia="SimSun" w:cs="SimSun"/>
          <w:sz w:val="24"/>
          <w:szCs w:val="24"/>
          <w:spacing w:val="-5"/>
        </w:rPr>
        <w:t>日，距离</w:t>
      </w:r>
      <w:r>
        <w:rPr>
          <w:rFonts w:ascii="SimSun" w:hAnsi="SimSun" w:eastAsia="SimSun" w:cs="SimSun"/>
          <w:sz w:val="24"/>
          <w:szCs w:val="24"/>
          <w:spacing w:val="-7"/>
        </w:rPr>
        <w:t>本项目约</w:t>
      </w:r>
      <w:r>
        <w:rPr>
          <w:rFonts w:ascii="Times New Roman" w:hAnsi="Times New Roman" w:eastAsia="Times New Roman" w:cs="Times New Roman"/>
          <w:sz w:val="24"/>
          <w:szCs w:val="24"/>
          <w:spacing w:val="-7"/>
        </w:rPr>
        <w:t>3km</w:t>
      </w:r>
      <w:r>
        <w:rPr>
          <w:rFonts w:ascii="SimSun" w:hAnsi="SimSun" w:eastAsia="SimSun" w:cs="SimSun"/>
          <w:sz w:val="24"/>
          <w:szCs w:val="24"/>
          <w:spacing w:val="-7"/>
        </w:rPr>
        <w:t>。引用监测数据共布设</w:t>
      </w:r>
      <w:r>
        <w:rPr>
          <w:rFonts w:ascii="Times New Roman" w:hAnsi="Times New Roman" w:eastAsia="Times New Roman" w:cs="Times New Roman"/>
          <w:sz w:val="24"/>
          <w:szCs w:val="24"/>
          <w:spacing w:val="-7"/>
        </w:rPr>
        <w:t>3</w:t>
      </w:r>
      <w:r>
        <w:rPr>
          <w:rFonts w:ascii="SimSun" w:hAnsi="SimSun" w:eastAsia="SimSun" w:cs="SimSun"/>
          <w:sz w:val="24"/>
          <w:szCs w:val="24"/>
          <w:spacing w:val="-7"/>
        </w:rPr>
        <w:t>个地下水水质监测点，</w:t>
      </w:r>
      <w:r>
        <w:rPr>
          <w:rFonts w:ascii="Times New Roman" w:hAnsi="Times New Roman" w:eastAsia="Times New Roman" w:cs="Times New Roman"/>
          <w:sz w:val="24"/>
          <w:szCs w:val="24"/>
          <w:spacing w:val="-7"/>
        </w:rPr>
        <w:t>6</w:t>
      </w:r>
      <w:r>
        <w:rPr>
          <w:rFonts w:ascii="SimSun" w:hAnsi="SimSun" w:eastAsia="SimSun" w:cs="SimSun"/>
          <w:sz w:val="24"/>
          <w:szCs w:val="24"/>
          <w:spacing w:val="-7"/>
        </w:rPr>
        <w:t>个地下水水位监测点，</w:t>
      </w:r>
      <w:r>
        <w:rPr>
          <w:rFonts w:ascii="SimSun" w:hAnsi="SimSun" w:eastAsia="SimSun" w:cs="SimSun"/>
          <w:sz w:val="24"/>
          <w:szCs w:val="24"/>
          <w:spacing w:val="-1"/>
        </w:rPr>
        <w:t>监测点位布设情况详见引用数据监测布点图。</w:t>
      </w:r>
    </w:p>
    <w:p>
      <w:pPr>
        <w:ind w:left="2596"/>
        <w:spacing w:before="16" w:line="233"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4-1      </w:t>
      </w:r>
      <w:r>
        <w:rPr>
          <w:rFonts w:ascii="SimSun" w:hAnsi="SimSun" w:eastAsia="SimSun" w:cs="SimSun"/>
          <w:sz w:val="24"/>
          <w:szCs w:val="24"/>
          <w:b/>
          <w:bCs/>
          <w:spacing w:val="-2"/>
        </w:rPr>
        <w:t>地下水监测点位布设情况</w:t>
      </w:r>
    </w:p>
    <w:p>
      <w:pPr>
        <w:spacing w:line="53"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1"/>
        <w:gridCol w:w="1973"/>
        <w:gridCol w:w="2927"/>
        <w:gridCol w:w="2614"/>
      </w:tblGrid>
      <w:tr>
        <w:trPr>
          <w:trHeight w:val="321" w:hRule="atLeast"/>
        </w:trPr>
        <w:tc>
          <w:tcPr>
            <w:tcW w:w="1221" w:type="dxa"/>
            <w:vAlign w:val="top"/>
            <w:tcBorders>
              <w:left w:val="nil"/>
              <w:top w:val="single" w:color="000000" w:sz="10" w:space="0"/>
            </w:tcBorders>
          </w:tcPr>
          <w:p>
            <w:pPr>
              <w:pStyle w:val="TableText"/>
              <w:ind w:left="415"/>
              <w:spacing w:before="57" w:line="221" w:lineRule="auto"/>
              <w:rPr/>
            </w:pPr>
            <w:r>
              <w:rPr>
                <w:b/>
                <w:bCs/>
                <w:spacing w:val="-5"/>
              </w:rPr>
              <w:t>编号</w:t>
            </w:r>
          </w:p>
        </w:tc>
        <w:tc>
          <w:tcPr>
            <w:tcW w:w="1973" w:type="dxa"/>
            <w:vAlign w:val="top"/>
            <w:tcBorders>
              <w:top w:val="single" w:color="000000" w:sz="10" w:space="0"/>
            </w:tcBorders>
          </w:tcPr>
          <w:p>
            <w:pPr>
              <w:pStyle w:val="TableText"/>
              <w:ind w:left="463"/>
              <w:spacing w:before="57" w:line="222" w:lineRule="auto"/>
              <w:rPr/>
            </w:pPr>
            <w:r>
              <w:rPr>
                <w:b/>
                <w:bCs/>
                <w:spacing w:val="-3"/>
              </w:rPr>
              <w:t>监测点位置</w:t>
            </w:r>
          </w:p>
        </w:tc>
        <w:tc>
          <w:tcPr>
            <w:tcW w:w="2927" w:type="dxa"/>
            <w:vAlign w:val="top"/>
            <w:tcBorders>
              <w:top w:val="single" w:color="000000" w:sz="10" w:space="0"/>
            </w:tcBorders>
          </w:tcPr>
          <w:p>
            <w:pPr>
              <w:pStyle w:val="TableText"/>
              <w:ind w:left="1258"/>
              <w:spacing w:before="57" w:line="221" w:lineRule="auto"/>
              <w:rPr/>
            </w:pPr>
            <w:r>
              <w:rPr>
                <w:b/>
                <w:bCs/>
                <w:spacing w:val="-4"/>
              </w:rPr>
              <w:t>坐标</w:t>
            </w:r>
          </w:p>
        </w:tc>
        <w:tc>
          <w:tcPr>
            <w:tcW w:w="2614" w:type="dxa"/>
            <w:vAlign w:val="top"/>
            <w:tcBorders>
              <w:right w:val="nil"/>
              <w:top w:val="single" w:color="000000" w:sz="10" w:space="0"/>
            </w:tcBorders>
          </w:tcPr>
          <w:p>
            <w:pPr>
              <w:pStyle w:val="TableText"/>
              <w:ind w:left="1103"/>
              <w:spacing w:before="57" w:line="222" w:lineRule="auto"/>
              <w:rPr/>
            </w:pPr>
            <w:r>
              <w:rPr>
                <w:b/>
                <w:bCs/>
                <w:spacing w:val="-5"/>
              </w:rPr>
              <w:t>备注</w:t>
            </w:r>
          </w:p>
        </w:tc>
      </w:tr>
      <w:tr>
        <w:trPr>
          <w:trHeight w:val="625" w:hRule="atLeast"/>
        </w:trPr>
        <w:tc>
          <w:tcPr>
            <w:tcW w:w="1221" w:type="dxa"/>
            <w:vAlign w:val="top"/>
            <w:tcBorders>
              <w:left w:val="nil"/>
            </w:tcBorders>
          </w:tcPr>
          <w:p>
            <w:pPr>
              <w:ind w:left="535"/>
              <w:spacing w:before="24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p>
        </w:tc>
        <w:tc>
          <w:tcPr>
            <w:tcW w:w="1973" w:type="dxa"/>
            <w:vAlign w:val="top"/>
          </w:tcPr>
          <w:p>
            <w:pPr>
              <w:pStyle w:val="TableText"/>
              <w:ind w:left="332"/>
              <w:spacing w:before="209" w:line="234" w:lineRule="auto"/>
              <w:rPr>
                <w:rFonts w:ascii="Times New Roman" w:hAnsi="Times New Roman" w:eastAsia="Times New Roman" w:cs="Times New Roman"/>
              </w:rPr>
            </w:pPr>
            <w:r>
              <w:rPr>
                <w:spacing w:val="-3"/>
              </w:rPr>
              <w:t>地下水点位</w:t>
            </w:r>
            <w:r>
              <w:rPr>
                <w:spacing w:val="-26"/>
              </w:rPr>
              <w:t xml:space="preserve"> </w:t>
            </w:r>
            <w:r>
              <w:rPr>
                <w:rFonts w:ascii="Times New Roman" w:hAnsi="Times New Roman" w:eastAsia="Times New Roman" w:cs="Times New Roman"/>
                <w:spacing w:val="-3"/>
              </w:rPr>
              <w:t>1#</w:t>
            </w:r>
          </w:p>
        </w:tc>
        <w:tc>
          <w:tcPr>
            <w:tcW w:w="2927" w:type="dxa"/>
            <w:vAlign w:val="top"/>
          </w:tcPr>
          <w:p>
            <w:pPr>
              <w:pStyle w:val="TableText"/>
              <w:ind w:left="352"/>
              <w:spacing w:before="53" w:line="234" w:lineRule="auto"/>
              <w:rPr/>
            </w:pPr>
            <w:r>
              <w:rPr>
                <w:spacing w:val="-7"/>
              </w:rPr>
              <w:t>东经：</w:t>
            </w:r>
            <w:r>
              <w:rPr>
                <w:rFonts w:ascii="Times New Roman" w:hAnsi="Times New Roman" w:eastAsia="Times New Roman" w:cs="Times New Roman"/>
                <w:spacing w:val="-7"/>
              </w:rPr>
              <w:t>116</w:t>
            </w:r>
            <w:r>
              <w:rPr>
                <w:rFonts w:ascii="Times New Roman" w:hAnsi="Times New Roman" w:eastAsia="Times New Roman" w:cs="Times New Roman"/>
                <w:spacing w:val="-23"/>
              </w:rPr>
              <w:t xml:space="preserve"> </w:t>
            </w:r>
            <w:r>
              <w:rPr>
                <w:spacing w:val="-7"/>
              </w:rPr>
              <w:t>°</w:t>
            </w:r>
            <w:r>
              <w:rPr>
                <w:spacing w:val="-80"/>
              </w:rPr>
              <w:t xml:space="preserve"> </w:t>
            </w:r>
            <w:r>
              <w:rPr>
                <w:rFonts w:ascii="Times New Roman" w:hAnsi="Times New Roman" w:eastAsia="Times New Roman" w:cs="Times New Roman"/>
                <w:spacing w:val="-7"/>
              </w:rPr>
              <w:t>12</w:t>
            </w:r>
            <w:r>
              <w:rPr>
                <w:rFonts w:ascii="Times New Roman" w:hAnsi="Times New Roman" w:eastAsia="Times New Roman" w:cs="Times New Roman"/>
                <w:spacing w:val="-17"/>
              </w:rPr>
              <w:t xml:space="preserve"> </w:t>
            </w:r>
            <w:r>
              <w:rPr>
                <w:spacing w:val="-7"/>
              </w:rPr>
              <w:t>′</w:t>
            </w:r>
            <w:r>
              <w:rPr>
                <w:rFonts w:ascii="Times New Roman" w:hAnsi="Times New Roman" w:eastAsia="Times New Roman" w:cs="Times New Roman"/>
                <w:spacing w:val="-7"/>
              </w:rPr>
              <w:t>21.12</w:t>
            </w:r>
            <w:r>
              <w:rPr>
                <w:rFonts w:ascii="Times New Roman" w:hAnsi="Times New Roman" w:eastAsia="Times New Roman" w:cs="Times New Roman"/>
                <w:spacing w:val="-16"/>
              </w:rPr>
              <w:t xml:space="preserve"> </w:t>
            </w:r>
            <w:r>
              <w:rPr>
                <w:spacing w:val="-7"/>
              </w:rPr>
              <w:t>″</w:t>
            </w:r>
          </w:p>
          <w:p>
            <w:pPr>
              <w:pStyle w:val="TableText"/>
              <w:ind w:left="396"/>
              <w:spacing w:before="44" w:line="220" w:lineRule="auto"/>
              <w:rPr/>
            </w:pPr>
            <w:r>
              <w:rPr>
                <w:spacing w:val="-5"/>
              </w:rPr>
              <w:t>北纬：</w:t>
            </w:r>
            <w:r>
              <w:rPr>
                <w:rFonts w:ascii="Times New Roman" w:hAnsi="Times New Roman" w:eastAsia="Times New Roman" w:cs="Times New Roman"/>
                <w:spacing w:val="-5"/>
              </w:rPr>
              <w:t>43</w:t>
            </w:r>
            <w:r>
              <w:rPr>
                <w:rFonts w:ascii="Times New Roman" w:hAnsi="Times New Roman" w:eastAsia="Times New Roman" w:cs="Times New Roman"/>
                <w:spacing w:val="-26"/>
              </w:rPr>
              <w:t xml:space="preserve"> </w:t>
            </w:r>
            <w:r>
              <w:rPr>
                <w:spacing w:val="-5"/>
              </w:rPr>
              <w:t>°</w:t>
            </w:r>
            <w:r>
              <w:rPr>
                <w:rFonts w:ascii="Times New Roman" w:hAnsi="Times New Roman" w:eastAsia="Times New Roman" w:cs="Times New Roman"/>
                <w:spacing w:val="-5"/>
              </w:rPr>
              <w:t>58</w:t>
            </w:r>
            <w:r>
              <w:rPr>
                <w:rFonts w:ascii="Times New Roman" w:hAnsi="Times New Roman" w:eastAsia="Times New Roman" w:cs="Times New Roman"/>
                <w:spacing w:val="-15"/>
              </w:rPr>
              <w:t xml:space="preserve"> </w:t>
            </w:r>
            <w:r>
              <w:rPr>
                <w:spacing w:val="-5"/>
              </w:rPr>
              <w:t>′</w:t>
            </w:r>
            <w:r>
              <w:rPr>
                <w:rFonts w:ascii="Times New Roman" w:hAnsi="Times New Roman" w:eastAsia="Times New Roman" w:cs="Times New Roman"/>
                <w:spacing w:val="-5"/>
              </w:rPr>
              <w:t>32.08</w:t>
            </w:r>
            <w:r>
              <w:rPr>
                <w:rFonts w:ascii="Times New Roman" w:hAnsi="Times New Roman" w:eastAsia="Times New Roman" w:cs="Times New Roman"/>
                <w:spacing w:val="-14"/>
              </w:rPr>
              <w:t xml:space="preserve"> </w:t>
            </w:r>
            <w:r>
              <w:rPr>
                <w:spacing w:val="-5"/>
              </w:rPr>
              <w:t>″</w:t>
            </w:r>
          </w:p>
        </w:tc>
        <w:tc>
          <w:tcPr>
            <w:tcW w:w="2614" w:type="dxa"/>
            <w:vAlign w:val="top"/>
            <w:tcBorders>
              <w:right w:val="nil"/>
            </w:tcBorders>
          </w:tcPr>
          <w:p>
            <w:pPr>
              <w:pStyle w:val="TableText"/>
              <w:ind w:left="209"/>
              <w:spacing w:before="208" w:line="221" w:lineRule="auto"/>
              <w:rPr/>
            </w:pPr>
            <w:r>
              <w:rPr>
                <w:spacing w:val="8"/>
              </w:rPr>
              <w:t>上游、监测水质及水位</w:t>
            </w:r>
          </w:p>
        </w:tc>
      </w:tr>
      <w:tr>
        <w:trPr>
          <w:trHeight w:val="625" w:hRule="atLeast"/>
        </w:trPr>
        <w:tc>
          <w:tcPr>
            <w:tcW w:w="1221" w:type="dxa"/>
            <w:vAlign w:val="top"/>
            <w:tcBorders>
              <w:left w:val="nil"/>
            </w:tcBorders>
          </w:tcPr>
          <w:p>
            <w:pPr>
              <w:ind w:left="515"/>
              <w:spacing w:before="24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p>
        </w:tc>
        <w:tc>
          <w:tcPr>
            <w:tcW w:w="1973" w:type="dxa"/>
            <w:vAlign w:val="top"/>
          </w:tcPr>
          <w:p>
            <w:pPr>
              <w:pStyle w:val="TableText"/>
              <w:ind w:left="332"/>
              <w:spacing w:before="213" w:line="234" w:lineRule="auto"/>
              <w:rPr>
                <w:rFonts w:ascii="Times New Roman" w:hAnsi="Times New Roman" w:eastAsia="Times New Roman" w:cs="Times New Roman"/>
              </w:rPr>
            </w:pPr>
            <w:r>
              <w:rPr>
                <w:spacing w:val="-2"/>
              </w:rPr>
              <w:t>地下水点位</w:t>
            </w:r>
            <w:r>
              <w:rPr>
                <w:spacing w:val="-43"/>
              </w:rPr>
              <w:t xml:space="preserve"> </w:t>
            </w:r>
            <w:r>
              <w:rPr>
                <w:rFonts w:ascii="Times New Roman" w:hAnsi="Times New Roman" w:eastAsia="Times New Roman" w:cs="Times New Roman"/>
                <w:spacing w:val="-2"/>
              </w:rPr>
              <w:t>2#</w:t>
            </w:r>
          </w:p>
        </w:tc>
        <w:tc>
          <w:tcPr>
            <w:tcW w:w="2927" w:type="dxa"/>
            <w:vAlign w:val="top"/>
          </w:tcPr>
          <w:p>
            <w:pPr>
              <w:pStyle w:val="TableText"/>
              <w:ind w:left="354"/>
              <w:spacing w:before="57" w:line="234" w:lineRule="auto"/>
              <w:rPr/>
            </w:pPr>
            <w:r>
              <w:rPr>
                <w:spacing w:val="-9"/>
              </w:rPr>
              <w:t>东经：</w:t>
            </w:r>
            <w:r>
              <w:rPr>
                <w:rFonts w:ascii="Times New Roman" w:hAnsi="Times New Roman" w:eastAsia="Times New Roman" w:cs="Times New Roman"/>
                <w:spacing w:val="-9"/>
              </w:rPr>
              <w:t>116</w:t>
            </w:r>
            <w:r>
              <w:rPr>
                <w:rFonts w:ascii="Times New Roman" w:hAnsi="Times New Roman" w:eastAsia="Times New Roman" w:cs="Times New Roman"/>
                <w:spacing w:val="-25"/>
              </w:rPr>
              <w:t xml:space="preserve"> </w:t>
            </w:r>
            <w:r>
              <w:rPr>
                <w:spacing w:val="-9"/>
              </w:rPr>
              <w:t>°</w:t>
            </w:r>
            <w:r>
              <w:rPr>
                <w:spacing w:val="-80"/>
              </w:rPr>
              <w:t xml:space="preserve"> </w:t>
            </w:r>
            <w:r>
              <w:rPr>
                <w:rFonts w:ascii="Times New Roman" w:hAnsi="Times New Roman" w:eastAsia="Times New Roman" w:cs="Times New Roman"/>
                <w:spacing w:val="-9"/>
              </w:rPr>
              <w:t>11</w:t>
            </w:r>
            <w:r>
              <w:rPr>
                <w:rFonts w:ascii="Times New Roman" w:hAnsi="Times New Roman" w:eastAsia="Times New Roman" w:cs="Times New Roman"/>
                <w:spacing w:val="-15"/>
              </w:rPr>
              <w:t xml:space="preserve"> </w:t>
            </w:r>
            <w:r>
              <w:rPr>
                <w:spacing w:val="-9"/>
              </w:rPr>
              <w:t>′</w:t>
            </w:r>
            <w:r>
              <w:rPr>
                <w:spacing w:val="-80"/>
              </w:rPr>
              <w:t xml:space="preserve"> </w:t>
            </w:r>
            <w:r>
              <w:rPr>
                <w:rFonts w:ascii="Times New Roman" w:hAnsi="Times New Roman" w:eastAsia="Times New Roman" w:cs="Times New Roman"/>
                <w:spacing w:val="-9"/>
              </w:rPr>
              <w:t>16.87</w:t>
            </w:r>
            <w:r>
              <w:rPr>
                <w:rFonts w:ascii="Times New Roman" w:hAnsi="Times New Roman" w:eastAsia="Times New Roman" w:cs="Times New Roman"/>
                <w:spacing w:val="-16"/>
              </w:rPr>
              <w:t xml:space="preserve"> </w:t>
            </w:r>
            <w:r>
              <w:rPr>
                <w:spacing w:val="-9"/>
              </w:rPr>
              <w:t>″</w:t>
            </w:r>
          </w:p>
          <w:p>
            <w:pPr>
              <w:pStyle w:val="TableText"/>
              <w:ind w:left="396"/>
              <w:spacing w:before="45" w:line="216" w:lineRule="auto"/>
              <w:rPr/>
            </w:pPr>
            <w:r>
              <w:rPr>
                <w:spacing w:val="-5"/>
              </w:rPr>
              <w:t>北纬：</w:t>
            </w:r>
            <w:r>
              <w:rPr>
                <w:rFonts w:ascii="Times New Roman" w:hAnsi="Times New Roman" w:eastAsia="Times New Roman" w:cs="Times New Roman"/>
                <w:spacing w:val="-5"/>
              </w:rPr>
              <w:t>43</w:t>
            </w:r>
            <w:r>
              <w:rPr>
                <w:rFonts w:ascii="Times New Roman" w:hAnsi="Times New Roman" w:eastAsia="Times New Roman" w:cs="Times New Roman"/>
                <w:spacing w:val="-26"/>
              </w:rPr>
              <w:t xml:space="preserve"> </w:t>
            </w:r>
            <w:r>
              <w:rPr>
                <w:spacing w:val="-5"/>
              </w:rPr>
              <w:t>°</w:t>
            </w:r>
            <w:r>
              <w:rPr>
                <w:rFonts w:ascii="Times New Roman" w:hAnsi="Times New Roman" w:eastAsia="Times New Roman" w:cs="Times New Roman"/>
                <w:spacing w:val="-5"/>
              </w:rPr>
              <w:t>58</w:t>
            </w:r>
            <w:r>
              <w:rPr>
                <w:rFonts w:ascii="Times New Roman" w:hAnsi="Times New Roman" w:eastAsia="Times New Roman" w:cs="Times New Roman"/>
                <w:spacing w:val="-15"/>
              </w:rPr>
              <w:t xml:space="preserve"> </w:t>
            </w:r>
            <w:r>
              <w:rPr>
                <w:spacing w:val="-5"/>
              </w:rPr>
              <w:t>′</w:t>
            </w:r>
            <w:r>
              <w:rPr>
                <w:rFonts w:ascii="Times New Roman" w:hAnsi="Times New Roman" w:eastAsia="Times New Roman" w:cs="Times New Roman"/>
                <w:spacing w:val="-5"/>
              </w:rPr>
              <w:t>20.46</w:t>
            </w:r>
            <w:r>
              <w:rPr>
                <w:rFonts w:ascii="Times New Roman" w:hAnsi="Times New Roman" w:eastAsia="Times New Roman" w:cs="Times New Roman"/>
                <w:spacing w:val="-14"/>
              </w:rPr>
              <w:t xml:space="preserve"> </w:t>
            </w:r>
            <w:r>
              <w:rPr>
                <w:spacing w:val="-5"/>
              </w:rPr>
              <w:t>″</w:t>
            </w:r>
          </w:p>
        </w:tc>
        <w:tc>
          <w:tcPr>
            <w:tcW w:w="2614" w:type="dxa"/>
            <w:vAlign w:val="top"/>
            <w:tcBorders>
              <w:right w:val="nil"/>
            </w:tcBorders>
          </w:tcPr>
          <w:p>
            <w:pPr>
              <w:pStyle w:val="TableText"/>
              <w:ind w:left="242"/>
              <w:spacing w:before="212" w:line="221" w:lineRule="auto"/>
              <w:rPr/>
            </w:pPr>
            <w:r>
              <w:rPr>
                <w:spacing w:val="2"/>
              </w:rPr>
              <w:t>项目所在地、监测水位</w:t>
            </w:r>
          </w:p>
        </w:tc>
      </w:tr>
      <w:tr>
        <w:trPr>
          <w:trHeight w:val="625" w:hRule="atLeast"/>
        </w:trPr>
        <w:tc>
          <w:tcPr>
            <w:tcW w:w="1221" w:type="dxa"/>
            <w:vAlign w:val="top"/>
            <w:tcBorders>
              <w:left w:val="nil"/>
            </w:tcBorders>
          </w:tcPr>
          <w:p>
            <w:pPr>
              <w:ind w:left="519"/>
              <w:spacing w:before="24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p>
        </w:tc>
        <w:tc>
          <w:tcPr>
            <w:tcW w:w="1973" w:type="dxa"/>
            <w:vAlign w:val="top"/>
          </w:tcPr>
          <w:p>
            <w:pPr>
              <w:pStyle w:val="TableText"/>
              <w:ind w:left="332"/>
              <w:spacing w:before="216" w:line="234" w:lineRule="auto"/>
              <w:rPr>
                <w:rFonts w:ascii="Times New Roman" w:hAnsi="Times New Roman" w:eastAsia="Times New Roman" w:cs="Times New Roman"/>
              </w:rPr>
            </w:pPr>
            <w:r>
              <w:rPr>
                <w:spacing w:val="-2"/>
              </w:rPr>
              <w:t>地下水点位</w:t>
            </w:r>
            <w:r>
              <w:rPr>
                <w:spacing w:val="-41"/>
              </w:rPr>
              <w:t xml:space="preserve"> </w:t>
            </w:r>
            <w:r>
              <w:rPr>
                <w:rFonts w:ascii="Times New Roman" w:hAnsi="Times New Roman" w:eastAsia="Times New Roman" w:cs="Times New Roman"/>
                <w:spacing w:val="-2"/>
              </w:rPr>
              <w:t>3#</w:t>
            </w:r>
          </w:p>
        </w:tc>
        <w:tc>
          <w:tcPr>
            <w:tcW w:w="2927" w:type="dxa"/>
            <w:vAlign w:val="top"/>
          </w:tcPr>
          <w:p>
            <w:pPr>
              <w:pStyle w:val="TableText"/>
              <w:ind w:left="352"/>
              <w:spacing w:before="60" w:line="234" w:lineRule="auto"/>
              <w:rPr/>
            </w:pPr>
            <w:r>
              <w:rPr>
                <w:spacing w:val="-7"/>
              </w:rPr>
              <w:t>东经：</w:t>
            </w:r>
            <w:r>
              <w:rPr>
                <w:rFonts w:ascii="Times New Roman" w:hAnsi="Times New Roman" w:eastAsia="Times New Roman" w:cs="Times New Roman"/>
                <w:spacing w:val="-7"/>
              </w:rPr>
              <w:t>116</w:t>
            </w:r>
            <w:r>
              <w:rPr>
                <w:rFonts w:ascii="Times New Roman" w:hAnsi="Times New Roman" w:eastAsia="Times New Roman" w:cs="Times New Roman"/>
                <w:spacing w:val="-23"/>
              </w:rPr>
              <w:t xml:space="preserve"> </w:t>
            </w:r>
            <w:r>
              <w:rPr>
                <w:spacing w:val="-7"/>
              </w:rPr>
              <w:t>°</w:t>
            </w:r>
            <w:r>
              <w:rPr>
                <w:spacing w:val="-80"/>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17"/>
              </w:rPr>
              <w:t xml:space="preserve"> </w:t>
            </w:r>
            <w:r>
              <w:rPr>
                <w:spacing w:val="-7"/>
              </w:rPr>
              <w:t>′</w:t>
            </w:r>
            <w:r>
              <w:rPr>
                <w:rFonts w:ascii="Times New Roman" w:hAnsi="Times New Roman" w:eastAsia="Times New Roman" w:cs="Times New Roman"/>
                <w:spacing w:val="-7"/>
              </w:rPr>
              <w:t>40.70</w:t>
            </w:r>
            <w:r>
              <w:rPr>
                <w:rFonts w:ascii="Times New Roman" w:hAnsi="Times New Roman" w:eastAsia="Times New Roman" w:cs="Times New Roman"/>
                <w:spacing w:val="-16"/>
              </w:rPr>
              <w:t xml:space="preserve"> </w:t>
            </w:r>
            <w:r>
              <w:rPr>
                <w:spacing w:val="-7"/>
              </w:rPr>
              <w:t>″</w:t>
            </w:r>
          </w:p>
          <w:p>
            <w:pPr>
              <w:pStyle w:val="TableText"/>
              <w:ind w:left="449"/>
              <w:spacing w:before="45" w:line="213" w:lineRule="auto"/>
              <w:rPr/>
            </w:pPr>
            <w:r>
              <w:rPr>
                <w:spacing w:val="-6"/>
              </w:rPr>
              <w:t>北纬：</w:t>
            </w:r>
            <w:r>
              <w:rPr>
                <w:rFonts w:ascii="Times New Roman" w:hAnsi="Times New Roman" w:eastAsia="Times New Roman" w:cs="Times New Roman"/>
                <w:spacing w:val="-6"/>
              </w:rPr>
              <w:t>43</w:t>
            </w:r>
            <w:r>
              <w:rPr>
                <w:rFonts w:ascii="Times New Roman" w:hAnsi="Times New Roman" w:eastAsia="Times New Roman" w:cs="Times New Roman"/>
                <w:spacing w:val="-16"/>
              </w:rPr>
              <w:t xml:space="preserve"> </w:t>
            </w:r>
            <w:r>
              <w:rPr>
                <w:spacing w:val="-6"/>
              </w:rPr>
              <w:t>°</w:t>
            </w:r>
            <w:r>
              <w:rPr>
                <w:rFonts w:ascii="Times New Roman" w:hAnsi="Times New Roman" w:eastAsia="Times New Roman" w:cs="Times New Roman"/>
                <w:spacing w:val="-6"/>
              </w:rPr>
              <w:t>58</w:t>
            </w:r>
            <w:r>
              <w:rPr>
                <w:rFonts w:ascii="Times New Roman" w:hAnsi="Times New Roman" w:eastAsia="Times New Roman" w:cs="Times New Roman"/>
                <w:spacing w:val="-14"/>
              </w:rPr>
              <w:t xml:space="preserve"> </w:t>
            </w:r>
            <w:r>
              <w:rPr>
                <w:spacing w:val="-6"/>
              </w:rPr>
              <w:t>′</w:t>
            </w:r>
            <w:r>
              <w:rPr>
                <w:rFonts w:ascii="Times New Roman" w:hAnsi="Times New Roman" w:eastAsia="Times New Roman" w:cs="Times New Roman"/>
                <w:spacing w:val="-6"/>
              </w:rPr>
              <w:t>4.43</w:t>
            </w:r>
            <w:r>
              <w:rPr>
                <w:rFonts w:ascii="Times New Roman" w:hAnsi="Times New Roman" w:eastAsia="Times New Roman" w:cs="Times New Roman"/>
                <w:spacing w:val="-16"/>
              </w:rPr>
              <w:t xml:space="preserve"> </w:t>
            </w:r>
            <w:r>
              <w:rPr>
                <w:spacing w:val="-6"/>
              </w:rPr>
              <w:t>″</w:t>
            </w:r>
          </w:p>
        </w:tc>
        <w:tc>
          <w:tcPr>
            <w:tcW w:w="2614" w:type="dxa"/>
            <w:vAlign w:val="top"/>
            <w:tcBorders>
              <w:right w:val="nil"/>
            </w:tcBorders>
          </w:tcPr>
          <w:p>
            <w:pPr>
              <w:pStyle w:val="TableText"/>
              <w:ind w:left="226"/>
              <w:spacing w:before="215" w:line="221" w:lineRule="auto"/>
              <w:rPr/>
            </w:pPr>
            <w:r>
              <w:rPr>
                <w:spacing w:val="5"/>
              </w:rPr>
              <w:t>下游、监测水质及水位</w:t>
            </w:r>
          </w:p>
        </w:tc>
      </w:tr>
      <w:tr>
        <w:trPr>
          <w:trHeight w:val="627" w:hRule="atLeast"/>
        </w:trPr>
        <w:tc>
          <w:tcPr>
            <w:tcW w:w="1221" w:type="dxa"/>
            <w:vAlign w:val="top"/>
            <w:tcBorders>
              <w:left w:val="nil"/>
            </w:tcBorders>
          </w:tcPr>
          <w:p>
            <w:pPr>
              <w:ind w:left="514"/>
              <w:spacing w:before="25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p>
        </w:tc>
        <w:tc>
          <w:tcPr>
            <w:tcW w:w="1973" w:type="dxa"/>
            <w:vAlign w:val="top"/>
          </w:tcPr>
          <w:p>
            <w:pPr>
              <w:pStyle w:val="TableText"/>
              <w:ind w:left="332"/>
              <w:spacing w:before="222" w:line="234" w:lineRule="auto"/>
              <w:rPr>
                <w:rFonts w:ascii="Times New Roman" w:hAnsi="Times New Roman" w:eastAsia="Times New Roman" w:cs="Times New Roman"/>
              </w:rPr>
            </w:pPr>
            <w:r>
              <w:rPr>
                <w:spacing w:val="-2"/>
              </w:rPr>
              <w:t>地下水点位</w:t>
            </w:r>
            <w:r>
              <w:rPr>
                <w:spacing w:val="-44"/>
              </w:rPr>
              <w:t xml:space="preserve"> </w:t>
            </w:r>
            <w:r>
              <w:rPr>
                <w:rFonts w:ascii="Times New Roman" w:hAnsi="Times New Roman" w:eastAsia="Times New Roman" w:cs="Times New Roman"/>
                <w:spacing w:val="-2"/>
              </w:rPr>
              <w:t>4#</w:t>
            </w:r>
          </w:p>
        </w:tc>
        <w:tc>
          <w:tcPr>
            <w:tcW w:w="2927" w:type="dxa"/>
            <w:vAlign w:val="top"/>
          </w:tcPr>
          <w:p>
            <w:pPr>
              <w:pStyle w:val="TableText"/>
              <w:ind w:left="402"/>
              <w:spacing w:before="66" w:line="234" w:lineRule="auto"/>
              <w:rPr/>
            </w:pPr>
            <w:r>
              <w:rPr>
                <w:spacing w:val="-8"/>
              </w:rPr>
              <w:t>东经：</w:t>
            </w:r>
            <w:r>
              <w:rPr>
                <w:rFonts w:ascii="Times New Roman" w:hAnsi="Times New Roman" w:eastAsia="Times New Roman" w:cs="Times New Roman"/>
                <w:spacing w:val="-8"/>
              </w:rPr>
              <w:t>116</w:t>
            </w:r>
            <w:r>
              <w:rPr>
                <w:rFonts w:ascii="Times New Roman" w:hAnsi="Times New Roman" w:eastAsia="Times New Roman" w:cs="Times New Roman"/>
                <w:spacing w:val="-15"/>
              </w:rPr>
              <w:t xml:space="preserve"> </w:t>
            </w:r>
            <w:r>
              <w:rPr>
                <w:spacing w:val="-8"/>
              </w:rPr>
              <w:t>°</w:t>
            </w:r>
            <w:r>
              <w:rPr>
                <w:rFonts w:ascii="Times New Roman" w:hAnsi="Times New Roman" w:eastAsia="Times New Roman" w:cs="Times New Roman"/>
                <w:spacing w:val="-8"/>
              </w:rPr>
              <w:t>9</w:t>
            </w:r>
            <w:r>
              <w:rPr>
                <w:rFonts w:ascii="Times New Roman" w:hAnsi="Times New Roman" w:eastAsia="Times New Roman" w:cs="Times New Roman"/>
                <w:spacing w:val="-17"/>
              </w:rPr>
              <w:t xml:space="preserve"> </w:t>
            </w:r>
            <w:r>
              <w:rPr>
                <w:spacing w:val="-8"/>
              </w:rPr>
              <w:t>′</w:t>
            </w:r>
            <w:r>
              <w:rPr>
                <w:spacing w:val="-80"/>
              </w:rPr>
              <w:t xml:space="preserve"> </w:t>
            </w:r>
            <w:r>
              <w:rPr>
                <w:rFonts w:ascii="Times New Roman" w:hAnsi="Times New Roman" w:eastAsia="Times New Roman" w:cs="Times New Roman"/>
                <w:spacing w:val="-8"/>
              </w:rPr>
              <w:t>18.88</w:t>
            </w:r>
            <w:r>
              <w:rPr>
                <w:rFonts w:ascii="Times New Roman" w:hAnsi="Times New Roman" w:eastAsia="Times New Roman" w:cs="Times New Roman"/>
                <w:spacing w:val="-14"/>
              </w:rPr>
              <w:t xml:space="preserve"> </w:t>
            </w:r>
            <w:r>
              <w:rPr>
                <w:spacing w:val="-8"/>
              </w:rPr>
              <w:t>″</w:t>
            </w:r>
          </w:p>
          <w:p>
            <w:pPr>
              <w:pStyle w:val="TableText"/>
              <w:ind w:left="449"/>
              <w:spacing w:before="46" w:line="209" w:lineRule="auto"/>
              <w:rPr/>
            </w:pPr>
            <w:r>
              <w:rPr>
                <w:spacing w:val="-6"/>
              </w:rPr>
              <w:t>北纬：</w:t>
            </w:r>
            <w:r>
              <w:rPr>
                <w:rFonts w:ascii="Times New Roman" w:hAnsi="Times New Roman" w:eastAsia="Times New Roman" w:cs="Times New Roman"/>
                <w:spacing w:val="-6"/>
              </w:rPr>
              <w:t>43</w:t>
            </w:r>
            <w:r>
              <w:rPr>
                <w:rFonts w:ascii="Times New Roman" w:hAnsi="Times New Roman" w:eastAsia="Times New Roman" w:cs="Times New Roman"/>
                <w:spacing w:val="-16"/>
              </w:rPr>
              <w:t xml:space="preserve"> </w:t>
            </w:r>
            <w:r>
              <w:rPr>
                <w:spacing w:val="-6"/>
              </w:rPr>
              <w:t>°</w:t>
            </w:r>
            <w:r>
              <w:rPr>
                <w:rFonts w:ascii="Times New Roman" w:hAnsi="Times New Roman" w:eastAsia="Times New Roman" w:cs="Times New Roman"/>
                <w:spacing w:val="-6"/>
              </w:rPr>
              <w:t>57</w:t>
            </w:r>
            <w:r>
              <w:rPr>
                <w:rFonts w:ascii="Times New Roman" w:hAnsi="Times New Roman" w:eastAsia="Times New Roman" w:cs="Times New Roman"/>
                <w:spacing w:val="-14"/>
              </w:rPr>
              <w:t xml:space="preserve"> </w:t>
            </w:r>
            <w:r>
              <w:rPr>
                <w:spacing w:val="-6"/>
              </w:rPr>
              <w:t>′</w:t>
            </w:r>
            <w:r>
              <w:rPr>
                <w:rFonts w:ascii="Times New Roman" w:hAnsi="Times New Roman" w:eastAsia="Times New Roman" w:cs="Times New Roman"/>
                <w:spacing w:val="-6"/>
              </w:rPr>
              <w:t>4.14</w:t>
            </w:r>
            <w:r>
              <w:rPr>
                <w:rFonts w:ascii="Times New Roman" w:hAnsi="Times New Roman" w:eastAsia="Times New Roman" w:cs="Times New Roman"/>
                <w:spacing w:val="-16"/>
              </w:rPr>
              <w:t xml:space="preserve"> </w:t>
            </w:r>
            <w:r>
              <w:rPr>
                <w:spacing w:val="-6"/>
              </w:rPr>
              <w:t>″</w:t>
            </w:r>
          </w:p>
        </w:tc>
        <w:tc>
          <w:tcPr>
            <w:tcW w:w="2614" w:type="dxa"/>
            <w:vAlign w:val="top"/>
            <w:tcBorders>
              <w:right w:val="nil"/>
            </w:tcBorders>
          </w:tcPr>
          <w:p>
            <w:pPr>
              <w:pStyle w:val="TableText"/>
              <w:ind w:left="560"/>
              <w:spacing w:before="221" w:line="221" w:lineRule="auto"/>
              <w:rPr/>
            </w:pPr>
            <w:r>
              <w:rPr>
                <w:spacing w:val="3"/>
              </w:rPr>
              <w:t>下游、监测水位</w:t>
            </w:r>
          </w:p>
        </w:tc>
      </w:tr>
      <w:tr>
        <w:trPr>
          <w:trHeight w:val="625" w:hRule="atLeast"/>
        </w:trPr>
        <w:tc>
          <w:tcPr>
            <w:tcW w:w="1221" w:type="dxa"/>
            <w:vAlign w:val="top"/>
            <w:tcBorders>
              <w:left w:val="nil"/>
            </w:tcBorders>
          </w:tcPr>
          <w:p>
            <w:pPr>
              <w:ind w:left="521"/>
              <w:spacing w:before="25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p>
        </w:tc>
        <w:tc>
          <w:tcPr>
            <w:tcW w:w="1973" w:type="dxa"/>
            <w:vAlign w:val="top"/>
          </w:tcPr>
          <w:p>
            <w:pPr>
              <w:pStyle w:val="TableText"/>
              <w:ind w:left="332"/>
              <w:spacing w:before="224" w:line="234" w:lineRule="auto"/>
              <w:rPr>
                <w:rFonts w:ascii="Times New Roman" w:hAnsi="Times New Roman" w:eastAsia="Times New Roman" w:cs="Times New Roman"/>
              </w:rPr>
            </w:pPr>
            <w:r>
              <w:rPr>
                <w:spacing w:val="-2"/>
              </w:rPr>
              <w:t>地下水点位</w:t>
            </w:r>
            <w:r>
              <w:rPr>
                <w:spacing w:val="-40"/>
              </w:rPr>
              <w:t xml:space="preserve"> </w:t>
            </w:r>
            <w:r>
              <w:rPr>
                <w:rFonts w:ascii="Times New Roman" w:hAnsi="Times New Roman" w:eastAsia="Times New Roman" w:cs="Times New Roman"/>
                <w:spacing w:val="-2"/>
              </w:rPr>
              <w:t>5#</w:t>
            </w:r>
          </w:p>
        </w:tc>
        <w:tc>
          <w:tcPr>
            <w:tcW w:w="2927" w:type="dxa"/>
            <w:vAlign w:val="top"/>
          </w:tcPr>
          <w:p>
            <w:pPr>
              <w:pStyle w:val="TableText"/>
              <w:ind w:left="352"/>
              <w:spacing w:before="68" w:line="234" w:lineRule="auto"/>
              <w:rPr/>
            </w:pPr>
            <w:r>
              <w:rPr>
                <w:spacing w:val="-7"/>
              </w:rPr>
              <w:t>东经：</w:t>
            </w:r>
            <w:r>
              <w:rPr>
                <w:rFonts w:ascii="Times New Roman" w:hAnsi="Times New Roman" w:eastAsia="Times New Roman" w:cs="Times New Roman"/>
                <w:spacing w:val="-7"/>
              </w:rPr>
              <w:t>116</w:t>
            </w:r>
            <w:r>
              <w:rPr>
                <w:rFonts w:ascii="Times New Roman" w:hAnsi="Times New Roman" w:eastAsia="Times New Roman" w:cs="Times New Roman"/>
                <w:spacing w:val="-23"/>
              </w:rPr>
              <w:t xml:space="preserve"> </w:t>
            </w:r>
            <w:r>
              <w:rPr>
                <w:spacing w:val="-7"/>
              </w:rPr>
              <w:t>°</w:t>
            </w:r>
            <w:r>
              <w:rPr>
                <w:spacing w:val="-80"/>
              </w:rPr>
              <w:t xml:space="preserve"> </w:t>
            </w:r>
            <w:r>
              <w:rPr>
                <w:rFonts w:ascii="Times New Roman" w:hAnsi="Times New Roman" w:eastAsia="Times New Roman" w:cs="Times New Roman"/>
                <w:spacing w:val="-7"/>
              </w:rPr>
              <w:t>10</w:t>
            </w:r>
            <w:r>
              <w:rPr>
                <w:rFonts w:ascii="Times New Roman" w:hAnsi="Times New Roman" w:eastAsia="Times New Roman" w:cs="Times New Roman"/>
                <w:spacing w:val="-17"/>
              </w:rPr>
              <w:t xml:space="preserve"> </w:t>
            </w:r>
            <w:r>
              <w:rPr>
                <w:spacing w:val="-7"/>
              </w:rPr>
              <w:t>′</w:t>
            </w:r>
            <w:r>
              <w:rPr>
                <w:rFonts w:ascii="Times New Roman" w:hAnsi="Times New Roman" w:eastAsia="Times New Roman" w:cs="Times New Roman"/>
                <w:spacing w:val="-7"/>
              </w:rPr>
              <w:t>37.44</w:t>
            </w:r>
            <w:r>
              <w:rPr>
                <w:rFonts w:ascii="Times New Roman" w:hAnsi="Times New Roman" w:eastAsia="Times New Roman" w:cs="Times New Roman"/>
                <w:spacing w:val="-16"/>
              </w:rPr>
              <w:t xml:space="preserve"> </w:t>
            </w:r>
            <w:r>
              <w:rPr>
                <w:spacing w:val="-7"/>
              </w:rPr>
              <w:t>″</w:t>
            </w:r>
          </w:p>
          <w:p>
            <w:pPr>
              <w:pStyle w:val="TableText"/>
              <w:ind w:left="396"/>
              <w:spacing w:before="45" w:line="206" w:lineRule="auto"/>
              <w:rPr/>
            </w:pPr>
            <w:r>
              <w:rPr>
                <w:spacing w:val="-7"/>
              </w:rPr>
              <w:t>北纬：</w:t>
            </w:r>
            <w:r>
              <w:rPr>
                <w:rFonts w:ascii="Times New Roman" w:hAnsi="Times New Roman" w:eastAsia="Times New Roman" w:cs="Times New Roman"/>
                <w:spacing w:val="-7"/>
              </w:rPr>
              <w:t>43</w:t>
            </w:r>
            <w:r>
              <w:rPr>
                <w:rFonts w:ascii="Times New Roman" w:hAnsi="Times New Roman" w:eastAsia="Times New Roman" w:cs="Times New Roman"/>
                <w:spacing w:val="-19"/>
              </w:rPr>
              <w:t xml:space="preserve"> </w:t>
            </w:r>
            <w:r>
              <w:rPr>
                <w:spacing w:val="-7"/>
              </w:rPr>
              <w:t>°</w:t>
            </w:r>
            <w:r>
              <w:rPr>
                <w:rFonts w:ascii="Times New Roman" w:hAnsi="Times New Roman" w:eastAsia="Times New Roman" w:cs="Times New Roman"/>
                <w:spacing w:val="-7"/>
              </w:rPr>
              <w:t>55</w:t>
            </w:r>
            <w:r>
              <w:rPr>
                <w:rFonts w:ascii="Times New Roman" w:hAnsi="Times New Roman" w:eastAsia="Times New Roman" w:cs="Times New Roman"/>
                <w:spacing w:val="-14"/>
              </w:rPr>
              <w:t xml:space="preserve"> </w:t>
            </w:r>
            <w:r>
              <w:rPr>
                <w:spacing w:val="-7"/>
              </w:rPr>
              <w:t>′</w:t>
            </w:r>
            <w:r>
              <w:rPr>
                <w:spacing w:val="-83"/>
              </w:rPr>
              <w:t xml:space="preserve"> </w:t>
            </w:r>
            <w:r>
              <w:rPr>
                <w:rFonts w:ascii="Times New Roman" w:hAnsi="Times New Roman" w:eastAsia="Times New Roman" w:cs="Times New Roman"/>
                <w:spacing w:val="-7"/>
              </w:rPr>
              <w:t>17.55</w:t>
            </w:r>
            <w:r>
              <w:rPr>
                <w:rFonts w:ascii="Times New Roman" w:hAnsi="Times New Roman" w:eastAsia="Times New Roman" w:cs="Times New Roman"/>
                <w:spacing w:val="-14"/>
              </w:rPr>
              <w:t xml:space="preserve"> </w:t>
            </w:r>
            <w:r>
              <w:rPr>
                <w:spacing w:val="-7"/>
              </w:rPr>
              <w:t>″</w:t>
            </w:r>
          </w:p>
        </w:tc>
        <w:tc>
          <w:tcPr>
            <w:tcW w:w="2614" w:type="dxa"/>
            <w:vAlign w:val="top"/>
            <w:tcBorders>
              <w:right w:val="nil"/>
            </w:tcBorders>
          </w:tcPr>
          <w:p>
            <w:pPr>
              <w:pStyle w:val="TableText"/>
              <w:ind w:left="563"/>
              <w:spacing w:before="223" w:line="221" w:lineRule="auto"/>
              <w:rPr/>
            </w:pPr>
            <w:r>
              <w:rPr>
                <w:spacing w:val="1"/>
              </w:rPr>
              <w:t>侧向、监测水位</w:t>
            </w:r>
          </w:p>
        </w:tc>
      </w:tr>
      <w:tr>
        <w:trPr>
          <w:trHeight w:val="648" w:hRule="atLeast"/>
        </w:trPr>
        <w:tc>
          <w:tcPr>
            <w:tcW w:w="1221" w:type="dxa"/>
            <w:vAlign w:val="top"/>
            <w:tcBorders>
              <w:left w:val="nil"/>
              <w:bottom w:val="single" w:color="000000" w:sz="10" w:space="0"/>
            </w:tcBorders>
          </w:tcPr>
          <w:p>
            <w:pPr>
              <w:ind w:left="520"/>
              <w:spacing w:before="2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p>
        </w:tc>
        <w:tc>
          <w:tcPr>
            <w:tcW w:w="1973" w:type="dxa"/>
            <w:vAlign w:val="top"/>
            <w:tcBorders>
              <w:bottom w:val="single" w:color="000000" w:sz="10" w:space="0"/>
            </w:tcBorders>
          </w:tcPr>
          <w:p>
            <w:pPr>
              <w:pStyle w:val="TableText"/>
              <w:ind w:left="332"/>
              <w:spacing w:before="228" w:line="234" w:lineRule="auto"/>
              <w:rPr>
                <w:rFonts w:ascii="Times New Roman" w:hAnsi="Times New Roman" w:eastAsia="Times New Roman" w:cs="Times New Roman"/>
              </w:rPr>
            </w:pPr>
            <w:r>
              <w:rPr>
                <w:spacing w:val="-2"/>
              </w:rPr>
              <w:t>地下水点位</w:t>
            </w:r>
            <w:r>
              <w:rPr>
                <w:spacing w:val="-41"/>
              </w:rPr>
              <w:t xml:space="preserve"> </w:t>
            </w:r>
            <w:r>
              <w:rPr>
                <w:rFonts w:ascii="Times New Roman" w:hAnsi="Times New Roman" w:eastAsia="Times New Roman" w:cs="Times New Roman"/>
                <w:spacing w:val="-2"/>
              </w:rPr>
              <w:t>6#</w:t>
            </w:r>
          </w:p>
        </w:tc>
        <w:tc>
          <w:tcPr>
            <w:tcW w:w="2927" w:type="dxa"/>
            <w:vAlign w:val="top"/>
            <w:tcBorders>
              <w:bottom w:val="single" w:color="000000" w:sz="10" w:space="0"/>
            </w:tcBorders>
          </w:tcPr>
          <w:p>
            <w:pPr>
              <w:pStyle w:val="TableText"/>
              <w:ind w:left="354"/>
              <w:spacing w:before="72" w:line="234" w:lineRule="auto"/>
              <w:rPr/>
            </w:pPr>
            <w:r>
              <w:rPr>
                <w:spacing w:val="-8"/>
              </w:rPr>
              <w:t>东经：</w:t>
            </w:r>
            <w:r>
              <w:rPr>
                <w:rFonts w:ascii="Times New Roman" w:hAnsi="Times New Roman" w:eastAsia="Times New Roman" w:cs="Times New Roman"/>
                <w:spacing w:val="-8"/>
              </w:rPr>
              <w:t>116</w:t>
            </w:r>
            <w:r>
              <w:rPr>
                <w:rFonts w:ascii="Times New Roman" w:hAnsi="Times New Roman" w:eastAsia="Times New Roman" w:cs="Times New Roman"/>
                <w:spacing w:val="-16"/>
              </w:rPr>
              <w:t xml:space="preserve"> </w:t>
            </w:r>
            <w:r>
              <w:rPr>
                <w:spacing w:val="-8"/>
              </w:rPr>
              <w:t>°</w:t>
            </w:r>
            <w:r>
              <w:rPr>
                <w:spacing w:val="-80"/>
              </w:rPr>
              <w:t xml:space="preserve"> </w:t>
            </w:r>
            <w:r>
              <w:rPr>
                <w:rFonts w:ascii="Times New Roman" w:hAnsi="Times New Roman" w:eastAsia="Times New Roman" w:cs="Times New Roman"/>
                <w:spacing w:val="-8"/>
              </w:rPr>
              <w:t>11</w:t>
            </w:r>
            <w:r>
              <w:rPr>
                <w:rFonts w:ascii="Times New Roman" w:hAnsi="Times New Roman" w:eastAsia="Times New Roman" w:cs="Times New Roman"/>
                <w:spacing w:val="-15"/>
              </w:rPr>
              <w:t xml:space="preserve"> </w:t>
            </w:r>
            <w:r>
              <w:rPr>
                <w:spacing w:val="-8"/>
              </w:rPr>
              <w:t>′</w:t>
            </w:r>
            <w:r>
              <w:rPr>
                <w:rFonts w:ascii="Times New Roman" w:hAnsi="Times New Roman" w:eastAsia="Times New Roman" w:cs="Times New Roman"/>
                <w:spacing w:val="-8"/>
              </w:rPr>
              <w:t>26.99</w:t>
            </w:r>
            <w:r>
              <w:rPr>
                <w:rFonts w:ascii="Times New Roman" w:hAnsi="Times New Roman" w:eastAsia="Times New Roman" w:cs="Times New Roman"/>
                <w:spacing w:val="-16"/>
              </w:rPr>
              <w:t xml:space="preserve"> </w:t>
            </w:r>
            <w:r>
              <w:rPr>
                <w:spacing w:val="-8"/>
              </w:rPr>
              <w:t>″</w:t>
            </w:r>
          </w:p>
          <w:p>
            <w:pPr>
              <w:pStyle w:val="TableText"/>
              <w:ind w:left="396"/>
              <w:spacing w:before="45" w:line="223" w:lineRule="auto"/>
              <w:rPr/>
            </w:pPr>
            <w:r>
              <w:rPr>
                <w:spacing w:val="-5"/>
              </w:rPr>
              <w:t>北纬：</w:t>
            </w:r>
            <w:r>
              <w:rPr>
                <w:rFonts w:ascii="Times New Roman" w:hAnsi="Times New Roman" w:eastAsia="Times New Roman" w:cs="Times New Roman"/>
                <w:spacing w:val="-5"/>
              </w:rPr>
              <w:t>43</w:t>
            </w:r>
            <w:r>
              <w:rPr>
                <w:rFonts w:ascii="Times New Roman" w:hAnsi="Times New Roman" w:eastAsia="Times New Roman" w:cs="Times New Roman"/>
                <w:spacing w:val="-26"/>
              </w:rPr>
              <w:t xml:space="preserve"> </w:t>
            </w:r>
            <w:r>
              <w:rPr>
                <w:spacing w:val="-5"/>
              </w:rPr>
              <w:t>°</w:t>
            </w:r>
            <w:r>
              <w:rPr>
                <w:rFonts w:ascii="Times New Roman" w:hAnsi="Times New Roman" w:eastAsia="Times New Roman" w:cs="Times New Roman"/>
                <w:spacing w:val="-5"/>
              </w:rPr>
              <w:t>56</w:t>
            </w:r>
            <w:r>
              <w:rPr>
                <w:rFonts w:ascii="Times New Roman" w:hAnsi="Times New Roman" w:eastAsia="Times New Roman" w:cs="Times New Roman"/>
                <w:spacing w:val="-15"/>
              </w:rPr>
              <w:t xml:space="preserve"> </w:t>
            </w:r>
            <w:r>
              <w:rPr>
                <w:spacing w:val="-5"/>
              </w:rPr>
              <w:t>′</w:t>
            </w:r>
            <w:r>
              <w:rPr>
                <w:rFonts w:ascii="Times New Roman" w:hAnsi="Times New Roman" w:eastAsia="Times New Roman" w:cs="Times New Roman"/>
                <w:spacing w:val="-5"/>
              </w:rPr>
              <w:t>52.32</w:t>
            </w:r>
            <w:r>
              <w:rPr>
                <w:rFonts w:ascii="Times New Roman" w:hAnsi="Times New Roman" w:eastAsia="Times New Roman" w:cs="Times New Roman"/>
                <w:spacing w:val="-14"/>
              </w:rPr>
              <w:t xml:space="preserve"> </w:t>
            </w:r>
            <w:r>
              <w:rPr>
                <w:spacing w:val="-5"/>
              </w:rPr>
              <w:t>″</w:t>
            </w:r>
          </w:p>
        </w:tc>
        <w:tc>
          <w:tcPr>
            <w:tcW w:w="2614" w:type="dxa"/>
            <w:vAlign w:val="top"/>
            <w:tcBorders>
              <w:right w:val="nil"/>
              <w:bottom w:val="single" w:color="000000" w:sz="10" w:space="0"/>
            </w:tcBorders>
          </w:tcPr>
          <w:p>
            <w:pPr>
              <w:pStyle w:val="TableText"/>
              <w:ind w:left="218"/>
              <w:spacing w:before="227" w:line="221" w:lineRule="auto"/>
              <w:rPr/>
            </w:pPr>
            <w:r>
              <w:rPr>
                <w:spacing w:val="6"/>
              </w:rPr>
              <w:t>侧向、监测水质及水位</w:t>
            </w:r>
          </w:p>
        </w:tc>
      </w:tr>
    </w:tbl>
    <w:p>
      <w:pPr>
        <w:ind w:left="618"/>
        <w:spacing w:before="113" w:line="234"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2</w:t>
      </w:r>
      <w:r>
        <w:rPr>
          <w:rFonts w:ascii="SimSun" w:hAnsi="SimSun" w:eastAsia="SimSun" w:cs="SimSun"/>
          <w:sz w:val="24"/>
          <w:szCs w:val="24"/>
          <w:spacing w:val="-8"/>
        </w:rPr>
        <w:t>）监测项目</w:t>
      </w:r>
    </w:p>
    <w:p>
      <w:pPr>
        <w:ind w:left="121" w:right="20" w:firstLine="490"/>
        <w:spacing w:before="71" w:line="354" w:lineRule="auto"/>
        <w:rPr>
          <w:rFonts w:ascii="SimSun" w:hAnsi="SimSun" w:eastAsia="SimSun" w:cs="SimSun"/>
          <w:sz w:val="24"/>
          <w:szCs w:val="24"/>
        </w:rPr>
      </w:pPr>
      <w:r>
        <w:rPr>
          <w:rFonts w:ascii="SimSun" w:hAnsi="SimSun" w:eastAsia="SimSun" w:cs="SimSun"/>
          <w:sz w:val="24"/>
          <w:szCs w:val="24"/>
          <w:spacing w:val="-5"/>
          <w:position w:val="-1"/>
        </w:rPr>
        <w:t>监测项目为监测项目选择</w:t>
      </w:r>
      <w:r>
        <w:rPr>
          <w:rFonts w:ascii="SimSun" w:hAnsi="SimSun" w:eastAsia="SimSun" w:cs="SimSun"/>
          <w:sz w:val="24"/>
          <w:szCs w:val="24"/>
          <w:spacing w:val="-56"/>
          <w:position w:val="-1"/>
        </w:rPr>
        <w:t xml:space="preserve"> </w:t>
      </w:r>
      <w:r>
        <w:rPr>
          <w:rFonts w:ascii="Times New Roman" w:hAnsi="Times New Roman" w:eastAsia="Times New Roman" w:cs="Times New Roman"/>
          <w:sz w:val="24"/>
          <w:szCs w:val="24"/>
          <w:spacing w:val="-5"/>
          <w:position w:val="-1"/>
        </w:rPr>
        <w:t>K</w:t>
      </w:r>
      <w:r>
        <w:rPr>
          <w:rFonts w:ascii="Times New Roman" w:hAnsi="Times New Roman" w:eastAsia="Times New Roman" w:cs="Times New Roman"/>
          <w:sz w:val="16"/>
          <w:szCs w:val="16"/>
          <w:spacing w:val="-5"/>
          <w:position w:val="9"/>
        </w:rPr>
        <w:t>+</w:t>
      </w:r>
      <w:r>
        <w:rPr>
          <w:rFonts w:ascii="Times New Roman" w:hAnsi="Times New Roman" w:eastAsia="Times New Roman" w:cs="Times New Roman"/>
          <w:sz w:val="16"/>
          <w:szCs w:val="16"/>
          <w:spacing w:val="-13"/>
          <w:position w:val="9"/>
        </w:rPr>
        <w:t xml:space="preserve"> </w:t>
      </w:r>
      <w:r>
        <w:rPr>
          <w:rFonts w:ascii="SimSun" w:hAnsi="SimSun" w:eastAsia="SimSun" w:cs="SimSun"/>
          <w:sz w:val="24"/>
          <w:szCs w:val="24"/>
          <w:spacing w:val="-5"/>
          <w:position w:val="-1"/>
        </w:rPr>
        <w:t>、</w:t>
      </w:r>
      <w:r>
        <w:rPr>
          <w:rFonts w:ascii="Times New Roman" w:hAnsi="Times New Roman" w:eastAsia="Times New Roman" w:cs="Times New Roman"/>
          <w:sz w:val="24"/>
          <w:szCs w:val="24"/>
          <w:spacing w:val="-5"/>
          <w:position w:val="-1"/>
        </w:rPr>
        <w:t>Na</w:t>
      </w:r>
      <w:r>
        <w:rPr>
          <w:rFonts w:ascii="Times New Roman" w:hAnsi="Times New Roman" w:eastAsia="Times New Roman" w:cs="Times New Roman"/>
          <w:sz w:val="16"/>
          <w:szCs w:val="16"/>
          <w:spacing w:val="-5"/>
          <w:position w:val="9"/>
        </w:rPr>
        <w:t>+</w:t>
      </w:r>
      <w:r>
        <w:rPr>
          <w:rFonts w:ascii="Times New Roman" w:hAnsi="Times New Roman" w:eastAsia="Times New Roman" w:cs="Times New Roman"/>
          <w:sz w:val="16"/>
          <w:szCs w:val="16"/>
          <w:spacing w:val="-13"/>
          <w:position w:val="9"/>
        </w:rPr>
        <w:t xml:space="preserve"> </w:t>
      </w:r>
      <w:r>
        <w:rPr>
          <w:rFonts w:ascii="SimSun" w:hAnsi="SimSun" w:eastAsia="SimSun" w:cs="SimSun"/>
          <w:sz w:val="24"/>
          <w:szCs w:val="24"/>
          <w:spacing w:val="-5"/>
          <w:position w:val="-1"/>
        </w:rPr>
        <w:t>、</w:t>
      </w:r>
      <w:r>
        <w:rPr>
          <w:rFonts w:ascii="Times New Roman" w:hAnsi="Times New Roman" w:eastAsia="Times New Roman" w:cs="Times New Roman"/>
          <w:sz w:val="24"/>
          <w:szCs w:val="24"/>
          <w:spacing w:val="-5"/>
          <w:position w:val="-1"/>
        </w:rPr>
        <w:t>Ca</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14"/>
          <w:position w:val="9"/>
        </w:rPr>
        <w:t xml:space="preserve"> </w:t>
      </w:r>
      <w:r>
        <w:rPr>
          <w:rFonts w:ascii="SimSun" w:hAnsi="SimSun" w:eastAsia="SimSun" w:cs="SimSun"/>
          <w:sz w:val="24"/>
          <w:szCs w:val="24"/>
          <w:spacing w:val="-5"/>
          <w:position w:val="-1"/>
        </w:rPr>
        <w:t>、</w:t>
      </w:r>
      <w:r>
        <w:rPr>
          <w:rFonts w:ascii="Times New Roman" w:hAnsi="Times New Roman" w:eastAsia="Times New Roman" w:cs="Times New Roman"/>
          <w:sz w:val="24"/>
          <w:szCs w:val="24"/>
          <w:spacing w:val="-5"/>
          <w:position w:val="-1"/>
        </w:rPr>
        <w:t>Mg</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13"/>
          <w:position w:val="9"/>
        </w:rPr>
        <w:t xml:space="preserve"> </w:t>
      </w:r>
      <w:r>
        <w:rPr>
          <w:rFonts w:ascii="SimSun" w:hAnsi="SimSun" w:eastAsia="SimSun" w:cs="SimSun"/>
          <w:sz w:val="24"/>
          <w:szCs w:val="24"/>
          <w:spacing w:val="-5"/>
          <w:position w:val="-1"/>
        </w:rPr>
        <w:t>、</w:t>
      </w:r>
      <w:r>
        <w:rPr>
          <w:rFonts w:ascii="Times New Roman" w:hAnsi="Times New Roman" w:eastAsia="Times New Roman" w:cs="Times New Roman"/>
          <w:sz w:val="24"/>
          <w:szCs w:val="24"/>
          <w:spacing w:val="-5"/>
          <w:position w:val="-1"/>
        </w:rPr>
        <w:t>CO</w:t>
      </w:r>
      <w:r>
        <w:rPr>
          <w:rFonts w:ascii="Times New Roman" w:hAnsi="Times New Roman" w:eastAsia="Times New Roman" w:cs="Times New Roman"/>
          <w:sz w:val="16"/>
          <w:szCs w:val="16"/>
          <w:spacing w:val="-5"/>
          <w:position w:val="-4"/>
        </w:rPr>
        <w:t>3</w:t>
      </w:r>
      <w:r>
        <w:rPr>
          <w:rFonts w:ascii="Times New Roman" w:hAnsi="Times New Roman" w:eastAsia="Times New Roman" w:cs="Times New Roman"/>
          <w:sz w:val="16"/>
          <w:szCs w:val="16"/>
          <w:spacing w:val="-5"/>
          <w:position w:val="9"/>
        </w:rPr>
        <w:t>2-</w:t>
      </w:r>
      <w:r>
        <w:rPr>
          <w:rFonts w:ascii="Times New Roman" w:hAnsi="Times New Roman" w:eastAsia="Times New Roman" w:cs="Times New Roman"/>
          <w:sz w:val="16"/>
          <w:szCs w:val="16"/>
          <w:spacing w:val="-15"/>
          <w:position w:val="9"/>
        </w:rPr>
        <w:t xml:space="preserve"> </w:t>
      </w:r>
      <w:r>
        <w:rPr>
          <w:rFonts w:ascii="SimSun" w:hAnsi="SimSun" w:eastAsia="SimSun" w:cs="SimSun"/>
          <w:sz w:val="24"/>
          <w:szCs w:val="24"/>
          <w:spacing w:val="-6"/>
          <w:position w:val="-1"/>
        </w:rPr>
        <w:t>、</w:t>
      </w:r>
      <w:r>
        <w:rPr>
          <w:rFonts w:ascii="Times New Roman" w:hAnsi="Times New Roman" w:eastAsia="Times New Roman" w:cs="Times New Roman"/>
          <w:sz w:val="24"/>
          <w:szCs w:val="24"/>
          <w:spacing w:val="-6"/>
          <w:position w:val="-1"/>
        </w:rPr>
        <w:t>HCO</w:t>
      </w:r>
      <w:r>
        <w:rPr>
          <w:rFonts w:ascii="Times New Roman" w:hAnsi="Times New Roman" w:eastAsia="Times New Roman" w:cs="Times New Roman"/>
          <w:sz w:val="16"/>
          <w:szCs w:val="16"/>
          <w:spacing w:val="-6"/>
          <w:position w:val="-4"/>
        </w:rPr>
        <w:t>3</w:t>
      </w:r>
      <w:r>
        <w:rPr>
          <w:rFonts w:ascii="Times New Roman" w:hAnsi="Times New Roman" w:eastAsia="Times New Roman" w:cs="Times New Roman"/>
          <w:sz w:val="16"/>
          <w:szCs w:val="16"/>
          <w:spacing w:val="-6"/>
          <w:position w:val="9"/>
        </w:rPr>
        <w:t>-</w:t>
      </w:r>
      <w:r>
        <w:rPr>
          <w:rFonts w:ascii="Times New Roman" w:hAnsi="Times New Roman" w:eastAsia="Times New Roman" w:cs="Times New Roman"/>
          <w:sz w:val="16"/>
          <w:szCs w:val="16"/>
          <w:spacing w:val="-14"/>
          <w:position w:val="9"/>
        </w:rPr>
        <w:t xml:space="preserve"> </w:t>
      </w:r>
      <w:r>
        <w:rPr>
          <w:rFonts w:ascii="SimSun" w:hAnsi="SimSun" w:eastAsia="SimSun" w:cs="SimSun"/>
          <w:sz w:val="24"/>
          <w:szCs w:val="24"/>
          <w:spacing w:val="-6"/>
          <w:position w:val="-1"/>
        </w:rPr>
        <w:t>、</w:t>
      </w:r>
      <w:r>
        <w:rPr>
          <w:rFonts w:ascii="Times New Roman" w:hAnsi="Times New Roman" w:eastAsia="Times New Roman" w:cs="Times New Roman"/>
          <w:sz w:val="24"/>
          <w:szCs w:val="24"/>
          <w:spacing w:val="-6"/>
          <w:position w:val="-1"/>
        </w:rPr>
        <w:t>Cl</w:t>
      </w:r>
      <w:r>
        <w:rPr>
          <w:rFonts w:ascii="Times New Roman" w:hAnsi="Times New Roman" w:eastAsia="Times New Roman" w:cs="Times New Roman"/>
          <w:sz w:val="16"/>
          <w:szCs w:val="16"/>
          <w:spacing w:val="-6"/>
          <w:position w:val="9"/>
        </w:rPr>
        <w:t>-</w:t>
      </w:r>
      <w:r>
        <w:rPr>
          <w:rFonts w:ascii="Times New Roman" w:hAnsi="Times New Roman" w:eastAsia="Times New Roman" w:cs="Times New Roman"/>
          <w:sz w:val="16"/>
          <w:szCs w:val="16"/>
          <w:spacing w:val="-15"/>
          <w:position w:val="9"/>
        </w:rPr>
        <w:t xml:space="preserve"> </w:t>
      </w:r>
      <w:r>
        <w:rPr>
          <w:rFonts w:ascii="SimSun" w:hAnsi="SimSun" w:eastAsia="SimSun" w:cs="SimSun"/>
          <w:sz w:val="24"/>
          <w:szCs w:val="24"/>
          <w:spacing w:val="-6"/>
          <w:position w:val="-1"/>
        </w:rPr>
        <w:t>、</w:t>
      </w:r>
      <w:r>
        <w:rPr>
          <w:rFonts w:ascii="Times New Roman" w:hAnsi="Times New Roman" w:eastAsia="Times New Roman" w:cs="Times New Roman"/>
          <w:sz w:val="24"/>
          <w:szCs w:val="24"/>
          <w:spacing w:val="-6"/>
          <w:position w:val="-1"/>
        </w:rPr>
        <w:t>SO</w:t>
      </w:r>
      <w:r>
        <w:rPr>
          <w:rFonts w:ascii="Times New Roman" w:hAnsi="Times New Roman" w:eastAsia="Times New Roman" w:cs="Times New Roman"/>
          <w:sz w:val="16"/>
          <w:szCs w:val="16"/>
          <w:spacing w:val="-6"/>
          <w:position w:val="-4"/>
        </w:rPr>
        <w:t>4</w:t>
      </w:r>
      <w:r>
        <w:rPr>
          <w:rFonts w:ascii="Times New Roman" w:hAnsi="Times New Roman" w:eastAsia="Times New Roman" w:cs="Times New Roman"/>
          <w:sz w:val="16"/>
          <w:szCs w:val="16"/>
          <w:spacing w:val="-6"/>
          <w:position w:val="9"/>
        </w:rPr>
        <w:t>2-</w:t>
      </w:r>
      <w:r>
        <w:rPr>
          <w:rFonts w:ascii="SimSun" w:hAnsi="SimSun" w:eastAsia="SimSun" w:cs="SimSun"/>
          <w:sz w:val="24"/>
          <w:szCs w:val="24"/>
          <w:spacing w:val="-6"/>
          <w:position w:val="-1"/>
        </w:rPr>
        <w:t>、</w:t>
      </w:r>
      <w:r>
        <w:rPr>
          <w:rFonts w:ascii="SimSun" w:hAnsi="SimSun" w:eastAsia="SimSun" w:cs="SimSun"/>
          <w:sz w:val="24"/>
          <w:szCs w:val="24"/>
          <w:position w:val="-1"/>
        </w:rPr>
        <w:t xml:space="preserve"> </w:t>
      </w:r>
      <w:r>
        <w:rPr>
          <w:rFonts w:ascii="Times New Roman" w:hAnsi="Times New Roman" w:eastAsia="Times New Roman" w:cs="Times New Roman"/>
          <w:sz w:val="24"/>
          <w:szCs w:val="24"/>
          <w:spacing w:val="-7"/>
        </w:rPr>
        <w:t>pH</w:t>
      </w:r>
      <w:r>
        <w:rPr>
          <w:rFonts w:ascii="SimSun" w:hAnsi="SimSun" w:eastAsia="SimSun" w:cs="SimSun"/>
          <w:sz w:val="24"/>
          <w:szCs w:val="24"/>
          <w:spacing w:val="-7"/>
        </w:rPr>
        <w:t>、氨氮、硝酸盐、亚硝酸盐、挥发性酚类、氰化物、砷、汞、铬</w:t>
      </w:r>
      <w:r>
        <w:rPr>
          <w:rFonts w:ascii="Times New Roman" w:hAnsi="Times New Roman" w:eastAsia="Times New Roman" w:cs="Times New Roman"/>
          <w:sz w:val="24"/>
          <w:szCs w:val="24"/>
          <w:spacing w:val="-7"/>
        </w:rPr>
        <w:t>(</w:t>
      </w:r>
      <w:r>
        <w:rPr>
          <w:rFonts w:ascii="SimSun" w:hAnsi="SimSun" w:eastAsia="SimSun" w:cs="SimSun"/>
          <w:sz w:val="24"/>
          <w:szCs w:val="24"/>
          <w:spacing w:val="-7"/>
        </w:rPr>
        <w:t>六价</w:t>
      </w:r>
      <w:r>
        <w:rPr>
          <w:rFonts w:ascii="Times New Roman" w:hAnsi="Times New Roman" w:eastAsia="Times New Roman" w:cs="Times New Roman"/>
          <w:sz w:val="24"/>
          <w:szCs w:val="24"/>
          <w:spacing w:val="-7"/>
        </w:rPr>
        <w:t>)</w:t>
      </w:r>
      <w:r>
        <w:rPr>
          <w:rFonts w:ascii="SimSun" w:hAnsi="SimSun" w:eastAsia="SimSun" w:cs="SimSun"/>
          <w:sz w:val="24"/>
          <w:szCs w:val="24"/>
          <w:spacing w:val="-7"/>
        </w:rPr>
        <w:t>、总硬度、</w:t>
      </w:r>
      <w:r>
        <w:rPr>
          <w:rFonts w:ascii="SimSun" w:hAnsi="SimSun" w:eastAsia="SimSun" w:cs="SimSun"/>
          <w:sz w:val="24"/>
          <w:szCs w:val="24"/>
          <w:spacing w:val="-2"/>
        </w:rPr>
        <w:t>铅、氟化物、镉、铁、锰、溶解性总固体、耗氧量（</w:t>
      </w:r>
      <w:r>
        <w:rPr>
          <w:rFonts w:ascii="Times New Roman" w:hAnsi="Times New Roman" w:eastAsia="Times New Roman" w:cs="Times New Roman"/>
          <w:sz w:val="24"/>
          <w:szCs w:val="24"/>
          <w:spacing w:val="-2"/>
        </w:rPr>
        <w:t>COD</w:t>
      </w:r>
      <w:r>
        <w:rPr>
          <w:rFonts w:ascii="Times New Roman" w:hAnsi="Times New Roman" w:eastAsia="Times New Roman" w:cs="Times New Roman"/>
          <w:sz w:val="16"/>
          <w:szCs w:val="16"/>
          <w:spacing w:val="-3"/>
          <w:position w:val="-3"/>
        </w:rPr>
        <w:t>Mn</w:t>
      </w:r>
      <w:r>
        <w:rPr>
          <w:rFonts w:ascii="Times New Roman" w:hAnsi="Times New Roman" w:eastAsia="Times New Roman" w:cs="Times New Roman"/>
          <w:sz w:val="16"/>
          <w:szCs w:val="16"/>
          <w:spacing w:val="12"/>
          <w:w w:val="101"/>
          <w:position w:val="-3"/>
        </w:rPr>
        <w:t xml:space="preserve"> </w:t>
      </w:r>
      <w:r>
        <w:rPr>
          <w:rFonts w:ascii="SimSun" w:hAnsi="SimSun" w:eastAsia="SimSun" w:cs="SimSun"/>
          <w:sz w:val="24"/>
          <w:szCs w:val="24"/>
          <w:spacing w:val="-3"/>
        </w:rPr>
        <w:t>法、以</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O</w:t>
      </w:r>
      <w:r>
        <w:rPr>
          <w:rFonts w:ascii="Times New Roman" w:hAnsi="Times New Roman" w:eastAsia="Times New Roman" w:cs="Times New Roman"/>
          <w:sz w:val="16"/>
          <w:szCs w:val="16"/>
          <w:spacing w:val="-3"/>
          <w:position w:val="-3"/>
        </w:rPr>
        <w:t>2</w:t>
      </w:r>
      <w:r>
        <w:rPr>
          <w:rFonts w:ascii="Times New Roman" w:hAnsi="Times New Roman" w:eastAsia="Times New Roman" w:cs="Times New Roman"/>
          <w:sz w:val="16"/>
          <w:szCs w:val="16"/>
          <w:spacing w:val="11"/>
          <w:w w:val="102"/>
          <w:position w:val="-3"/>
        </w:rPr>
        <w:t xml:space="preserve"> </w:t>
      </w:r>
      <w:r>
        <w:rPr>
          <w:rFonts w:ascii="SimSun" w:hAnsi="SimSun" w:eastAsia="SimSun" w:cs="SimSun"/>
          <w:sz w:val="24"/>
          <w:szCs w:val="24"/>
          <w:spacing w:val="-3"/>
        </w:rPr>
        <w:t>计）、总大</w:t>
      </w:r>
      <w:r>
        <w:rPr>
          <w:rFonts w:ascii="SimSun" w:hAnsi="SimSun" w:eastAsia="SimSun" w:cs="SimSun"/>
          <w:sz w:val="24"/>
          <w:szCs w:val="24"/>
          <w:spacing w:val="-4"/>
        </w:rPr>
        <w:t>肠菌群、细菌总数。</w:t>
      </w:r>
    </w:p>
    <w:p>
      <w:pPr>
        <w:ind w:left="618"/>
        <w:spacing w:before="11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）采样及分析方法</w:t>
      </w:r>
    </w:p>
    <w:p>
      <w:pPr>
        <w:ind w:left="613"/>
        <w:spacing w:before="164" w:line="233" w:lineRule="auto"/>
        <w:rPr>
          <w:rFonts w:ascii="SimSun" w:hAnsi="SimSun" w:eastAsia="SimSun" w:cs="SimSun"/>
          <w:sz w:val="24"/>
          <w:szCs w:val="24"/>
        </w:rPr>
      </w:pPr>
      <w:r>
        <w:rPr>
          <w:rFonts w:ascii="SimSun" w:hAnsi="SimSun" w:eastAsia="SimSun" w:cs="SimSun"/>
          <w:sz w:val="24"/>
          <w:szCs w:val="24"/>
          <w:spacing w:val="-1"/>
        </w:rPr>
        <w:t>按国家有关标准和环境保护部的有关规范执行，分析方法详见表</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1"/>
        </w:rPr>
        <w:t>4-2</w:t>
      </w:r>
      <w:r>
        <w:rPr>
          <w:rFonts w:ascii="SimSun" w:hAnsi="SimSun" w:eastAsia="SimSun" w:cs="SimSun"/>
          <w:sz w:val="24"/>
          <w:szCs w:val="24"/>
          <w:spacing w:val="-1"/>
        </w:rPr>
        <w:t>。</w:t>
      </w:r>
    </w:p>
    <w:p>
      <w:pPr>
        <w:ind w:left="2058"/>
        <w:spacing w:before="86"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4-2      </w:t>
      </w:r>
      <w:r>
        <w:rPr>
          <w:rFonts w:ascii="SimSun" w:hAnsi="SimSun" w:eastAsia="SimSun" w:cs="SimSun"/>
          <w:sz w:val="24"/>
          <w:szCs w:val="24"/>
          <w:b/>
          <w:bCs/>
          <w:spacing w:val="-2"/>
        </w:rPr>
        <w:t>地下水现状监测因子的分析方法</w:t>
      </w:r>
    </w:p>
    <w:p>
      <w:pPr>
        <w:spacing w:line="131" w:lineRule="exact"/>
        <w:rPr/>
      </w:pPr>
      <w:r/>
    </w:p>
    <w:tbl>
      <w:tblPr>
        <w:tblStyle w:val="TableNormal"/>
        <w:tblW w:w="8733"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2"/>
        <w:gridCol w:w="4732"/>
        <w:gridCol w:w="2359"/>
      </w:tblGrid>
      <w:tr>
        <w:trPr>
          <w:trHeight w:val="277" w:hRule="atLeast"/>
        </w:trPr>
        <w:tc>
          <w:tcPr>
            <w:tcW w:w="1642" w:type="dxa"/>
            <w:vAlign w:val="top"/>
            <w:tcBorders>
              <w:left w:val="nil"/>
              <w:top w:val="single" w:color="000000" w:sz="10" w:space="0"/>
            </w:tcBorders>
          </w:tcPr>
          <w:p>
            <w:pPr>
              <w:pStyle w:val="TableText"/>
              <w:ind w:left="417"/>
              <w:spacing w:before="36" w:line="203" w:lineRule="auto"/>
              <w:rPr/>
            </w:pPr>
            <w:r>
              <w:rPr>
                <w:spacing w:val="-2"/>
              </w:rPr>
              <w:t>监测因子</w:t>
            </w:r>
          </w:p>
        </w:tc>
        <w:tc>
          <w:tcPr>
            <w:tcW w:w="4732" w:type="dxa"/>
            <w:vAlign w:val="top"/>
            <w:tcBorders>
              <w:top w:val="single" w:color="000000" w:sz="10" w:space="0"/>
            </w:tcBorders>
          </w:tcPr>
          <w:p>
            <w:pPr>
              <w:pStyle w:val="TableText"/>
              <w:ind w:left="1949"/>
              <w:spacing w:before="36" w:line="203" w:lineRule="auto"/>
              <w:rPr/>
            </w:pPr>
            <w:r>
              <w:rPr>
                <w:spacing w:val="-2"/>
              </w:rPr>
              <w:t>分析方法</w:t>
            </w:r>
          </w:p>
        </w:tc>
        <w:tc>
          <w:tcPr>
            <w:tcW w:w="2359" w:type="dxa"/>
            <w:vAlign w:val="top"/>
            <w:tcBorders>
              <w:right w:val="nil"/>
              <w:top w:val="single" w:color="000000" w:sz="10" w:space="0"/>
            </w:tcBorders>
          </w:tcPr>
          <w:p>
            <w:pPr>
              <w:pStyle w:val="TableText"/>
              <w:ind w:left="762"/>
              <w:spacing w:before="36" w:line="203" w:lineRule="auto"/>
              <w:rPr/>
            </w:pPr>
            <w:r>
              <w:rPr>
                <w:spacing w:val="-2"/>
              </w:rPr>
              <w:t>方法来源</w:t>
            </w:r>
          </w:p>
        </w:tc>
      </w:tr>
      <w:tr>
        <w:trPr>
          <w:trHeight w:val="308" w:hRule="atLeast"/>
        </w:trPr>
        <w:tc>
          <w:tcPr>
            <w:tcW w:w="1642" w:type="dxa"/>
            <w:vAlign w:val="top"/>
            <w:tcBorders>
              <w:left w:val="nil"/>
            </w:tcBorders>
          </w:tcPr>
          <w:p>
            <w:pPr>
              <w:pStyle w:val="TableText"/>
              <w:ind w:left="568"/>
              <w:spacing w:before="55" w:line="213" w:lineRule="auto"/>
              <w:rPr/>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1"/>
              </w:rPr>
              <w:t>值</w:t>
            </w:r>
          </w:p>
        </w:tc>
        <w:tc>
          <w:tcPr>
            <w:tcW w:w="4732" w:type="dxa"/>
            <w:vAlign w:val="top"/>
          </w:tcPr>
          <w:p>
            <w:pPr>
              <w:pStyle w:val="TableText"/>
              <w:ind w:left="1165"/>
              <w:spacing w:before="56" w:line="207" w:lineRule="auto"/>
              <w:rPr/>
            </w:pPr>
            <w:r>
              <w:rPr>
                <w:spacing w:val="-3"/>
              </w:rPr>
              <w:t>水质 </w:t>
            </w:r>
            <w:r>
              <w:rPr>
                <w:rFonts w:ascii="Times New Roman" w:hAnsi="Times New Roman" w:eastAsia="Times New Roman" w:cs="Times New Roman"/>
                <w:spacing w:val="-3"/>
              </w:rPr>
              <w:t>pH </w:t>
            </w:r>
            <w:r>
              <w:rPr>
                <w:spacing w:val="-3"/>
              </w:rPr>
              <w:t>值的测定</w:t>
            </w:r>
            <w:r>
              <w:rPr>
                <w:spacing w:val="31"/>
              </w:rPr>
              <w:t xml:space="preserve"> </w:t>
            </w:r>
            <w:r>
              <w:rPr>
                <w:spacing w:val="-3"/>
              </w:rPr>
              <w:t>电极法</w:t>
            </w:r>
          </w:p>
        </w:tc>
        <w:tc>
          <w:tcPr>
            <w:tcW w:w="2359" w:type="dxa"/>
            <w:vAlign w:val="top"/>
            <w:tcBorders>
              <w:right w:val="nil"/>
            </w:tcBorders>
          </w:tcPr>
          <w:p>
            <w:pPr>
              <w:ind w:left="578"/>
              <w:spacing w:before="88"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HJ</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3"/>
              </w:rPr>
              <w:t>1147-2020</w:t>
            </w:r>
          </w:p>
        </w:tc>
      </w:tr>
      <w:tr>
        <w:trPr>
          <w:trHeight w:val="331" w:hRule="atLeast"/>
        </w:trPr>
        <w:tc>
          <w:tcPr>
            <w:tcW w:w="1642" w:type="dxa"/>
            <w:vAlign w:val="top"/>
            <w:tcBorders>
              <w:left w:val="nil"/>
              <w:bottom w:val="single" w:color="000000" w:sz="10" w:space="0"/>
            </w:tcBorders>
          </w:tcPr>
          <w:p>
            <w:pPr>
              <w:pStyle w:val="TableText"/>
              <w:ind w:left="624"/>
              <w:spacing w:before="66" w:line="220" w:lineRule="auto"/>
              <w:rPr/>
            </w:pPr>
            <w:r>
              <w:rPr>
                <w:spacing w:val="-2"/>
              </w:rPr>
              <w:t>氨氮</w:t>
            </w:r>
          </w:p>
        </w:tc>
        <w:tc>
          <w:tcPr>
            <w:tcW w:w="4732" w:type="dxa"/>
            <w:vAlign w:val="top"/>
            <w:tcBorders>
              <w:bottom w:val="single" w:color="000000" w:sz="10" w:space="0"/>
            </w:tcBorders>
          </w:tcPr>
          <w:p>
            <w:pPr>
              <w:pStyle w:val="TableText"/>
              <w:ind w:left="581"/>
              <w:spacing w:before="66" w:line="220" w:lineRule="auto"/>
              <w:rPr/>
            </w:pPr>
            <w:r>
              <w:rPr>
                <w:spacing w:val="-1"/>
              </w:rPr>
              <w:t>水质 氨氮的测定 纳氏试剂分光光度法</w:t>
            </w:r>
          </w:p>
        </w:tc>
        <w:tc>
          <w:tcPr>
            <w:tcW w:w="2359" w:type="dxa"/>
            <w:vAlign w:val="top"/>
            <w:tcBorders>
              <w:right w:val="nil"/>
              <w:bottom w:val="single" w:color="000000" w:sz="10" w:space="0"/>
            </w:tcBorders>
          </w:tcPr>
          <w:p>
            <w:pPr>
              <w:ind w:left="631"/>
              <w:spacing w:before="99"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535-2009</w:t>
            </w:r>
          </w:p>
        </w:tc>
      </w:tr>
    </w:tbl>
    <w:p>
      <w:pPr>
        <w:pStyle w:val="BodyText"/>
        <w:rPr/>
      </w:pPr>
      <w:r/>
    </w:p>
    <w:p>
      <w:pPr>
        <w:sectPr>
          <w:headerReference w:type="default" r:id="rId95"/>
          <w:footerReference w:type="default" r:id="rId96"/>
          <w:pgSz w:w="11907" w:h="16839"/>
          <w:pgMar w:top="1582" w:right="1591" w:bottom="1235" w:left="1579" w:header="1241" w:footer="992" w:gutter="0"/>
        </w:sectPr>
        <w:rPr/>
      </w:pPr>
    </w:p>
    <w:p>
      <w:pPr>
        <w:spacing w:line="119" w:lineRule="exact"/>
        <w:rPr/>
      </w:pPr>
      <w:r/>
    </w:p>
    <w:tbl>
      <w:tblPr>
        <w:tblStyle w:val="TableNormal"/>
        <w:tblW w:w="8733"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41"/>
        <w:gridCol w:w="4732"/>
        <w:gridCol w:w="2360"/>
      </w:tblGrid>
      <w:tr>
        <w:trPr>
          <w:trHeight w:val="323" w:hRule="atLeast"/>
        </w:trPr>
        <w:tc>
          <w:tcPr>
            <w:tcW w:w="1641" w:type="dxa"/>
            <w:vAlign w:val="top"/>
            <w:tcBorders>
              <w:left w:val="nil"/>
              <w:top w:val="single" w:color="000000" w:sz="10" w:space="0"/>
            </w:tcBorders>
          </w:tcPr>
          <w:p>
            <w:pPr>
              <w:pStyle w:val="TableText"/>
              <w:ind w:left="210"/>
              <w:spacing w:before="55" w:line="221" w:lineRule="auto"/>
              <w:rPr/>
            </w:pPr>
            <w:r>
              <w:rPr>
                <w:spacing w:val="-2"/>
              </w:rPr>
              <w:t>高锰酸盐指数</w:t>
            </w:r>
          </w:p>
        </w:tc>
        <w:tc>
          <w:tcPr>
            <w:tcW w:w="4732" w:type="dxa"/>
            <w:vAlign w:val="top"/>
            <w:tcBorders>
              <w:top w:val="single" w:color="000000" w:sz="10" w:space="0"/>
            </w:tcBorders>
          </w:tcPr>
          <w:p>
            <w:pPr>
              <w:pStyle w:val="TableText"/>
              <w:ind w:left="1163"/>
              <w:spacing w:before="55" w:line="221" w:lineRule="auto"/>
              <w:rPr/>
            </w:pPr>
            <w:r>
              <w:rPr>
                <w:spacing w:val="-1"/>
              </w:rPr>
              <w:t>水质 高锰酸盐指数的测定</w:t>
            </w:r>
          </w:p>
        </w:tc>
        <w:tc>
          <w:tcPr>
            <w:tcW w:w="2360" w:type="dxa"/>
            <w:vAlign w:val="top"/>
            <w:tcBorders>
              <w:right w:val="nil"/>
              <w:top w:val="single" w:color="000000" w:sz="10" w:space="0"/>
            </w:tcBorders>
          </w:tcPr>
          <w:p>
            <w:pPr>
              <w:ind w:left="502"/>
              <w:spacing w:before="88"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spacing w:val="-3"/>
              </w:rPr>
              <w:t>11892-1989</w:t>
            </w:r>
          </w:p>
        </w:tc>
      </w:tr>
      <w:tr>
        <w:trPr>
          <w:trHeight w:val="316" w:hRule="atLeast"/>
        </w:trPr>
        <w:tc>
          <w:tcPr>
            <w:tcW w:w="1641" w:type="dxa"/>
            <w:vAlign w:val="top"/>
            <w:tcBorders>
              <w:left w:val="nil"/>
            </w:tcBorders>
          </w:tcPr>
          <w:p>
            <w:pPr>
              <w:pStyle w:val="TableText"/>
              <w:ind w:left="525"/>
              <w:spacing w:before="49" w:line="221" w:lineRule="auto"/>
              <w:rPr/>
            </w:pPr>
            <w:r>
              <w:rPr>
                <w:spacing w:val="-3"/>
              </w:rPr>
              <w:t>总硬度</w:t>
            </w:r>
          </w:p>
        </w:tc>
        <w:tc>
          <w:tcPr>
            <w:tcW w:w="4732" w:type="dxa"/>
            <w:vAlign w:val="top"/>
          </w:tcPr>
          <w:p>
            <w:pPr>
              <w:pStyle w:val="TableText"/>
              <w:ind w:left="592"/>
              <w:spacing w:before="48" w:line="221" w:lineRule="auto"/>
              <w:rPr/>
            </w:pPr>
            <w:r>
              <w:rPr>
                <w:spacing w:val="-1"/>
              </w:rPr>
              <w:t>水质 钙和镁总量的测定 </w:t>
            </w:r>
            <w:r>
              <w:rPr>
                <w:rFonts w:ascii="Times New Roman" w:hAnsi="Times New Roman" w:eastAsia="Times New Roman" w:cs="Times New Roman"/>
                <w:spacing w:val="-1"/>
              </w:rPr>
              <w:t>EDTA </w:t>
            </w:r>
            <w:r>
              <w:rPr>
                <w:spacing w:val="-1"/>
              </w:rPr>
              <w:t>滴定法</w:t>
            </w:r>
          </w:p>
        </w:tc>
        <w:tc>
          <w:tcPr>
            <w:tcW w:w="2360" w:type="dxa"/>
            <w:vAlign w:val="top"/>
            <w:tcBorders>
              <w:right w:val="nil"/>
            </w:tcBorders>
          </w:tcPr>
          <w:p>
            <w:pPr>
              <w:ind w:left="554"/>
              <w:spacing w:before="81"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 7477-1987</w:t>
            </w:r>
          </w:p>
        </w:tc>
      </w:tr>
      <w:tr>
        <w:trPr>
          <w:trHeight w:val="318" w:hRule="atLeast"/>
        </w:trPr>
        <w:tc>
          <w:tcPr>
            <w:tcW w:w="1641" w:type="dxa"/>
            <w:vAlign w:val="top"/>
            <w:tcBorders>
              <w:left w:val="nil"/>
            </w:tcBorders>
          </w:tcPr>
          <w:p>
            <w:pPr>
              <w:pStyle w:val="TableText"/>
              <w:ind w:left="522"/>
              <w:spacing w:before="51" w:line="222" w:lineRule="auto"/>
              <w:rPr/>
            </w:pPr>
            <w:r>
              <w:rPr>
                <w:spacing w:val="-2"/>
              </w:rPr>
              <w:t>氯化物</w:t>
            </w:r>
          </w:p>
        </w:tc>
        <w:tc>
          <w:tcPr>
            <w:tcW w:w="4732" w:type="dxa"/>
            <w:vAlign w:val="top"/>
          </w:tcPr>
          <w:p>
            <w:pPr>
              <w:pStyle w:val="TableText"/>
              <w:ind w:left="794"/>
              <w:spacing w:before="51" w:line="221" w:lineRule="auto"/>
              <w:rPr/>
            </w:pPr>
            <w:r>
              <w:rPr>
                <w:spacing w:val="-1"/>
              </w:rPr>
              <w:t>水质 氯化物的测定 硝酸银滴定法</w:t>
            </w:r>
          </w:p>
        </w:tc>
        <w:tc>
          <w:tcPr>
            <w:tcW w:w="2360" w:type="dxa"/>
            <w:vAlign w:val="top"/>
            <w:tcBorders>
              <w:right w:val="nil"/>
            </w:tcBorders>
          </w:tcPr>
          <w:p>
            <w:pPr>
              <w:ind w:left="506"/>
              <w:spacing w:before="84"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GB</w:t>
            </w:r>
            <w:r>
              <w:rPr>
                <w:rFonts w:ascii="Times New Roman" w:hAnsi="Times New Roman" w:eastAsia="Times New Roman" w:cs="Times New Roman"/>
                <w:sz w:val="21"/>
                <w:szCs w:val="21"/>
                <w:spacing w:val="34"/>
              </w:rPr>
              <w:t xml:space="preserve"> </w:t>
            </w:r>
            <w:r>
              <w:rPr>
                <w:rFonts w:ascii="Times New Roman" w:hAnsi="Times New Roman" w:eastAsia="Times New Roman" w:cs="Times New Roman"/>
                <w:sz w:val="21"/>
                <w:szCs w:val="21"/>
                <w:spacing w:val="-4"/>
              </w:rPr>
              <w:t>11896-1989</w:t>
            </w:r>
          </w:p>
        </w:tc>
      </w:tr>
      <w:tr>
        <w:trPr>
          <w:trHeight w:val="315" w:hRule="atLeast"/>
        </w:trPr>
        <w:tc>
          <w:tcPr>
            <w:tcW w:w="1641" w:type="dxa"/>
            <w:vAlign w:val="top"/>
            <w:tcBorders>
              <w:left w:val="nil"/>
            </w:tcBorders>
          </w:tcPr>
          <w:p>
            <w:pPr>
              <w:pStyle w:val="TableText"/>
              <w:ind w:left="518"/>
              <w:spacing w:before="50" w:line="221" w:lineRule="auto"/>
              <w:rPr/>
            </w:pPr>
            <w:r>
              <w:rPr>
                <w:spacing w:val="-1"/>
              </w:rPr>
              <w:t>挥发酚</w:t>
            </w:r>
          </w:p>
        </w:tc>
        <w:tc>
          <w:tcPr>
            <w:tcW w:w="4732" w:type="dxa"/>
            <w:vAlign w:val="top"/>
          </w:tcPr>
          <w:p>
            <w:pPr>
              <w:pStyle w:val="TableText"/>
              <w:ind w:left="112"/>
              <w:spacing w:before="50" w:line="224" w:lineRule="auto"/>
              <w:rPr/>
            </w:pPr>
            <w:r>
              <w:rPr>
                <w:spacing w:val="-1"/>
              </w:rPr>
              <w:t>水质 挥发酚的测定 </w:t>
            </w:r>
            <w:r>
              <w:rPr>
                <w:rFonts w:ascii="Times New Roman" w:hAnsi="Times New Roman" w:eastAsia="Times New Roman" w:cs="Times New Roman"/>
                <w:spacing w:val="-1"/>
              </w:rPr>
              <w:t>4</w:t>
            </w:r>
            <w:r>
              <w:rPr>
                <w:spacing w:val="-1"/>
              </w:rPr>
              <w:t>－氨基安替比林分光光度法</w:t>
            </w:r>
          </w:p>
        </w:tc>
        <w:tc>
          <w:tcPr>
            <w:tcW w:w="2360" w:type="dxa"/>
            <w:vAlign w:val="top"/>
            <w:tcBorders>
              <w:right w:val="nil"/>
            </w:tcBorders>
          </w:tcPr>
          <w:p>
            <w:pPr>
              <w:ind w:left="632"/>
              <w:spacing w:before="82" w:line="22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503-2009</w:t>
            </w:r>
          </w:p>
        </w:tc>
      </w:tr>
      <w:tr>
        <w:trPr>
          <w:trHeight w:val="316" w:hRule="atLeast"/>
        </w:trPr>
        <w:tc>
          <w:tcPr>
            <w:tcW w:w="1641" w:type="dxa"/>
            <w:vAlign w:val="top"/>
            <w:tcBorders>
              <w:left w:val="nil"/>
            </w:tcBorders>
          </w:tcPr>
          <w:p>
            <w:pPr>
              <w:pStyle w:val="TableText"/>
              <w:ind w:left="312"/>
              <w:spacing w:before="51" w:line="220" w:lineRule="auto"/>
              <w:rPr/>
            </w:pPr>
            <w:r>
              <w:rPr>
                <w:spacing w:val="-2"/>
              </w:rPr>
              <w:t>亚硝酸盐氮</w:t>
            </w:r>
          </w:p>
        </w:tc>
        <w:tc>
          <w:tcPr>
            <w:tcW w:w="4732" w:type="dxa"/>
            <w:vAlign w:val="top"/>
          </w:tcPr>
          <w:p>
            <w:pPr>
              <w:pStyle w:val="TableText"/>
              <w:ind w:left="688"/>
              <w:spacing w:before="51" w:line="220" w:lineRule="auto"/>
              <w:rPr/>
            </w:pPr>
            <w:r>
              <w:rPr>
                <w:spacing w:val="-1"/>
              </w:rPr>
              <w:t>水质 亚硝酸盐氮的测定 分光光度法</w:t>
            </w:r>
          </w:p>
        </w:tc>
        <w:tc>
          <w:tcPr>
            <w:tcW w:w="2360" w:type="dxa"/>
            <w:vAlign w:val="top"/>
            <w:tcBorders>
              <w:right w:val="nil"/>
            </w:tcBorders>
          </w:tcPr>
          <w:p>
            <w:pPr>
              <w:ind w:left="554"/>
              <w:spacing w:before="84"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 7493-1987</w:t>
            </w:r>
          </w:p>
        </w:tc>
      </w:tr>
      <w:tr>
        <w:trPr>
          <w:trHeight w:val="316" w:hRule="atLeast"/>
        </w:trPr>
        <w:tc>
          <w:tcPr>
            <w:tcW w:w="1641" w:type="dxa"/>
            <w:vAlign w:val="top"/>
            <w:tcBorders>
              <w:left w:val="nil"/>
            </w:tcBorders>
          </w:tcPr>
          <w:p>
            <w:pPr>
              <w:pStyle w:val="TableText"/>
              <w:ind w:left="417"/>
              <w:spacing w:before="51" w:line="220" w:lineRule="auto"/>
              <w:rPr/>
            </w:pPr>
            <w:r>
              <w:rPr>
                <w:spacing w:val="-2"/>
              </w:rPr>
              <w:t>硝酸盐氮</w:t>
            </w:r>
          </w:p>
        </w:tc>
        <w:tc>
          <w:tcPr>
            <w:tcW w:w="4732" w:type="dxa"/>
            <w:vAlign w:val="top"/>
          </w:tcPr>
          <w:p>
            <w:pPr>
              <w:pStyle w:val="TableText"/>
              <w:ind w:left="374"/>
              <w:spacing w:before="51" w:line="220" w:lineRule="auto"/>
              <w:rPr/>
            </w:pPr>
            <w:r>
              <w:rPr>
                <w:spacing w:val="-1"/>
              </w:rPr>
              <w:t>水质 硝酸盐氮的测定 酚二磺酸分光光度法</w:t>
            </w:r>
          </w:p>
        </w:tc>
        <w:tc>
          <w:tcPr>
            <w:tcW w:w="2360" w:type="dxa"/>
            <w:vAlign w:val="top"/>
            <w:tcBorders>
              <w:right w:val="nil"/>
            </w:tcBorders>
          </w:tcPr>
          <w:p>
            <w:pPr>
              <w:ind w:left="554"/>
              <w:spacing w:before="84"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 7480-1987</w:t>
            </w:r>
          </w:p>
        </w:tc>
      </w:tr>
      <w:tr>
        <w:trPr>
          <w:trHeight w:val="318" w:hRule="atLeast"/>
        </w:trPr>
        <w:tc>
          <w:tcPr>
            <w:tcW w:w="1641" w:type="dxa"/>
            <w:vAlign w:val="top"/>
            <w:tcBorders>
              <w:left w:val="nil"/>
            </w:tcBorders>
          </w:tcPr>
          <w:p>
            <w:pPr>
              <w:pStyle w:val="TableText"/>
              <w:ind w:left="518"/>
              <w:spacing w:before="54" w:line="222" w:lineRule="auto"/>
              <w:rPr/>
            </w:pPr>
            <w:r>
              <w:rPr>
                <w:spacing w:val="-1"/>
              </w:rPr>
              <w:t>硫酸盐</w:t>
            </w:r>
          </w:p>
        </w:tc>
        <w:tc>
          <w:tcPr>
            <w:tcW w:w="4732" w:type="dxa"/>
            <w:vAlign w:val="top"/>
          </w:tcPr>
          <w:p>
            <w:pPr>
              <w:pStyle w:val="TableText"/>
              <w:ind w:left="304"/>
              <w:spacing w:before="55" w:line="207" w:lineRule="auto"/>
              <w:rPr>
                <w:rFonts w:ascii="Times New Roman" w:hAnsi="Times New Roman" w:eastAsia="Times New Roman" w:cs="Times New Roman"/>
              </w:rPr>
            </w:pPr>
            <w:r>
              <w:rPr>
                <w:spacing w:val="-1"/>
              </w:rPr>
              <w:t>水质 硫酸盐的测定 铬酸钡分光光度法</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p>
        </w:tc>
        <w:tc>
          <w:tcPr>
            <w:tcW w:w="2360" w:type="dxa"/>
            <w:vAlign w:val="top"/>
            <w:tcBorders>
              <w:right w:val="nil"/>
            </w:tcBorders>
          </w:tcPr>
          <w:p>
            <w:pPr>
              <w:ind w:left="539"/>
              <w:spacing w:before="87"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HJ/T 342-2007</w:t>
            </w:r>
          </w:p>
        </w:tc>
      </w:tr>
      <w:tr>
        <w:trPr>
          <w:trHeight w:val="316" w:hRule="atLeast"/>
        </w:trPr>
        <w:tc>
          <w:tcPr>
            <w:tcW w:w="1641" w:type="dxa"/>
            <w:vAlign w:val="top"/>
            <w:tcBorders>
              <w:left w:val="nil"/>
            </w:tcBorders>
          </w:tcPr>
          <w:p>
            <w:pPr>
              <w:pStyle w:val="TableText"/>
              <w:ind w:left="518"/>
              <w:spacing w:before="52" w:line="221" w:lineRule="auto"/>
              <w:rPr/>
            </w:pPr>
            <w:r>
              <w:rPr>
                <w:spacing w:val="-1"/>
              </w:rPr>
              <w:t>氰化物</w:t>
            </w:r>
          </w:p>
        </w:tc>
        <w:tc>
          <w:tcPr>
            <w:tcW w:w="4732" w:type="dxa"/>
            <w:vAlign w:val="top"/>
          </w:tcPr>
          <w:p>
            <w:pPr>
              <w:pStyle w:val="TableText"/>
              <w:ind w:left="479"/>
              <w:spacing w:before="52" w:line="221" w:lineRule="auto"/>
              <w:rPr/>
            </w:pPr>
            <w:r>
              <w:rPr>
                <w:spacing w:val="-1"/>
              </w:rPr>
              <w:t>水质 氰化物的测定 容量法和分光光度法</w:t>
            </w:r>
          </w:p>
        </w:tc>
        <w:tc>
          <w:tcPr>
            <w:tcW w:w="2360" w:type="dxa"/>
            <w:vAlign w:val="top"/>
            <w:tcBorders>
              <w:right w:val="nil"/>
            </w:tcBorders>
          </w:tcPr>
          <w:p>
            <w:pPr>
              <w:ind w:left="632"/>
              <w:spacing w:before="85"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484-2009</w:t>
            </w:r>
          </w:p>
        </w:tc>
      </w:tr>
      <w:tr>
        <w:trPr>
          <w:trHeight w:val="316" w:hRule="atLeast"/>
        </w:trPr>
        <w:tc>
          <w:tcPr>
            <w:tcW w:w="1641" w:type="dxa"/>
            <w:vAlign w:val="top"/>
            <w:tcBorders>
              <w:left w:val="nil"/>
            </w:tcBorders>
          </w:tcPr>
          <w:p>
            <w:pPr>
              <w:pStyle w:val="TableText"/>
              <w:ind w:left="520"/>
              <w:spacing w:before="53" w:line="221" w:lineRule="auto"/>
              <w:rPr/>
            </w:pPr>
            <w:r>
              <w:rPr>
                <w:spacing w:val="-2"/>
              </w:rPr>
              <w:t>氟化物</w:t>
            </w:r>
          </w:p>
        </w:tc>
        <w:tc>
          <w:tcPr>
            <w:tcW w:w="4732" w:type="dxa"/>
            <w:vAlign w:val="top"/>
          </w:tcPr>
          <w:p>
            <w:pPr>
              <w:pStyle w:val="TableText"/>
              <w:ind w:left="582"/>
              <w:spacing w:before="53" w:line="220" w:lineRule="auto"/>
              <w:rPr/>
            </w:pPr>
            <w:r>
              <w:rPr>
                <w:spacing w:val="-1"/>
              </w:rPr>
              <w:t>水质 氟化物的测定 氟试剂分光光度法</w:t>
            </w:r>
          </w:p>
        </w:tc>
        <w:tc>
          <w:tcPr>
            <w:tcW w:w="2360" w:type="dxa"/>
            <w:vAlign w:val="top"/>
            <w:tcBorders>
              <w:right w:val="nil"/>
            </w:tcBorders>
          </w:tcPr>
          <w:p>
            <w:pPr>
              <w:ind w:left="632"/>
              <w:spacing w:before="86"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488-2009</w:t>
            </w:r>
          </w:p>
        </w:tc>
      </w:tr>
      <w:tr>
        <w:trPr>
          <w:trHeight w:val="316" w:hRule="atLeast"/>
        </w:trPr>
        <w:tc>
          <w:tcPr>
            <w:tcW w:w="1641" w:type="dxa"/>
            <w:vAlign w:val="top"/>
            <w:tcBorders>
              <w:left w:val="nil"/>
            </w:tcBorders>
          </w:tcPr>
          <w:p>
            <w:pPr>
              <w:pStyle w:val="TableText"/>
              <w:ind w:left="521"/>
              <w:spacing w:before="54" w:line="219" w:lineRule="auto"/>
              <w:rPr/>
            </w:pPr>
            <w:r>
              <w:rPr>
                <w:spacing w:val="-2"/>
              </w:rPr>
              <w:t>六价铬</w:t>
            </w:r>
          </w:p>
        </w:tc>
        <w:tc>
          <w:tcPr>
            <w:tcW w:w="4732" w:type="dxa"/>
            <w:vAlign w:val="top"/>
          </w:tcPr>
          <w:p>
            <w:pPr>
              <w:pStyle w:val="TableText"/>
              <w:ind w:left="268"/>
              <w:spacing w:before="54" w:line="219" w:lineRule="auto"/>
              <w:rPr/>
            </w:pPr>
            <w:r>
              <w:rPr>
                <w:spacing w:val="-1"/>
              </w:rPr>
              <w:t>水质 六价铬的测定 二苯碳酰二肼分光光度法</w:t>
            </w:r>
          </w:p>
        </w:tc>
        <w:tc>
          <w:tcPr>
            <w:tcW w:w="2360" w:type="dxa"/>
            <w:vAlign w:val="top"/>
            <w:tcBorders>
              <w:right w:val="nil"/>
            </w:tcBorders>
          </w:tcPr>
          <w:p>
            <w:pPr>
              <w:ind w:left="554"/>
              <w:spacing w:before="86"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 7467-1987</w:t>
            </w:r>
          </w:p>
        </w:tc>
      </w:tr>
      <w:tr>
        <w:trPr>
          <w:trHeight w:val="318" w:hRule="atLeast"/>
        </w:trPr>
        <w:tc>
          <w:tcPr>
            <w:tcW w:w="1641" w:type="dxa"/>
            <w:vAlign w:val="top"/>
            <w:tcBorders>
              <w:left w:val="nil"/>
            </w:tcBorders>
          </w:tcPr>
          <w:p>
            <w:pPr>
              <w:pStyle w:val="TableText"/>
              <w:ind w:left="729"/>
              <w:spacing w:before="57" w:line="220" w:lineRule="auto"/>
              <w:rPr/>
            </w:pPr>
            <w:r>
              <w:rPr/>
              <w:t>砷</w:t>
            </w:r>
          </w:p>
        </w:tc>
        <w:tc>
          <w:tcPr>
            <w:tcW w:w="4732" w:type="dxa"/>
            <w:vAlign w:val="top"/>
          </w:tcPr>
          <w:p>
            <w:pPr>
              <w:pStyle w:val="TableText"/>
              <w:ind w:left="268"/>
              <w:spacing w:before="57" w:line="220" w:lineRule="auto"/>
              <w:rPr/>
            </w:pPr>
            <w:r>
              <w:rPr>
                <w:spacing w:val="-1"/>
              </w:rPr>
              <w:t>水质 汞、砷、硒、铋和锑的测定 原子荧光法</w:t>
            </w:r>
          </w:p>
        </w:tc>
        <w:tc>
          <w:tcPr>
            <w:tcW w:w="2360" w:type="dxa"/>
            <w:vAlign w:val="top"/>
            <w:tcBorders>
              <w:right w:val="nil"/>
            </w:tcBorders>
          </w:tcPr>
          <w:p>
            <w:pPr>
              <w:ind w:left="632"/>
              <w:spacing w:before="89"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694-2014</w:t>
            </w:r>
          </w:p>
        </w:tc>
      </w:tr>
      <w:tr>
        <w:trPr>
          <w:trHeight w:val="316" w:hRule="atLeast"/>
        </w:trPr>
        <w:tc>
          <w:tcPr>
            <w:tcW w:w="1641" w:type="dxa"/>
            <w:vAlign w:val="top"/>
            <w:tcBorders>
              <w:left w:val="nil"/>
            </w:tcBorders>
          </w:tcPr>
          <w:p>
            <w:pPr>
              <w:pStyle w:val="TableText"/>
              <w:ind w:left="731"/>
              <w:spacing w:before="55" w:line="220" w:lineRule="auto"/>
              <w:rPr/>
            </w:pPr>
            <w:r>
              <w:rPr/>
              <w:t>汞</w:t>
            </w:r>
          </w:p>
        </w:tc>
        <w:tc>
          <w:tcPr>
            <w:tcW w:w="4732" w:type="dxa"/>
            <w:vAlign w:val="top"/>
          </w:tcPr>
          <w:p>
            <w:pPr>
              <w:pStyle w:val="TableText"/>
              <w:ind w:left="268"/>
              <w:spacing w:before="55" w:line="220" w:lineRule="auto"/>
              <w:rPr/>
            </w:pPr>
            <w:r>
              <w:rPr>
                <w:spacing w:val="-1"/>
              </w:rPr>
              <w:t>水质 汞、砷、硒、铋和锑的测定 原子荧光法</w:t>
            </w:r>
          </w:p>
        </w:tc>
        <w:tc>
          <w:tcPr>
            <w:tcW w:w="2360" w:type="dxa"/>
            <w:vAlign w:val="top"/>
            <w:tcBorders>
              <w:right w:val="nil"/>
            </w:tcBorders>
          </w:tcPr>
          <w:p>
            <w:pPr>
              <w:ind w:left="632"/>
              <w:spacing w:before="88"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694-2014</w:t>
            </w:r>
          </w:p>
        </w:tc>
      </w:tr>
      <w:tr>
        <w:trPr>
          <w:trHeight w:val="316" w:hRule="atLeast"/>
        </w:trPr>
        <w:tc>
          <w:tcPr>
            <w:tcW w:w="1641" w:type="dxa"/>
            <w:vAlign w:val="top"/>
            <w:tcBorders>
              <w:left w:val="nil"/>
            </w:tcBorders>
          </w:tcPr>
          <w:p>
            <w:pPr>
              <w:pStyle w:val="TableText"/>
              <w:ind w:left="730"/>
              <w:spacing w:before="55" w:line="220" w:lineRule="auto"/>
              <w:rPr/>
            </w:pPr>
            <w:r>
              <w:rPr/>
              <w:t>锰</w:t>
            </w:r>
          </w:p>
        </w:tc>
        <w:tc>
          <w:tcPr>
            <w:tcW w:w="4732" w:type="dxa"/>
            <w:vAlign w:val="top"/>
          </w:tcPr>
          <w:p>
            <w:pPr>
              <w:pStyle w:val="TableText"/>
              <w:ind w:left="268"/>
              <w:spacing w:before="55" w:line="220" w:lineRule="auto"/>
              <w:rPr/>
            </w:pPr>
            <w:r>
              <w:rPr>
                <w:spacing w:val="-1"/>
              </w:rPr>
              <w:t>水质 铁、锰的测定 火焰原子吸收分光光度法</w:t>
            </w:r>
          </w:p>
        </w:tc>
        <w:tc>
          <w:tcPr>
            <w:tcW w:w="2360" w:type="dxa"/>
            <w:vAlign w:val="top"/>
            <w:tcBorders>
              <w:right w:val="nil"/>
            </w:tcBorders>
          </w:tcPr>
          <w:p>
            <w:pPr>
              <w:ind w:left="502"/>
              <w:spacing w:before="88"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spacing w:val="-3"/>
              </w:rPr>
              <w:t>11911-1989</w:t>
            </w:r>
          </w:p>
        </w:tc>
      </w:tr>
      <w:tr>
        <w:trPr>
          <w:trHeight w:val="316" w:hRule="atLeast"/>
        </w:trPr>
        <w:tc>
          <w:tcPr>
            <w:tcW w:w="1641" w:type="dxa"/>
            <w:vAlign w:val="top"/>
            <w:tcBorders>
              <w:left w:val="nil"/>
            </w:tcBorders>
          </w:tcPr>
          <w:p>
            <w:pPr>
              <w:pStyle w:val="TableText"/>
              <w:ind w:left="729"/>
              <w:spacing w:before="56" w:line="219" w:lineRule="auto"/>
              <w:rPr/>
            </w:pPr>
            <w:r>
              <w:rPr/>
              <w:t>铁</w:t>
            </w:r>
          </w:p>
        </w:tc>
        <w:tc>
          <w:tcPr>
            <w:tcW w:w="4732" w:type="dxa"/>
            <w:vAlign w:val="top"/>
          </w:tcPr>
          <w:p>
            <w:pPr>
              <w:pStyle w:val="TableText"/>
              <w:ind w:left="268"/>
              <w:spacing w:before="56" w:line="219" w:lineRule="auto"/>
              <w:rPr/>
            </w:pPr>
            <w:r>
              <w:rPr>
                <w:spacing w:val="-1"/>
              </w:rPr>
              <w:t>水质 铁、锰的测定 火焰原子吸收分光光度法</w:t>
            </w:r>
          </w:p>
        </w:tc>
        <w:tc>
          <w:tcPr>
            <w:tcW w:w="2360" w:type="dxa"/>
            <w:vAlign w:val="top"/>
            <w:tcBorders>
              <w:right w:val="nil"/>
            </w:tcBorders>
          </w:tcPr>
          <w:p>
            <w:pPr>
              <w:ind w:left="509"/>
              <w:spacing w:before="89"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GB</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4"/>
              </w:rPr>
              <w:t>11911-1989</w:t>
            </w:r>
          </w:p>
        </w:tc>
      </w:tr>
      <w:tr>
        <w:trPr>
          <w:trHeight w:val="318" w:hRule="atLeast"/>
        </w:trPr>
        <w:tc>
          <w:tcPr>
            <w:tcW w:w="1641" w:type="dxa"/>
            <w:vAlign w:val="top"/>
            <w:tcBorders>
              <w:left w:val="nil"/>
            </w:tcBorders>
          </w:tcPr>
          <w:p>
            <w:pPr>
              <w:pStyle w:val="TableText"/>
              <w:ind w:left="730"/>
              <w:spacing w:before="60" w:line="218" w:lineRule="auto"/>
              <w:rPr/>
            </w:pPr>
            <w:r>
              <w:rPr/>
              <w:t>铅</w:t>
            </w:r>
          </w:p>
        </w:tc>
        <w:tc>
          <w:tcPr>
            <w:tcW w:w="4732" w:type="dxa"/>
            <w:vAlign w:val="top"/>
          </w:tcPr>
          <w:p>
            <w:pPr>
              <w:pStyle w:val="TableText"/>
              <w:ind w:left="112"/>
              <w:spacing w:before="60" w:line="218" w:lineRule="auto"/>
              <w:rPr/>
            </w:pPr>
            <w:r>
              <w:rPr>
                <w:spacing w:val="-5"/>
              </w:rPr>
              <w:t>水质 铜、锌、铅、镉的测定 原子吸收分光光度法</w:t>
            </w:r>
          </w:p>
        </w:tc>
        <w:tc>
          <w:tcPr>
            <w:tcW w:w="2360" w:type="dxa"/>
            <w:vAlign w:val="top"/>
            <w:tcBorders>
              <w:right w:val="nil"/>
            </w:tcBorders>
          </w:tcPr>
          <w:p>
            <w:pPr>
              <w:ind w:left="554"/>
              <w:spacing w:before="91"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 7475-1987</w:t>
            </w:r>
          </w:p>
        </w:tc>
      </w:tr>
      <w:tr>
        <w:trPr>
          <w:trHeight w:val="316" w:hRule="atLeast"/>
        </w:trPr>
        <w:tc>
          <w:tcPr>
            <w:tcW w:w="1641" w:type="dxa"/>
            <w:vAlign w:val="top"/>
            <w:tcBorders>
              <w:left w:val="nil"/>
            </w:tcBorders>
          </w:tcPr>
          <w:p>
            <w:pPr>
              <w:pStyle w:val="TableText"/>
              <w:ind w:left="728"/>
              <w:spacing w:before="58" w:line="218" w:lineRule="auto"/>
              <w:rPr/>
            </w:pPr>
            <w:r>
              <w:rPr/>
              <w:t>镉</w:t>
            </w:r>
          </w:p>
        </w:tc>
        <w:tc>
          <w:tcPr>
            <w:tcW w:w="4732" w:type="dxa"/>
            <w:vAlign w:val="top"/>
          </w:tcPr>
          <w:p>
            <w:pPr>
              <w:pStyle w:val="TableText"/>
              <w:ind w:left="112"/>
              <w:spacing w:before="58" w:line="218" w:lineRule="auto"/>
              <w:rPr/>
            </w:pPr>
            <w:r>
              <w:rPr>
                <w:spacing w:val="-5"/>
              </w:rPr>
              <w:t>水质 铜、锌、铅、镉的测定 原子吸收分光光度法</w:t>
            </w:r>
          </w:p>
        </w:tc>
        <w:tc>
          <w:tcPr>
            <w:tcW w:w="2360" w:type="dxa"/>
            <w:vAlign w:val="top"/>
            <w:tcBorders>
              <w:right w:val="nil"/>
            </w:tcBorders>
          </w:tcPr>
          <w:p>
            <w:pPr>
              <w:ind w:left="554"/>
              <w:spacing w:before="90"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 7475-1987</w:t>
            </w:r>
          </w:p>
        </w:tc>
      </w:tr>
      <w:tr>
        <w:trPr>
          <w:trHeight w:val="316" w:hRule="atLeast"/>
        </w:trPr>
        <w:tc>
          <w:tcPr>
            <w:tcW w:w="1641" w:type="dxa"/>
            <w:vAlign w:val="top"/>
            <w:tcBorders>
              <w:left w:val="nil"/>
            </w:tcBorders>
          </w:tcPr>
          <w:p>
            <w:pPr>
              <w:pStyle w:val="TableText"/>
              <w:ind w:left="627"/>
              <w:spacing w:before="58" w:line="218" w:lineRule="auto"/>
              <w:rPr/>
            </w:pPr>
            <w:r>
              <w:rPr>
                <w:spacing w:val="-3"/>
              </w:rPr>
              <w:t>水位</w:t>
            </w:r>
          </w:p>
        </w:tc>
        <w:tc>
          <w:tcPr>
            <w:tcW w:w="4732" w:type="dxa"/>
            <w:vAlign w:val="top"/>
          </w:tcPr>
          <w:p>
            <w:pPr>
              <w:pStyle w:val="TableText"/>
              <w:ind w:left="532"/>
              <w:spacing w:before="58" w:line="218" w:lineRule="auto"/>
              <w:rPr/>
            </w:pPr>
            <w:r>
              <w:rPr>
                <w:spacing w:val="-2"/>
              </w:rPr>
              <w:t>水位测量仪器 第</w:t>
            </w:r>
            <w:r>
              <w:rPr>
                <w:spacing w:val="-23"/>
              </w:rPr>
              <w:t xml:space="preserve"> </w:t>
            </w:r>
            <w:r>
              <w:rPr>
                <w:rFonts w:ascii="Times New Roman" w:hAnsi="Times New Roman" w:eastAsia="Times New Roman" w:cs="Times New Roman"/>
                <w:spacing w:val="-2"/>
              </w:rPr>
              <w:t>1 </w:t>
            </w:r>
            <w:r>
              <w:rPr>
                <w:spacing w:val="-2"/>
              </w:rPr>
              <w:t>部分：浮子式水位计</w:t>
            </w:r>
          </w:p>
        </w:tc>
        <w:tc>
          <w:tcPr>
            <w:tcW w:w="2360" w:type="dxa"/>
            <w:vAlign w:val="top"/>
            <w:tcBorders>
              <w:right w:val="nil"/>
            </w:tcBorders>
          </w:tcPr>
          <w:p>
            <w:pPr>
              <w:ind w:left="329"/>
              <w:spacing w:before="90"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GB/T</w:t>
            </w:r>
            <w:r>
              <w:rPr>
                <w:rFonts w:ascii="Times New Roman" w:hAnsi="Times New Roman" w:eastAsia="Times New Roman" w:cs="Times New Roman"/>
                <w:sz w:val="21"/>
                <w:szCs w:val="21"/>
                <w:spacing w:val="26"/>
                <w:w w:val="101"/>
              </w:rPr>
              <w:t xml:space="preserve"> </w:t>
            </w:r>
            <w:r>
              <w:rPr>
                <w:rFonts w:ascii="Times New Roman" w:hAnsi="Times New Roman" w:eastAsia="Times New Roman" w:cs="Times New Roman"/>
                <w:sz w:val="21"/>
                <w:szCs w:val="21"/>
                <w:spacing w:val="-2"/>
              </w:rPr>
              <w:t>11828.1-2019</w:t>
            </w:r>
          </w:p>
        </w:tc>
      </w:tr>
      <w:tr>
        <w:trPr>
          <w:trHeight w:val="1561" w:hRule="atLeast"/>
        </w:trPr>
        <w:tc>
          <w:tcPr>
            <w:tcW w:w="1641" w:type="dxa"/>
            <w:vAlign w:val="top"/>
            <w:tcBorders>
              <w:left w:val="nil"/>
            </w:tcBorders>
          </w:tcPr>
          <w:p>
            <w:pPr>
              <w:spacing w:line="305" w:lineRule="auto"/>
              <w:rPr>
                <w:rFonts w:ascii="Arial"/>
                <w:sz w:val="21"/>
              </w:rPr>
            </w:pPr>
            <w:r/>
          </w:p>
          <w:p>
            <w:pPr>
              <w:spacing w:line="305" w:lineRule="auto"/>
              <w:rPr>
                <w:rFonts w:ascii="Arial"/>
                <w:sz w:val="21"/>
              </w:rPr>
            </w:pPr>
            <w:r/>
          </w:p>
          <w:p>
            <w:pPr>
              <w:pStyle w:val="TableText"/>
              <w:ind w:left="316"/>
              <w:spacing w:before="68" w:line="221" w:lineRule="auto"/>
              <w:rPr/>
            </w:pPr>
            <w:r>
              <w:rPr>
                <w:spacing w:val="-3"/>
              </w:rPr>
              <w:t>总大肠菌群</w:t>
            </w:r>
          </w:p>
        </w:tc>
        <w:tc>
          <w:tcPr>
            <w:tcW w:w="4732" w:type="dxa"/>
            <w:vAlign w:val="top"/>
          </w:tcPr>
          <w:p>
            <w:pPr>
              <w:spacing w:line="305" w:lineRule="auto"/>
              <w:rPr>
                <w:rFonts w:ascii="Arial"/>
                <w:sz w:val="21"/>
              </w:rPr>
            </w:pPr>
            <w:r/>
          </w:p>
          <w:p>
            <w:pPr>
              <w:spacing w:line="305" w:lineRule="auto"/>
              <w:rPr>
                <w:rFonts w:ascii="Arial"/>
                <w:sz w:val="21"/>
              </w:rPr>
            </w:pPr>
            <w:r/>
          </w:p>
          <w:p>
            <w:pPr>
              <w:pStyle w:val="TableText"/>
              <w:ind w:left="1852"/>
              <w:spacing w:before="68" w:line="221" w:lineRule="auto"/>
              <w:rPr/>
            </w:pPr>
            <w:r>
              <w:rPr>
                <w:spacing w:val="-3"/>
              </w:rPr>
              <w:t>多管发酵法</w:t>
            </w:r>
          </w:p>
        </w:tc>
        <w:tc>
          <w:tcPr>
            <w:tcW w:w="2360" w:type="dxa"/>
            <w:vAlign w:val="top"/>
            <w:tcBorders>
              <w:right w:val="nil"/>
            </w:tcBorders>
          </w:tcPr>
          <w:p>
            <w:pPr>
              <w:pStyle w:val="TableText"/>
              <w:ind w:left="134"/>
              <w:spacing w:before="58" w:line="221" w:lineRule="auto"/>
              <w:rPr/>
            </w:pPr>
            <w:r>
              <w:rPr>
                <w:spacing w:val="-1"/>
              </w:rPr>
              <w:t>《水和废水监测分析方</w:t>
            </w:r>
          </w:p>
          <w:p>
            <w:pPr>
              <w:pStyle w:val="TableText"/>
              <w:ind w:left="134"/>
              <w:spacing w:before="60" w:line="221" w:lineRule="auto"/>
              <w:rPr/>
            </w:pPr>
            <w:r>
              <w:rPr>
                <w:spacing w:val="-1"/>
              </w:rPr>
              <w:t>法》（第四版增补版）</w:t>
            </w:r>
          </w:p>
          <w:p>
            <w:pPr>
              <w:pStyle w:val="TableText"/>
              <w:ind w:left="256"/>
              <w:spacing w:before="60" w:line="220" w:lineRule="auto"/>
              <w:rPr/>
            </w:pPr>
            <w:r>
              <w:rPr>
                <w:spacing w:val="-3"/>
              </w:rPr>
              <w:t>中国环境科学出版社</w:t>
            </w:r>
          </w:p>
          <w:p>
            <w:pPr>
              <w:pStyle w:val="TableText"/>
              <w:ind w:left="223"/>
              <w:spacing w:before="61" w:line="217" w:lineRule="auto"/>
              <w:rPr/>
            </w:pPr>
            <w:r>
              <w:rPr>
                <w:rFonts w:ascii="Times New Roman" w:hAnsi="Times New Roman" w:eastAsia="Times New Roman" w:cs="Times New Roman"/>
                <w:spacing w:val="-3"/>
              </w:rPr>
              <w:t>2002 </w:t>
            </w:r>
            <w:r>
              <w:rPr>
                <w:spacing w:val="-3"/>
              </w:rPr>
              <w:t>年</w:t>
            </w:r>
            <w:r>
              <w:rPr>
                <w:spacing w:val="-28"/>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2"/>
              </w:rPr>
              <w:t xml:space="preserve"> </w:t>
            </w:r>
            <w:r>
              <w:rPr>
                <w:spacing w:val="-3"/>
              </w:rPr>
              <w:t>月</w:t>
            </w:r>
            <w:r>
              <w:rPr>
                <w:rFonts w:ascii="Times New Roman" w:hAnsi="Times New Roman" w:eastAsia="Times New Roman" w:cs="Times New Roman"/>
                <w:spacing w:val="-3"/>
              </w:rPr>
              <w:t>[</w:t>
            </w:r>
            <w:r>
              <w:rPr>
                <w:spacing w:val="-3"/>
              </w:rPr>
              <w:t>第五篇</w:t>
            </w:r>
          </w:p>
          <w:p>
            <w:pPr>
              <w:pStyle w:val="TableText"/>
              <w:ind w:left="361"/>
              <w:spacing w:before="66" w:line="214" w:lineRule="auto"/>
              <w:rPr>
                <w:rFonts w:ascii="Times New Roman" w:hAnsi="Times New Roman" w:eastAsia="Times New Roman" w:cs="Times New Roman"/>
              </w:rPr>
            </w:pPr>
            <w:r>
              <w:rPr/>
              <w:t>第二章 五（一）</w:t>
            </w:r>
            <w:r>
              <w:rPr>
                <w:rFonts w:ascii="Times New Roman" w:hAnsi="Times New Roman" w:eastAsia="Times New Roman" w:cs="Times New Roman"/>
              </w:rPr>
              <w:t>]</w:t>
            </w:r>
          </w:p>
        </w:tc>
      </w:tr>
      <w:tr>
        <w:trPr>
          <w:trHeight w:val="1563" w:hRule="atLeast"/>
        </w:trPr>
        <w:tc>
          <w:tcPr>
            <w:tcW w:w="1641" w:type="dxa"/>
            <w:vAlign w:val="top"/>
            <w:tcBorders>
              <w:left w:val="nil"/>
            </w:tcBorders>
          </w:tcPr>
          <w:p>
            <w:pPr>
              <w:spacing w:line="308" w:lineRule="auto"/>
              <w:rPr>
                <w:rFonts w:ascii="Arial"/>
                <w:sz w:val="21"/>
              </w:rPr>
            </w:pPr>
            <w:r/>
          </w:p>
          <w:p>
            <w:pPr>
              <w:spacing w:line="308" w:lineRule="auto"/>
              <w:rPr>
                <w:rFonts w:ascii="Arial"/>
                <w:sz w:val="21"/>
              </w:rPr>
            </w:pPr>
            <w:r/>
          </w:p>
          <w:p>
            <w:pPr>
              <w:pStyle w:val="TableText"/>
              <w:ind w:left="417"/>
              <w:spacing w:before="68" w:line="221" w:lineRule="auto"/>
              <w:rPr/>
            </w:pPr>
            <w:r>
              <w:rPr>
                <w:spacing w:val="-2"/>
              </w:rPr>
              <w:t>细菌总数</w:t>
            </w:r>
          </w:p>
        </w:tc>
        <w:tc>
          <w:tcPr>
            <w:tcW w:w="4732" w:type="dxa"/>
            <w:vAlign w:val="top"/>
          </w:tcPr>
          <w:p>
            <w:pPr>
              <w:spacing w:line="308" w:lineRule="auto"/>
              <w:rPr>
                <w:rFonts w:ascii="Arial"/>
                <w:sz w:val="21"/>
              </w:rPr>
            </w:pPr>
            <w:r/>
          </w:p>
          <w:p>
            <w:pPr>
              <w:spacing w:line="308" w:lineRule="auto"/>
              <w:rPr>
                <w:rFonts w:ascii="Arial"/>
                <w:sz w:val="21"/>
              </w:rPr>
            </w:pPr>
            <w:r/>
          </w:p>
          <w:p>
            <w:pPr>
              <w:pStyle w:val="TableText"/>
              <w:ind w:left="1144"/>
              <w:spacing w:before="68" w:line="221" w:lineRule="auto"/>
              <w:rPr/>
            </w:pPr>
            <w:r>
              <w:rPr>
                <w:spacing w:val="-1"/>
              </w:rPr>
              <w:t>水中细菌总数的测定（</w:t>
            </w:r>
            <w:r>
              <w:rPr>
                <w:rFonts w:ascii="Times New Roman" w:hAnsi="Times New Roman" w:eastAsia="Times New Roman" w:cs="Times New Roman"/>
                <w:spacing w:val="-1"/>
              </w:rPr>
              <w:t>B</w:t>
            </w:r>
            <w:r>
              <w:rPr>
                <w:spacing w:val="-1"/>
              </w:rPr>
              <w:t>）</w:t>
            </w:r>
          </w:p>
        </w:tc>
        <w:tc>
          <w:tcPr>
            <w:tcW w:w="2360" w:type="dxa"/>
            <w:vAlign w:val="top"/>
            <w:tcBorders>
              <w:right w:val="nil"/>
            </w:tcBorders>
          </w:tcPr>
          <w:p>
            <w:pPr>
              <w:pStyle w:val="TableText"/>
              <w:ind w:left="134"/>
              <w:spacing w:before="64" w:line="221" w:lineRule="auto"/>
              <w:rPr/>
            </w:pPr>
            <w:r>
              <w:rPr>
                <w:spacing w:val="-1"/>
              </w:rPr>
              <w:t>《水和废水监测分析方</w:t>
            </w:r>
          </w:p>
          <w:p>
            <w:pPr>
              <w:pStyle w:val="TableText"/>
              <w:ind w:left="134"/>
              <w:spacing w:before="60" w:line="221" w:lineRule="auto"/>
              <w:rPr/>
            </w:pPr>
            <w:r>
              <w:rPr>
                <w:spacing w:val="-1"/>
              </w:rPr>
              <w:t>法》（第四版增补版）</w:t>
            </w:r>
          </w:p>
          <w:p>
            <w:pPr>
              <w:pStyle w:val="TableText"/>
              <w:ind w:left="256"/>
              <w:spacing w:before="60" w:line="220" w:lineRule="auto"/>
              <w:rPr/>
            </w:pPr>
            <w:r>
              <w:rPr>
                <w:spacing w:val="-3"/>
              </w:rPr>
              <w:t>中国环境科学出版社</w:t>
            </w:r>
          </w:p>
          <w:p>
            <w:pPr>
              <w:pStyle w:val="TableText"/>
              <w:ind w:left="223"/>
              <w:spacing w:before="61" w:line="217" w:lineRule="auto"/>
              <w:rPr/>
            </w:pPr>
            <w:r>
              <w:rPr>
                <w:rFonts w:ascii="Times New Roman" w:hAnsi="Times New Roman" w:eastAsia="Times New Roman" w:cs="Times New Roman"/>
                <w:spacing w:val="-3"/>
              </w:rPr>
              <w:t>2002 </w:t>
            </w:r>
            <w:r>
              <w:rPr>
                <w:spacing w:val="-3"/>
              </w:rPr>
              <w:t>年</w:t>
            </w:r>
            <w:r>
              <w:rPr>
                <w:spacing w:val="-28"/>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2"/>
              </w:rPr>
              <w:t xml:space="preserve"> </w:t>
            </w:r>
            <w:r>
              <w:rPr>
                <w:spacing w:val="-3"/>
              </w:rPr>
              <w:t>月</w:t>
            </w:r>
            <w:r>
              <w:rPr>
                <w:rFonts w:ascii="Times New Roman" w:hAnsi="Times New Roman" w:eastAsia="Times New Roman" w:cs="Times New Roman"/>
                <w:spacing w:val="-3"/>
              </w:rPr>
              <w:t>[</w:t>
            </w:r>
            <w:r>
              <w:rPr>
                <w:spacing w:val="-3"/>
              </w:rPr>
              <w:t>第五篇</w:t>
            </w:r>
          </w:p>
          <w:p>
            <w:pPr>
              <w:pStyle w:val="TableText"/>
              <w:ind w:left="675"/>
              <w:spacing w:before="66" w:line="211" w:lineRule="auto"/>
              <w:rPr>
                <w:rFonts w:ascii="Times New Roman" w:hAnsi="Times New Roman" w:eastAsia="Times New Roman" w:cs="Times New Roman"/>
              </w:rPr>
            </w:pPr>
            <w:r>
              <w:rPr>
                <w:spacing w:val="-7"/>
              </w:rPr>
              <w:t>第二章</w:t>
            </w:r>
            <w:r>
              <w:rPr>
                <w:spacing w:val="29"/>
              </w:rPr>
              <w:t xml:space="preserve"> </w:t>
            </w:r>
            <w:r>
              <w:rPr>
                <w:spacing w:val="-7"/>
              </w:rPr>
              <w:t>四</w:t>
            </w:r>
            <w:r>
              <w:rPr>
                <w:rFonts w:ascii="Times New Roman" w:hAnsi="Times New Roman" w:eastAsia="Times New Roman" w:cs="Times New Roman"/>
                <w:spacing w:val="-7"/>
              </w:rPr>
              <w:t>]</w:t>
            </w:r>
          </w:p>
        </w:tc>
      </w:tr>
      <w:tr>
        <w:trPr>
          <w:trHeight w:val="316" w:hRule="atLeast"/>
        </w:trPr>
        <w:tc>
          <w:tcPr>
            <w:tcW w:w="1641" w:type="dxa"/>
            <w:vAlign w:val="top"/>
            <w:tcBorders>
              <w:left w:val="nil"/>
            </w:tcBorders>
          </w:tcPr>
          <w:p>
            <w:pPr>
              <w:pStyle w:val="TableText"/>
              <w:ind w:left="677"/>
              <w:spacing w:before="65" w:line="211" w:lineRule="auto"/>
              <w:rPr>
                <w:rFonts w:ascii="Times New Roman" w:hAnsi="Times New Roman" w:eastAsia="Times New Roman" w:cs="Times New Roman"/>
              </w:rPr>
            </w:pPr>
            <w:r>
              <w:rPr>
                <w:spacing w:val="-4"/>
              </w:rPr>
              <w:t>钾</w:t>
            </w:r>
            <w:r>
              <w:rPr>
                <w:rFonts w:ascii="Times New Roman" w:hAnsi="Times New Roman" w:eastAsia="Times New Roman" w:cs="Times New Roman"/>
                <w:spacing w:val="-4"/>
              </w:rPr>
              <w:t>*</w:t>
            </w:r>
          </w:p>
        </w:tc>
        <w:tc>
          <w:tcPr>
            <w:tcW w:w="4732" w:type="dxa"/>
            <w:vAlign w:val="top"/>
          </w:tcPr>
          <w:p>
            <w:pPr>
              <w:pStyle w:val="TableText"/>
              <w:ind w:left="268"/>
              <w:spacing w:before="65" w:line="211" w:lineRule="auto"/>
              <w:rPr/>
            </w:pPr>
            <w:r>
              <w:rPr>
                <w:spacing w:val="-1"/>
              </w:rPr>
              <w:t>水质 钾和钠的测定 火焰原子吸收分光光度法</w:t>
            </w:r>
          </w:p>
        </w:tc>
        <w:tc>
          <w:tcPr>
            <w:tcW w:w="2360" w:type="dxa"/>
            <w:vAlign w:val="top"/>
            <w:tcBorders>
              <w:right w:val="nil"/>
            </w:tcBorders>
          </w:tcPr>
          <w:p>
            <w:pPr>
              <w:ind w:left="415"/>
              <w:spacing w:before="98"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GB/T</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3"/>
              </w:rPr>
              <w:t>11904-1989</w:t>
            </w:r>
          </w:p>
        </w:tc>
      </w:tr>
      <w:tr>
        <w:trPr>
          <w:trHeight w:val="316" w:hRule="atLeast"/>
        </w:trPr>
        <w:tc>
          <w:tcPr>
            <w:tcW w:w="1641" w:type="dxa"/>
            <w:vAlign w:val="top"/>
            <w:tcBorders>
              <w:left w:val="nil"/>
            </w:tcBorders>
          </w:tcPr>
          <w:p>
            <w:pPr>
              <w:pStyle w:val="TableText"/>
              <w:ind w:left="676"/>
              <w:spacing w:before="67" w:line="210" w:lineRule="auto"/>
              <w:rPr>
                <w:rFonts w:ascii="Times New Roman" w:hAnsi="Times New Roman" w:eastAsia="Times New Roman" w:cs="Times New Roman"/>
              </w:rPr>
            </w:pPr>
            <w:r>
              <w:rPr>
                <w:spacing w:val="-3"/>
              </w:rPr>
              <w:t>钠</w:t>
            </w:r>
            <w:r>
              <w:rPr>
                <w:rFonts w:ascii="Times New Roman" w:hAnsi="Times New Roman" w:eastAsia="Times New Roman" w:cs="Times New Roman"/>
                <w:spacing w:val="-3"/>
              </w:rPr>
              <w:t>*</w:t>
            </w:r>
          </w:p>
        </w:tc>
        <w:tc>
          <w:tcPr>
            <w:tcW w:w="4732" w:type="dxa"/>
            <w:vAlign w:val="top"/>
          </w:tcPr>
          <w:p>
            <w:pPr>
              <w:pStyle w:val="TableText"/>
              <w:ind w:left="268"/>
              <w:spacing w:before="67" w:line="210" w:lineRule="auto"/>
              <w:rPr/>
            </w:pPr>
            <w:r>
              <w:rPr>
                <w:spacing w:val="-1"/>
              </w:rPr>
              <w:t>水质 钾和钠的测定 火焰原子吸收分光光度法</w:t>
            </w:r>
          </w:p>
        </w:tc>
        <w:tc>
          <w:tcPr>
            <w:tcW w:w="2360" w:type="dxa"/>
            <w:vAlign w:val="top"/>
            <w:tcBorders>
              <w:right w:val="nil"/>
            </w:tcBorders>
          </w:tcPr>
          <w:p>
            <w:pPr>
              <w:ind w:left="415"/>
              <w:spacing w:before="98"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GB/T</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3"/>
              </w:rPr>
              <w:t>11904-1989</w:t>
            </w:r>
          </w:p>
        </w:tc>
      </w:tr>
      <w:tr>
        <w:trPr>
          <w:trHeight w:val="316" w:hRule="atLeast"/>
        </w:trPr>
        <w:tc>
          <w:tcPr>
            <w:tcW w:w="1641" w:type="dxa"/>
            <w:vAlign w:val="top"/>
            <w:tcBorders>
              <w:left w:val="nil"/>
            </w:tcBorders>
          </w:tcPr>
          <w:p>
            <w:pPr>
              <w:pStyle w:val="TableText"/>
              <w:ind w:left="676"/>
              <w:spacing w:before="67" w:line="210" w:lineRule="auto"/>
              <w:rPr>
                <w:rFonts w:ascii="Times New Roman" w:hAnsi="Times New Roman" w:eastAsia="Times New Roman" w:cs="Times New Roman"/>
              </w:rPr>
            </w:pPr>
            <w:r>
              <w:rPr>
                <w:spacing w:val="-3"/>
              </w:rPr>
              <w:t>钙</w:t>
            </w:r>
            <w:r>
              <w:rPr>
                <w:rFonts w:ascii="Times New Roman" w:hAnsi="Times New Roman" w:eastAsia="Times New Roman" w:cs="Times New Roman"/>
                <w:spacing w:val="-3"/>
              </w:rPr>
              <w:t>*</w:t>
            </w:r>
          </w:p>
        </w:tc>
        <w:tc>
          <w:tcPr>
            <w:tcW w:w="4732" w:type="dxa"/>
            <w:vAlign w:val="top"/>
          </w:tcPr>
          <w:p>
            <w:pPr>
              <w:pStyle w:val="TableText"/>
              <w:ind w:left="479"/>
              <w:spacing w:before="67" w:line="210" w:lineRule="auto"/>
              <w:rPr/>
            </w:pPr>
            <w:r>
              <w:rPr>
                <w:spacing w:val="-1"/>
              </w:rPr>
              <w:t>水质 钙和镁的测定 原子吸收分光光度法</w:t>
            </w:r>
          </w:p>
        </w:tc>
        <w:tc>
          <w:tcPr>
            <w:tcW w:w="2360" w:type="dxa"/>
            <w:vAlign w:val="top"/>
            <w:tcBorders>
              <w:right w:val="nil"/>
            </w:tcBorders>
          </w:tcPr>
          <w:p>
            <w:pPr>
              <w:ind w:left="415"/>
              <w:spacing w:before="99"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GB/T</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3"/>
              </w:rPr>
              <w:t>11905-1989</w:t>
            </w:r>
          </w:p>
        </w:tc>
      </w:tr>
      <w:tr>
        <w:trPr>
          <w:trHeight w:val="318" w:hRule="atLeast"/>
        </w:trPr>
        <w:tc>
          <w:tcPr>
            <w:tcW w:w="1641" w:type="dxa"/>
            <w:vAlign w:val="top"/>
            <w:tcBorders>
              <w:left w:val="nil"/>
            </w:tcBorders>
          </w:tcPr>
          <w:p>
            <w:pPr>
              <w:pStyle w:val="TableText"/>
              <w:ind w:left="676"/>
              <w:spacing w:before="70" w:line="209" w:lineRule="auto"/>
              <w:rPr>
                <w:rFonts w:ascii="Times New Roman" w:hAnsi="Times New Roman" w:eastAsia="Times New Roman" w:cs="Times New Roman"/>
              </w:rPr>
            </w:pPr>
            <w:r>
              <w:rPr>
                <w:spacing w:val="-3"/>
              </w:rPr>
              <w:t>镁</w:t>
            </w:r>
            <w:r>
              <w:rPr>
                <w:rFonts w:ascii="Times New Roman" w:hAnsi="Times New Roman" w:eastAsia="Times New Roman" w:cs="Times New Roman"/>
                <w:spacing w:val="-3"/>
              </w:rPr>
              <w:t>*</w:t>
            </w:r>
          </w:p>
        </w:tc>
        <w:tc>
          <w:tcPr>
            <w:tcW w:w="4732" w:type="dxa"/>
            <w:vAlign w:val="top"/>
          </w:tcPr>
          <w:p>
            <w:pPr>
              <w:pStyle w:val="TableText"/>
              <w:ind w:left="479"/>
              <w:spacing w:before="70" w:line="209" w:lineRule="auto"/>
              <w:rPr/>
            </w:pPr>
            <w:r>
              <w:rPr>
                <w:spacing w:val="-1"/>
              </w:rPr>
              <w:t>水质 钙和镁的测定 原子吸收分光光度法</w:t>
            </w:r>
          </w:p>
        </w:tc>
        <w:tc>
          <w:tcPr>
            <w:tcW w:w="2360" w:type="dxa"/>
            <w:vAlign w:val="top"/>
            <w:tcBorders>
              <w:right w:val="nil"/>
            </w:tcBorders>
          </w:tcPr>
          <w:p>
            <w:pPr>
              <w:ind w:left="415"/>
              <w:spacing w:before="10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GB/T</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3"/>
              </w:rPr>
              <w:t>11905-1989</w:t>
            </w:r>
          </w:p>
        </w:tc>
      </w:tr>
      <w:tr>
        <w:trPr>
          <w:trHeight w:val="316" w:hRule="atLeast"/>
        </w:trPr>
        <w:tc>
          <w:tcPr>
            <w:tcW w:w="1641" w:type="dxa"/>
            <w:vAlign w:val="top"/>
            <w:tcBorders>
              <w:left w:val="nil"/>
            </w:tcBorders>
          </w:tcPr>
          <w:p>
            <w:pPr>
              <w:pStyle w:val="TableText"/>
              <w:ind w:left="468"/>
              <w:spacing w:before="80" w:line="198" w:lineRule="auto"/>
              <w:rPr>
                <w:rFonts w:ascii="Times New Roman" w:hAnsi="Times New Roman" w:eastAsia="Times New Roman" w:cs="Times New Roman"/>
              </w:rPr>
            </w:pPr>
            <w:r>
              <w:rPr>
                <w:spacing w:val="-2"/>
              </w:rPr>
              <w:t>碳酸根</w:t>
            </w:r>
            <w:r>
              <w:rPr>
                <w:rFonts w:ascii="Times New Roman" w:hAnsi="Times New Roman" w:eastAsia="Times New Roman" w:cs="Times New Roman"/>
                <w:spacing w:val="-2"/>
              </w:rPr>
              <w:t>*</w:t>
            </w:r>
          </w:p>
        </w:tc>
        <w:tc>
          <w:tcPr>
            <w:tcW w:w="4732" w:type="dxa"/>
            <w:vAlign w:val="top"/>
          </w:tcPr>
          <w:p>
            <w:pPr>
              <w:pStyle w:val="TableText"/>
              <w:ind w:left="1422"/>
              <w:spacing w:before="68" w:line="209" w:lineRule="auto"/>
              <w:rPr/>
            </w:pPr>
            <w:r>
              <w:rPr>
                <w:spacing w:val="-1"/>
              </w:rPr>
              <w:t>森林土壤水化学分析</w:t>
            </w:r>
          </w:p>
        </w:tc>
        <w:tc>
          <w:tcPr>
            <w:tcW w:w="2360" w:type="dxa"/>
            <w:vAlign w:val="top"/>
            <w:tcBorders>
              <w:right w:val="nil"/>
            </w:tcBorders>
          </w:tcPr>
          <w:p>
            <w:pPr>
              <w:ind w:left="477"/>
              <w:spacing w:before="100"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LY/T</w:t>
            </w:r>
            <w:r>
              <w:rPr>
                <w:rFonts w:ascii="Times New Roman" w:hAnsi="Times New Roman" w:eastAsia="Times New Roman" w:cs="Times New Roman"/>
                <w:sz w:val="21"/>
                <w:szCs w:val="21"/>
                <w:spacing w:val="21"/>
                <w:w w:val="101"/>
              </w:rPr>
              <w:t xml:space="preserve"> </w:t>
            </w:r>
            <w:r>
              <w:rPr>
                <w:rFonts w:ascii="Times New Roman" w:hAnsi="Times New Roman" w:eastAsia="Times New Roman" w:cs="Times New Roman"/>
                <w:sz w:val="21"/>
                <w:szCs w:val="21"/>
                <w:spacing w:val="-4"/>
              </w:rPr>
              <w:t>1275-1999</w:t>
            </w:r>
          </w:p>
        </w:tc>
      </w:tr>
      <w:tr>
        <w:trPr>
          <w:trHeight w:val="316" w:hRule="atLeast"/>
        </w:trPr>
        <w:tc>
          <w:tcPr>
            <w:tcW w:w="1641" w:type="dxa"/>
            <w:vAlign w:val="top"/>
            <w:tcBorders>
              <w:left w:val="nil"/>
            </w:tcBorders>
          </w:tcPr>
          <w:p>
            <w:pPr>
              <w:pStyle w:val="TableText"/>
              <w:ind w:left="364"/>
              <w:spacing w:before="84" w:line="195" w:lineRule="auto"/>
              <w:rPr>
                <w:rFonts w:ascii="Times New Roman" w:hAnsi="Times New Roman" w:eastAsia="Times New Roman" w:cs="Times New Roman"/>
              </w:rPr>
            </w:pPr>
            <w:r>
              <w:rPr>
                <w:spacing w:val="-2"/>
              </w:rPr>
              <w:t>重碳酸根</w:t>
            </w:r>
            <w:r>
              <w:rPr>
                <w:rFonts w:ascii="Times New Roman" w:hAnsi="Times New Roman" w:eastAsia="Times New Roman" w:cs="Times New Roman"/>
                <w:spacing w:val="-2"/>
              </w:rPr>
              <w:t>*</w:t>
            </w:r>
          </w:p>
        </w:tc>
        <w:tc>
          <w:tcPr>
            <w:tcW w:w="4732" w:type="dxa"/>
            <w:vAlign w:val="top"/>
          </w:tcPr>
          <w:p>
            <w:pPr>
              <w:pStyle w:val="TableText"/>
              <w:ind w:left="1422"/>
              <w:spacing w:before="69" w:line="208" w:lineRule="auto"/>
              <w:rPr/>
            </w:pPr>
            <w:r>
              <w:rPr>
                <w:spacing w:val="-1"/>
              </w:rPr>
              <w:t>森林土壤水化学分析</w:t>
            </w:r>
          </w:p>
        </w:tc>
        <w:tc>
          <w:tcPr>
            <w:tcW w:w="2360" w:type="dxa"/>
            <w:vAlign w:val="top"/>
            <w:tcBorders>
              <w:right w:val="nil"/>
            </w:tcBorders>
          </w:tcPr>
          <w:p>
            <w:pPr>
              <w:ind w:left="477"/>
              <w:spacing w:before="101"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LY/T</w:t>
            </w:r>
            <w:r>
              <w:rPr>
                <w:rFonts w:ascii="Times New Roman" w:hAnsi="Times New Roman" w:eastAsia="Times New Roman" w:cs="Times New Roman"/>
                <w:sz w:val="21"/>
                <w:szCs w:val="21"/>
                <w:spacing w:val="21"/>
                <w:w w:val="101"/>
              </w:rPr>
              <w:t xml:space="preserve"> </w:t>
            </w:r>
            <w:r>
              <w:rPr>
                <w:rFonts w:ascii="Times New Roman" w:hAnsi="Times New Roman" w:eastAsia="Times New Roman" w:cs="Times New Roman"/>
                <w:sz w:val="21"/>
                <w:szCs w:val="21"/>
                <w:spacing w:val="-4"/>
              </w:rPr>
              <w:t>1275-1999</w:t>
            </w:r>
          </w:p>
        </w:tc>
      </w:tr>
      <w:tr>
        <w:trPr>
          <w:trHeight w:val="603" w:hRule="atLeast"/>
        </w:trPr>
        <w:tc>
          <w:tcPr>
            <w:tcW w:w="1641" w:type="dxa"/>
            <w:vAlign w:val="top"/>
            <w:tcBorders>
              <w:left w:val="nil"/>
            </w:tcBorders>
          </w:tcPr>
          <w:p>
            <w:pPr>
              <w:pStyle w:val="TableText"/>
              <w:ind w:left="472"/>
              <w:spacing w:before="228" w:line="235" w:lineRule="auto"/>
              <w:rPr>
                <w:rFonts w:ascii="Times New Roman" w:hAnsi="Times New Roman" w:eastAsia="Times New Roman" w:cs="Times New Roman"/>
              </w:rPr>
            </w:pPr>
            <w:r>
              <w:rPr>
                <w:spacing w:val="-2"/>
              </w:rPr>
              <w:t>氯离子</w:t>
            </w:r>
            <w:r>
              <w:rPr>
                <w:rFonts w:ascii="Times New Roman" w:hAnsi="Times New Roman" w:eastAsia="Times New Roman" w:cs="Times New Roman"/>
                <w:spacing w:val="-2"/>
              </w:rPr>
              <w:t>*</w:t>
            </w:r>
          </w:p>
        </w:tc>
        <w:tc>
          <w:tcPr>
            <w:tcW w:w="4732" w:type="dxa"/>
            <w:vAlign w:val="top"/>
          </w:tcPr>
          <w:p>
            <w:pPr>
              <w:pStyle w:val="TableText"/>
              <w:ind w:left="815" w:right="28" w:hanging="703"/>
              <w:spacing w:before="60" w:line="230" w:lineRule="auto"/>
              <w:rPr/>
            </w:pPr>
            <w:r>
              <w:rPr>
                <w:spacing w:val="-7"/>
              </w:rPr>
              <w:t>水质 无机阴离子（</w:t>
            </w:r>
            <w:r>
              <w:rPr>
                <w:rFonts w:ascii="Times New Roman" w:hAnsi="Times New Roman" w:eastAsia="Times New Roman" w:cs="Times New Roman"/>
                <w:spacing w:val="-7"/>
              </w:rPr>
              <w:t>F</w:t>
            </w:r>
            <w:r>
              <w:rPr>
                <w:rFonts w:ascii="Times New Roman" w:hAnsi="Times New Roman" w:eastAsia="Times New Roman" w:cs="Times New Roman"/>
                <w:sz w:val="13"/>
                <w:szCs w:val="13"/>
                <w:spacing w:val="-7"/>
                <w:position w:val="10"/>
              </w:rPr>
              <w:t>-</w:t>
            </w:r>
            <w:r>
              <w:rPr>
                <w:spacing w:val="-20"/>
              </w:rPr>
              <w:t>、</w:t>
            </w:r>
            <w:r>
              <w:rPr>
                <w:rFonts w:ascii="Times New Roman" w:hAnsi="Times New Roman" w:eastAsia="Times New Roman" w:cs="Times New Roman"/>
                <w:spacing w:val="-20"/>
              </w:rPr>
              <w:t>Cl</w:t>
            </w:r>
            <w:r>
              <w:rPr>
                <w:rFonts w:ascii="Times New Roman" w:hAnsi="Times New Roman" w:eastAsia="Times New Roman" w:cs="Times New Roman"/>
                <w:sz w:val="13"/>
                <w:szCs w:val="13"/>
                <w:spacing w:val="2"/>
                <w:position w:val="10"/>
              </w:rPr>
              <w:t>-</w:t>
            </w:r>
            <w:r>
              <w:rPr>
                <w:spacing w:val="-21"/>
              </w:rPr>
              <w:t>、</w:t>
            </w:r>
            <w:r>
              <w:rPr>
                <w:rFonts w:ascii="Times New Roman" w:hAnsi="Times New Roman" w:eastAsia="Times New Roman" w:cs="Times New Roman"/>
                <w:spacing w:val="-21"/>
              </w:rPr>
              <w:t>NO</w:t>
            </w:r>
            <w:r>
              <w:rPr>
                <w:rFonts w:ascii="Times New Roman" w:hAnsi="Times New Roman" w:eastAsia="Times New Roman" w:cs="Times New Roman"/>
                <w:sz w:val="13"/>
                <w:szCs w:val="13"/>
                <w:spacing w:val="5"/>
                <w:position w:val="-3"/>
              </w:rPr>
              <w:t>2</w:t>
            </w:r>
            <w:r>
              <w:rPr>
                <w:rFonts w:ascii="Times New Roman" w:hAnsi="Times New Roman" w:eastAsia="Times New Roman" w:cs="Times New Roman"/>
                <w:sz w:val="13"/>
                <w:szCs w:val="13"/>
                <w:spacing w:val="5"/>
                <w:position w:val="10"/>
              </w:rPr>
              <w:t>-</w:t>
            </w:r>
            <w:r>
              <w:rPr>
                <w:spacing w:val="-21"/>
              </w:rPr>
              <w:t>、</w:t>
            </w:r>
            <w:r>
              <w:rPr>
                <w:rFonts w:ascii="Times New Roman" w:hAnsi="Times New Roman" w:eastAsia="Times New Roman" w:cs="Times New Roman"/>
                <w:spacing w:val="-21"/>
              </w:rPr>
              <w:t>Br</w:t>
            </w:r>
            <w:r>
              <w:rPr>
                <w:rFonts w:ascii="Times New Roman" w:hAnsi="Times New Roman" w:eastAsia="Times New Roman" w:cs="Times New Roman"/>
                <w:sz w:val="13"/>
                <w:szCs w:val="13"/>
                <w:spacing w:val="3"/>
                <w:position w:val="10"/>
              </w:rPr>
              <w:t>-</w:t>
            </w:r>
            <w:r>
              <w:rPr>
                <w:spacing w:val="-19"/>
                <w:w w:val="98"/>
              </w:rPr>
              <w:t>、</w:t>
            </w:r>
            <w:r>
              <w:rPr>
                <w:rFonts w:ascii="Times New Roman" w:hAnsi="Times New Roman" w:eastAsia="Times New Roman" w:cs="Times New Roman"/>
                <w:spacing w:val="-19"/>
                <w:w w:val="98"/>
              </w:rPr>
              <w:t>NO</w:t>
            </w:r>
            <w:r>
              <w:rPr>
                <w:rFonts w:ascii="Times New Roman" w:hAnsi="Times New Roman" w:eastAsia="Times New Roman" w:cs="Times New Roman"/>
                <w:sz w:val="13"/>
                <w:szCs w:val="13"/>
                <w:spacing w:val="6"/>
                <w:position w:val="-3"/>
              </w:rPr>
              <w:t>3</w:t>
            </w:r>
            <w:r>
              <w:rPr>
                <w:rFonts w:ascii="Times New Roman" w:hAnsi="Times New Roman" w:eastAsia="Times New Roman" w:cs="Times New Roman"/>
                <w:sz w:val="13"/>
                <w:szCs w:val="13"/>
                <w:spacing w:val="6"/>
                <w:position w:val="10"/>
              </w:rPr>
              <w:t>-</w:t>
            </w:r>
            <w:r>
              <w:rPr>
                <w:spacing w:val="-22"/>
              </w:rPr>
              <w:t>、</w:t>
            </w:r>
            <w:r>
              <w:rPr>
                <w:rFonts w:ascii="Times New Roman" w:hAnsi="Times New Roman" w:eastAsia="Times New Roman" w:cs="Times New Roman"/>
                <w:spacing w:val="-22"/>
              </w:rPr>
              <w:t>PO</w:t>
            </w:r>
            <w:r>
              <w:rPr>
                <w:rFonts w:ascii="Times New Roman" w:hAnsi="Times New Roman" w:eastAsia="Times New Roman" w:cs="Times New Roman"/>
                <w:sz w:val="13"/>
                <w:szCs w:val="13"/>
                <w:spacing w:val="-4"/>
                <w:position w:val="-3"/>
              </w:rPr>
              <w:t>4</w:t>
            </w:r>
            <w:r>
              <w:rPr>
                <w:rFonts w:ascii="Times New Roman" w:hAnsi="Times New Roman" w:eastAsia="Times New Roman" w:cs="Times New Roman"/>
                <w:sz w:val="13"/>
                <w:szCs w:val="13"/>
                <w:spacing w:val="-4"/>
                <w:position w:val="10"/>
              </w:rPr>
              <w:t>3-</w:t>
            </w:r>
            <w:r>
              <w:rPr>
                <w:spacing w:val="-4"/>
              </w:rPr>
              <w:t>、</w:t>
            </w:r>
            <w:r>
              <w:rPr/>
              <w:t xml:space="preserve"> </w:t>
            </w:r>
            <w:r>
              <w:rPr>
                <w:rFonts w:ascii="Times New Roman" w:hAnsi="Times New Roman" w:eastAsia="Times New Roman" w:cs="Times New Roman"/>
                <w:spacing w:val="-1"/>
              </w:rPr>
              <w:t>SO</w:t>
            </w:r>
            <w:r>
              <w:rPr>
                <w:rFonts w:ascii="Times New Roman" w:hAnsi="Times New Roman" w:eastAsia="Times New Roman" w:cs="Times New Roman"/>
                <w:sz w:val="13"/>
                <w:szCs w:val="13"/>
                <w:spacing w:val="-1"/>
                <w:position w:val="-3"/>
              </w:rPr>
              <w:t>3</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z w:val="13"/>
                <w:szCs w:val="13"/>
                <w:spacing w:val="4"/>
                <w:position w:val="9"/>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z w:val="13"/>
                <w:szCs w:val="13"/>
                <w:spacing w:val="-1"/>
                <w:position w:val="-3"/>
              </w:rPr>
              <w:t>4</w:t>
            </w:r>
            <w:r>
              <w:rPr>
                <w:rFonts w:ascii="Times New Roman" w:hAnsi="Times New Roman" w:eastAsia="Times New Roman" w:cs="Times New Roman"/>
                <w:sz w:val="13"/>
                <w:szCs w:val="13"/>
                <w:spacing w:val="-1"/>
                <w:position w:val="9"/>
              </w:rPr>
              <w:t>2-</w:t>
            </w:r>
            <w:r>
              <w:rPr>
                <w:spacing w:val="-1"/>
              </w:rPr>
              <w:t>）的测定 离子色谱法</w:t>
            </w:r>
          </w:p>
        </w:tc>
        <w:tc>
          <w:tcPr>
            <w:tcW w:w="2360" w:type="dxa"/>
            <w:vAlign w:val="top"/>
            <w:tcBorders>
              <w:right w:val="nil"/>
            </w:tcBorders>
          </w:tcPr>
          <w:p>
            <w:pPr>
              <w:ind w:left="685"/>
              <w:spacing w:before="24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84-2016</w:t>
            </w:r>
          </w:p>
        </w:tc>
      </w:tr>
      <w:tr>
        <w:trPr>
          <w:trHeight w:val="605" w:hRule="atLeast"/>
        </w:trPr>
        <w:tc>
          <w:tcPr>
            <w:tcW w:w="1641" w:type="dxa"/>
            <w:vAlign w:val="top"/>
            <w:tcBorders>
              <w:left w:val="nil"/>
            </w:tcBorders>
          </w:tcPr>
          <w:p>
            <w:pPr>
              <w:pStyle w:val="TableText"/>
              <w:ind w:left="468"/>
              <w:spacing w:before="229" w:line="235" w:lineRule="auto"/>
              <w:rPr>
                <w:rFonts w:ascii="Times New Roman" w:hAnsi="Times New Roman" w:eastAsia="Times New Roman" w:cs="Times New Roman"/>
              </w:rPr>
            </w:pPr>
            <w:r>
              <w:rPr>
                <w:spacing w:val="-1"/>
              </w:rPr>
              <w:t>硫酸根</w:t>
            </w:r>
            <w:r>
              <w:rPr>
                <w:rFonts w:ascii="Times New Roman" w:hAnsi="Times New Roman" w:eastAsia="Times New Roman" w:cs="Times New Roman"/>
                <w:spacing w:val="-1"/>
              </w:rPr>
              <w:t>*</w:t>
            </w:r>
          </w:p>
        </w:tc>
        <w:tc>
          <w:tcPr>
            <w:tcW w:w="4732" w:type="dxa"/>
            <w:vAlign w:val="top"/>
          </w:tcPr>
          <w:p>
            <w:pPr>
              <w:pStyle w:val="TableText"/>
              <w:ind w:left="815" w:right="28" w:hanging="703"/>
              <w:spacing w:before="64" w:line="229" w:lineRule="auto"/>
              <w:rPr/>
            </w:pPr>
            <w:r>
              <w:rPr>
                <w:spacing w:val="-7"/>
              </w:rPr>
              <w:t>水质 无机阴离子（</w:t>
            </w:r>
            <w:r>
              <w:rPr>
                <w:rFonts w:ascii="Times New Roman" w:hAnsi="Times New Roman" w:eastAsia="Times New Roman" w:cs="Times New Roman"/>
                <w:spacing w:val="-7"/>
              </w:rPr>
              <w:t>F</w:t>
            </w:r>
            <w:r>
              <w:rPr>
                <w:rFonts w:ascii="Times New Roman" w:hAnsi="Times New Roman" w:eastAsia="Times New Roman" w:cs="Times New Roman"/>
                <w:sz w:val="13"/>
                <w:szCs w:val="13"/>
                <w:spacing w:val="-7"/>
                <w:position w:val="10"/>
              </w:rPr>
              <w:t>-</w:t>
            </w:r>
            <w:r>
              <w:rPr>
                <w:spacing w:val="-20"/>
              </w:rPr>
              <w:t>、</w:t>
            </w:r>
            <w:r>
              <w:rPr>
                <w:rFonts w:ascii="Times New Roman" w:hAnsi="Times New Roman" w:eastAsia="Times New Roman" w:cs="Times New Roman"/>
                <w:spacing w:val="-20"/>
              </w:rPr>
              <w:t>Cl</w:t>
            </w:r>
            <w:r>
              <w:rPr>
                <w:rFonts w:ascii="Times New Roman" w:hAnsi="Times New Roman" w:eastAsia="Times New Roman" w:cs="Times New Roman"/>
                <w:sz w:val="13"/>
                <w:szCs w:val="13"/>
                <w:spacing w:val="2"/>
                <w:position w:val="10"/>
              </w:rPr>
              <w:t>-</w:t>
            </w:r>
            <w:r>
              <w:rPr>
                <w:spacing w:val="-21"/>
              </w:rPr>
              <w:t>、</w:t>
            </w:r>
            <w:r>
              <w:rPr>
                <w:rFonts w:ascii="Times New Roman" w:hAnsi="Times New Roman" w:eastAsia="Times New Roman" w:cs="Times New Roman"/>
                <w:spacing w:val="-21"/>
              </w:rPr>
              <w:t>NO</w:t>
            </w:r>
            <w:r>
              <w:rPr>
                <w:rFonts w:ascii="Times New Roman" w:hAnsi="Times New Roman" w:eastAsia="Times New Roman" w:cs="Times New Roman"/>
                <w:sz w:val="13"/>
                <w:szCs w:val="13"/>
                <w:spacing w:val="5"/>
                <w:position w:val="-3"/>
              </w:rPr>
              <w:t>2</w:t>
            </w:r>
            <w:r>
              <w:rPr>
                <w:rFonts w:ascii="Times New Roman" w:hAnsi="Times New Roman" w:eastAsia="Times New Roman" w:cs="Times New Roman"/>
                <w:sz w:val="13"/>
                <w:szCs w:val="13"/>
                <w:spacing w:val="5"/>
                <w:position w:val="10"/>
              </w:rPr>
              <w:t>-</w:t>
            </w:r>
            <w:r>
              <w:rPr>
                <w:spacing w:val="-21"/>
              </w:rPr>
              <w:t>、</w:t>
            </w:r>
            <w:r>
              <w:rPr>
                <w:rFonts w:ascii="Times New Roman" w:hAnsi="Times New Roman" w:eastAsia="Times New Roman" w:cs="Times New Roman"/>
                <w:spacing w:val="-21"/>
              </w:rPr>
              <w:t>Br</w:t>
            </w:r>
            <w:r>
              <w:rPr>
                <w:rFonts w:ascii="Times New Roman" w:hAnsi="Times New Roman" w:eastAsia="Times New Roman" w:cs="Times New Roman"/>
                <w:sz w:val="13"/>
                <w:szCs w:val="13"/>
                <w:spacing w:val="3"/>
                <w:position w:val="10"/>
              </w:rPr>
              <w:t>-</w:t>
            </w:r>
            <w:r>
              <w:rPr>
                <w:spacing w:val="-19"/>
                <w:w w:val="98"/>
              </w:rPr>
              <w:t>、</w:t>
            </w:r>
            <w:r>
              <w:rPr>
                <w:rFonts w:ascii="Times New Roman" w:hAnsi="Times New Roman" w:eastAsia="Times New Roman" w:cs="Times New Roman"/>
                <w:spacing w:val="-19"/>
                <w:w w:val="98"/>
              </w:rPr>
              <w:t>NO</w:t>
            </w:r>
            <w:r>
              <w:rPr>
                <w:rFonts w:ascii="Times New Roman" w:hAnsi="Times New Roman" w:eastAsia="Times New Roman" w:cs="Times New Roman"/>
                <w:sz w:val="13"/>
                <w:szCs w:val="13"/>
                <w:spacing w:val="6"/>
                <w:position w:val="-3"/>
              </w:rPr>
              <w:t>3</w:t>
            </w:r>
            <w:r>
              <w:rPr>
                <w:rFonts w:ascii="Times New Roman" w:hAnsi="Times New Roman" w:eastAsia="Times New Roman" w:cs="Times New Roman"/>
                <w:sz w:val="13"/>
                <w:szCs w:val="13"/>
                <w:spacing w:val="6"/>
                <w:position w:val="10"/>
              </w:rPr>
              <w:t>-</w:t>
            </w:r>
            <w:r>
              <w:rPr>
                <w:spacing w:val="-22"/>
              </w:rPr>
              <w:t>、</w:t>
            </w:r>
            <w:r>
              <w:rPr>
                <w:rFonts w:ascii="Times New Roman" w:hAnsi="Times New Roman" w:eastAsia="Times New Roman" w:cs="Times New Roman"/>
                <w:spacing w:val="-22"/>
              </w:rPr>
              <w:t>PO</w:t>
            </w:r>
            <w:r>
              <w:rPr>
                <w:rFonts w:ascii="Times New Roman" w:hAnsi="Times New Roman" w:eastAsia="Times New Roman" w:cs="Times New Roman"/>
                <w:sz w:val="13"/>
                <w:szCs w:val="13"/>
                <w:spacing w:val="-4"/>
                <w:position w:val="-3"/>
              </w:rPr>
              <w:t>4</w:t>
            </w:r>
            <w:r>
              <w:rPr>
                <w:rFonts w:ascii="Times New Roman" w:hAnsi="Times New Roman" w:eastAsia="Times New Roman" w:cs="Times New Roman"/>
                <w:sz w:val="13"/>
                <w:szCs w:val="13"/>
                <w:spacing w:val="-4"/>
                <w:position w:val="10"/>
              </w:rPr>
              <w:t>3-</w:t>
            </w:r>
            <w:r>
              <w:rPr>
                <w:spacing w:val="-4"/>
              </w:rPr>
              <w:t>、</w:t>
            </w:r>
            <w:r>
              <w:rPr/>
              <w:t xml:space="preserve"> </w:t>
            </w:r>
            <w:r>
              <w:rPr>
                <w:rFonts w:ascii="Times New Roman" w:hAnsi="Times New Roman" w:eastAsia="Times New Roman" w:cs="Times New Roman"/>
                <w:spacing w:val="-1"/>
              </w:rPr>
              <w:t>SO</w:t>
            </w:r>
            <w:r>
              <w:rPr>
                <w:rFonts w:ascii="Times New Roman" w:hAnsi="Times New Roman" w:eastAsia="Times New Roman" w:cs="Times New Roman"/>
                <w:sz w:val="13"/>
                <w:szCs w:val="13"/>
                <w:spacing w:val="-1"/>
                <w:position w:val="-3"/>
              </w:rPr>
              <w:t>3</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z w:val="13"/>
                <w:szCs w:val="13"/>
                <w:spacing w:val="4"/>
                <w:position w:val="9"/>
              </w:rPr>
              <w:t xml:space="preserve"> </w:t>
            </w:r>
            <w:r>
              <w:rPr>
                <w:spacing w:val="-1"/>
              </w:rPr>
              <w:t>、</w:t>
            </w:r>
            <w:r>
              <w:rPr>
                <w:rFonts w:ascii="Times New Roman" w:hAnsi="Times New Roman" w:eastAsia="Times New Roman" w:cs="Times New Roman"/>
                <w:spacing w:val="-1"/>
              </w:rPr>
              <w:t>SO</w:t>
            </w:r>
            <w:r>
              <w:rPr>
                <w:rFonts w:ascii="Times New Roman" w:hAnsi="Times New Roman" w:eastAsia="Times New Roman" w:cs="Times New Roman"/>
                <w:sz w:val="13"/>
                <w:szCs w:val="13"/>
                <w:spacing w:val="-1"/>
                <w:position w:val="-3"/>
              </w:rPr>
              <w:t>4</w:t>
            </w:r>
            <w:r>
              <w:rPr>
                <w:rFonts w:ascii="Times New Roman" w:hAnsi="Times New Roman" w:eastAsia="Times New Roman" w:cs="Times New Roman"/>
                <w:sz w:val="13"/>
                <w:szCs w:val="13"/>
                <w:spacing w:val="-1"/>
                <w:position w:val="9"/>
              </w:rPr>
              <w:t>2-</w:t>
            </w:r>
            <w:r>
              <w:rPr>
                <w:spacing w:val="-1"/>
              </w:rPr>
              <w:t>）的测定 离子色谱法</w:t>
            </w:r>
          </w:p>
        </w:tc>
        <w:tc>
          <w:tcPr>
            <w:tcW w:w="2360" w:type="dxa"/>
            <w:vAlign w:val="top"/>
            <w:tcBorders>
              <w:right w:val="nil"/>
            </w:tcBorders>
          </w:tcPr>
          <w:p>
            <w:pPr>
              <w:ind w:left="685"/>
              <w:spacing w:before="24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84-2016</w:t>
            </w:r>
          </w:p>
        </w:tc>
      </w:tr>
      <w:tr>
        <w:trPr>
          <w:trHeight w:val="337" w:hRule="atLeast"/>
        </w:trPr>
        <w:tc>
          <w:tcPr>
            <w:tcW w:w="1641" w:type="dxa"/>
            <w:vAlign w:val="top"/>
            <w:tcBorders>
              <w:left w:val="nil"/>
              <w:bottom w:val="single" w:color="000000" w:sz="10" w:space="0"/>
            </w:tcBorders>
          </w:tcPr>
          <w:p>
            <w:pPr>
              <w:pStyle w:val="TableText"/>
              <w:ind w:left="154"/>
              <w:spacing w:before="73" w:line="223" w:lineRule="auto"/>
              <w:rPr>
                <w:rFonts w:ascii="Times New Roman" w:hAnsi="Times New Roman" w:eastAsia="Times New Roman" w:cs="Times New Roman"/>
              </w:rPr>
            </w:pPr>
            <w:r>
              <w:rPr>
                <w:spacing w:val="-2"/>
              </w:rPr>
              <w:t>溶解性总固体</w:t>
            </w:r>
            <w:r>
              <w:rPr>
                <w:rFonts w:ascii="Times New Roman" w:hAnsi="Times New Roman" w:eastAsia="Times New Roman" w:cs="Times New Roman"/>
                <w:spacing w:val="-2"/>
              </w:rPr>
              <w:t>*</w:t>
            </w:r>
          </w:p>
        </w:tc>
        <w:tc>
          <w:tcPr>
            <w:tcW w:w="4732" w:type="dxa"/>
            <w:vAlign w:val="top"/>
            <w:tcBorders>
              <w:bottom w:val="single" w:color="000000" w:sz="10" w:space="0"/>
            </w:tcBorders>
          </w:tcPr>
          <w:p>
            <w:pPr>
              <w:pStyle w:val="TableText"/>
              <w:ind w:left="217"/>
              <w:spacing w:before="72" w:line="221" w:lineRule="auto"/>
              <w:rPr/>
            </w:pPr>
            <w:r>
              <w:rPr>
                <w:spacing w:val="-1"/>
              </w:rPr>
              <w:t>生活饮用水标准检验方法 感官性状和物理指标</w:t>
            </w:r>
          </w:p>
        </w:tc>
        <w:tc>
          <w:tcPr>
            <w:tcW w:w="2360" w:type="dxa"/>
            <w:vAlign w:val="top"/>
            <w:tcBorders>
              <w:right w:val="nil"/>
              <w:bottom w:val="single" w:color="000000" w:sz="10" w:space="0"/>
            </w:tcBorders>
          </w:tcPr>
          <w:p>
            <w:pPr>
              <w:ind w:left="384"/>
              <w:spacing w:before="105"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GB/T 5750.4-2023</w:t>
            </w:r>
          </w:p>
        </w:tc>
      </w:tr>
    </w:tbl>
    <w:p>
      <w:pPr>
        <w:ind w:left="618"/>
        <w:spacing w:before="113"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）监测结果</w:t>
      </w:r>
    </w:p>
    <w:p>
      <w:pPr>
        <w:ind w:left="611"/>
        <w:spacing w:before="164" w:line="233" w:lineRule="auto"/>
        <w:rPr>
          <w:rFonts w:ascii="SimSun" w:hAnsi="SimSun" w:eastAsia="SimSun" w:cs="SimSun"/>
          <w:sz w:val="24"/>
          <w:szCs w:val="24"/>
        </w:rPr>
      </w:pPr>
      <w:r>
        <w:rPr>
          <w:rFonts w:ascii="SimSun" w:hAnsi="SimSun" w:eastAsia="SimSun" w:cs="SimSun"/>
          <w:sz w:val="24"/>
          <w:szCs w:val="24"/>
          <w:spacing w:val="-1"/>
        </w:rPr>
        <w:t>地下水监测结果详见表</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4-3</w:t>
      </w:r>
      <w:r>
        <w:rPr>
          <w:rFonts w:ascii="SimSun" w:hAnsi="SimSun" w:eastAsia="SimSun" w:cs="SimSun"/>
          <w:sz w:val="24"/>
          <w:szCs w:val="24"/>
          <w:spacing w:val="-1"/>
        </w:rPr>
        <w:t>。</w:t>
      </w:r>
    </w:p>
    <w:p>
      <w:pPr>
        <w:spacing w:line="233" w:lineRule="auto"/>
        <w:sectPr>
          <w:headerReference w:type="default" r:id="rId97"/>
          <w:footerReference w:type="default" r:id="rId98"/>
          <w:pgSz w:w="11907" w:h="16839"/>
          <w:pgMar w:top="1582" w:right="1593" w:bottom="1235" w:left="1579" w:header="1241" w:footer="992" w:gutter="0"/>
        </w:sectPr>
        <w:rPr>
          <w:rFonts w:ascii="SimSun" w:hAnsi="SimSun" w:eastAsia="SimSun" w:cs="SimSun"/>
          <w:sz w:val="24"/>
          <w:szCs w:val="24"/>
        </w:rPr>
      </w:pPr>
    </w:p>
    <w:p>
      <w:pPr>
        <w:ind w:left="2804"/>
        <w:spacing w:before="233"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2"/>
        </w:rPr>
        <w:t>4-3      </w:t>
      </w:r>
      <w:r>
        <w:rPr>
          <w:rFonts w:ascii="SimSun" w:hAnsi="SimSun" w:eastAsia="SimSun" w:cs="SimSun"/>
          <w:sz w:val="24"/>
          <w:szCs w:val="24"/>
          <w:b/>
          <w:bCs/>
          <w:spacing w:val="-2"/>
        </w:rPr>
        <w:t>引用地下水水质监测结果</w:t>
      </w:r>
    </w:p>
    <w:p>
      <w:pPr>
        <w:spacing w:line="5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383"/>
        <w:gridCol w:w="1671"/>
        <w:gridCol w:w="2492"/>
        <w:gridCol w:w="2189"/>
      </w:tblGrid>
      <w:tr>
        <w:trPr>
          <w:trHeight w:val="375" w:hRule="atLeast"/>
        </w:trPr>
        <w:tc>
          <w:tcPr>
            <w:tcW w:w="2383" w:type="dxa"/>
            <w:vAlign w:val="top"/>
            <w:vMerge w:val="restart"/>
            <w:tcBorders>
              <w:left w:val="nil"/>
              <w:top w:val="single" w:color="000000" w:sz="10" w:space="0"/>
              <w:bottom w:val="nil"/>
            </w:tcBorders>
          </w:tcPr>
          <w:p>
            <w:pPr>
              <w:spacing w:line="390" w:lineRule="auto"/>
              <w:rPr>
                <w:rFonts w:ascii="Arial"/>
                <w:sz w:val="21"/>
              </w:rPr>
            </w:pPr>
            <w:r/>
          </w:p>
          <w:p>
            <w:pPr>
              <w:pStyle w:val="TableText"/>
              <w:ind w:left="786"/>
              <w:spacing w:before="68" w:line="222" w:lineRule="auto"/>
              <w:rPr/>
            </w:pPr>
            <w:r>
              <w:rPr>
                <w:spacing w:val="-2"/>
              </w:rPr>
              <w:t>监测点位</w:t>
            </w:r>
          </w:p>
        </w:tc>
        <w:tc>
          <w:tcPr>
            <w:tcW w:w="6352" w:type="dxa"/>
            <w:vAlign w:val="top"/>
            <w:gridSpan w:val="3"/>
            <w:tcBorders>
              <w:right w:val="nil"/>
              <w:top w:val="single" w:color="000000" w:sz="10" w:space="0"/>
            </w:tcBorders>
          </w:tcPr>
          <w:p>
            <w:pPr>
              <w:pStyle w:val="TableText"/>
              <w:ind w:left="2760"/>
              <w:spacing w:before="81" w:line="221" w:lineRule="auto"/>
              <w:rPr/>
            </w:pPr>
            <w:r>
              <w:rPr>
                <w:spacing w:val="-2"/>
              </w:rPr>
              <w:t>监测日期</w:t>
            </w:r>
          </w:p>
        </w:tc>
      </w:tr>
      <w:tr>
        <w:trPr>
          <w:trHeight w:val="392" w:hRule="atLeast"/>
        </w:trPr>
        <w:tc>
          <w:tcPr>
            <w:tcW w:w="2383" w:type="dxa"/>
            <w:vAlign w:val="top"/>
            <w:vMerge w:val="continue"/>
            <w:tcBorders>
              <w:left w:val="nil"/>
              <w:top w:val="nil"/>
              <w:bottom w:val="nil"/>
            </w:tcBorders>
          </w:tcPr>
          <w:p>
            <w:pPr>
              <w:rPr>
                <w:rFonts w:ascii="Arial"/>
                <w:sz w:val="21"/>
              </w:rPr>
            </w:pPr>
            <w:r/>
          </w:p>
        </w:tc>
        <w:tc>
          <w:tcPr>
            <w:tcW w:w="6352" w:type="dxa"/>
            <w:vAlign w:val="top"/>
            <w:gridSpan w:val="3"/>
            <w:tcBorders>
              <w:right w:val="nil"/>
            </w:tcBorders>
          </w:tcPr>
          <w:p>
            <w:pPr>
              <w:ind w:left="2640"/>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2024.7.5-7.7</w:t>
            </w:r>
          </w:p>
        </w:tc>
      </w:tr>
      <w:tr>
        <w:trPr>
          <w:trHeight w:val="354" w:hRule="atLeast"/>
        </w:trPr>
        <w:tc>
          <w:tcPr>
            <w:tcW w:w="2383" w:type="dxa"/>
            <w:vAlign w:val="top"/>
            <w:vMerge w:val="continue"/>
            <w:tcBorders>
              <w:left w:val="nil"/>
              <w:top w:val="nil"/>
            </w:tcBorders>
          </w:tcPr>
          <w:p>
            <w:pPr>
              <w:rPr>
                <w:rFonts w:ascii="Arial"/>
                <w:sz w:val="21"/>
              </w:rPr>
            </w:pPr>
            <w:r/>
          </w:p>
        </w:tc>
        <w:tc>
          <w:tcPr>
            <w:tcW w:w="1671" w:type="dxa"/>
            <w:vAlign w:val="top"/>
          </w:tcPr>
          <w:p>
            <w:pPr>
              <w:ind w:left="750"/>
              <w:spacing w:before="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p>
        </w:tc>
        <w:tc>
          <w:tcPr>
            <w:tcW w:w="2492" w:type="dxa"/>
            <w:vAlign w:val="top"/>
          </w:tcPr>
          <w:p>
            <w:pPr>
              <w:ind w:left="1146"/>
              <w:spacing w:before="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p>
        </w:tc>
        <w:tc>
          <w:tcPr>
            <w:tcW w:w="2189" w:type="dxa"/>
            <w:vAlign w:val="top"/>
            <w:tcBorders>
              <w:right w:val="nil"/>
            </w:tcBorders>
          </w:tcPr>
          <w:p>
            <w:pPr>
              <w:ind w:left="995"/>
              <w:spacing w:before="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p>
        </w:tc>
      </w:tr>
      <w:tr>
        <w:trPr>
          <w:trHeight w:val="390" w:hRule="atLeast"/>
        </w:trPr>
        <w:tc>
          <w:tcPr>
            <w:tcW w:w="2383" w:type="dxa"/>
            <w:vAlign w:val="top"/>
            <w:tcBorders>
              <w:left w:val="nil"/>
            </w:tcBorders>
          </w:tcPr>
          <w:p>
            <w:pPr>
              <w:pStyle w:val="TableText"/>
              <w:ind w:left="412"/>
              <w:spacing w:before="90" w:line="214" w:lineRule="auto"/>
              <w:rPr/>
            </w:pPr>
            <w:r>
              <w:rPr>
                <w:rFonts w:ascii="Times New Roman" w:hAnsi="Times New Roman" w:eastAsia="Times New Roman" w:cs="Times New Roman"/>
                <w:spacing w:val="-1"/>
              </w:rPr>
              <w:t>pH </w:t>
            </w:r>
            <w:r>
              <w:rPr>
                <w:spacing w:val="-1"/>
              </w:rPr>
              <w:t>值（无量纲）</w:t>
            </w:r>
          </w:p>
        </w:tc>
        <w:tc>
          <w:tcPr>
            <w:tcW w:w="1671" w:type="dxa"/>
            <w:vAlign w:val="top"/>
          </w:tcPr>
          <w:p>
            <w:pPr>
              <w:ind w:left="706"/>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w:t>
            </w:r>
          </w:p>
        </w:tc>
        <w:tc>
          <w:tcPr>
            <w:tcW w:w="2492" w:type="dxa"/>
            <w:vAlign w:val="top"/>
          </w:tcPr>
          <w:p>
            <w:pPr>
              <w:ind w:left="1119"/>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7.2</w:t>
            </w:r>
          </w:p>
        </w:tc>
        <w:tc>
          <w:tcPr>
            <w:tcW w:w="2189" w:type="dxa"/>
            <w:vAlign w:val="top"/>
            <w:tcBorders>
              <w:right w:val="nil"/>
            </w:tcBorders>
          </w:tcPr>
          <w:p>
            <w:pPr>
              <w:ind w:left="968"/>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7.1</w:t>
            </w:r>
          </w:p>
        </w:tc>
      </w:tr>
      <w:tr>
        <w:trPr>
          <w:trHeight w:val="390" w:hRule="atLeast"/>
        </w:trPr>
        <w:tc>
          <w:tcPr>
            <w:tcW w:w="2383" w:type="dxa"/>
            <w:vAlign w:val="top"/>
            <w:tcBorders>
              <w:left w:val="nil"/>
            </w:tcBorders>
          </w:tcPr>
          <w:p>
            <w:pPr>
              <w:pStyle w:val="TableText"/>
              <w:ind w:left="557"/>
              <w:spacing w:before="94" w:line="213" w:lineRule="auto"/>
              <w:rPr/>
            </w:pPr>
            <w:r>
              <w:rPr>
                <w:spacing w:val="-1"/>
              </w:rPr>
              <w:t>氨氮（</w:t>
            </w:r>
            <w:r>
              <w:rPr>
                <w:rFonts w:ascii="Times New Roman" w:hAnsi="Times New Roman" w:eastAsia="Times New Roman" w:cs="Times New Roman"/>
                <w:spacing w:val="-1"/>
              </w:rPr>
              <w:t>mg/L</w:t>
            </w:r>
            <w:r>
              <w:rPr>
                <w:spacing w:val="-1"/>
              </w:rPr>
              <w:t>）</w:t>
            </w:r>
          </w:p>
        </w:tc>
        <w:tc>
          <w:tcPr>
            <w:tcW w:w="1671" w:type="dxa"/>
            <w:vAlign w:val="top"/>
          </w:tcPr>
          <w:p>
            <w:pPr>
              <w:ind w:left="538"/>
              <w:spacing w:before="11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0.025L</w:t>
            </w:r>
          </w:p>
        </w:tc>
        <w:tc>
          <w:tcPr>
            <w:tcW w:w="2492" w:type="dxa"/>
            <w:vAlign w:val="top"/>
          </w:tcPr>
          <w:p>
            <w:pPr>
              <w:ind w:left="951"/>
              <w:spacing w:before="11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0.025L</w:t>
            </w:r>
          </w:p>
        </w:tc>
        <w:tc>
          <w:tcPr>
            <w:tcW w:w="2189" w:type="dxa"/>
            <w:vAlign w:val="top"/>
            <w:tcBorders>
              <w:right w:val="nil"/>
            </w:tcBorders>
          </w:tcPr>
          <w:p>
            <w:pPr>
              <w:ind w:left="799"/>
              <w:spacing w:before="11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0.025L</w:t>
            </w:r>
          </w:p>
        </w:tc>
      </w:tr>
      <w:tr>
        <w:trPr>
          <w:trHeight w:val="393" w:hRule="atLeast"/>
        </w:trPr>
        <w:tc>
          <w:tcPr>
            <w:tcW w:w="2383" w:type="dxa"/>
            <w:vAlign w:val="top"/>
            <w:tcBorders>
              <w:left w:val="nil"/>
            </w:tcBorders>
          </w:tcPr>
          <w:p>
            <w:pPr>
              <w:pStyle w:val="TableText"/>
              <w:ind w:left="143"/>
              <w:spacing w:before="95" w:line="213" w:lineRule="auto"/>
              <w:rPr/>
            </w:pPr>
            <w:r>
              <w:rPr>
                <w:spacing w:val="-2"/>
              </w:rPr>
              <w:t>高锰酸盐指数（</w:t>
            </w:r>
            <w:r>
              <w:rPr>
                <w:rFonts w:ascii="Times New Roman" w:hAnsi="Times New Roman" w:eastAsia="Times New Roman" w:cs="Times New Roman"/>
                <w:spacing w:val="-2"/>
              </w:rPr>
              <w:t>mg/L</w:t>
            </w:r>
            <w:r>
              <w:rPr>
                <w:spacing w:val="-2"/>
              </w:rPr>
              <w:t>）</w:t>
            </w:r>
          </w:p>
        </w:tc>
        <w:tc>
          <w:tcPr>
            <w:tcW w:w="1671" w:type="dxa"/>
            <w:vAlign w:val="top"/>
          </w:tcPr>
          <w:p>
            <w:pPr>
              <w:ind w:left="723"/>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w:t>
            </w:r>
          </w:p>
        </w:tc>
        <w:tc>
          <w:tcPr>
            <w:tcW w:w="2492" w:type="dxa"/>
            <w:vAlign w:val="top"/>
          </w:tcPr>
          <w:p>
            <w:pPr>
              <w:ind w:left="1136"/>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w:t>
            </w:r>
          </w:p>
        </w:tc>
        <w:tc>
          <w:tcPr>
            <w:tcW w:w="2189" w:type="dxa"/>
            <w:vAlign w:val="top"/>
            <w:tcBorders>
              <w:right w:val="nil"/>
            </w:tcBorders>
          </w:tcPr>
          <w:p>
            <w:pPr>
              <w:ind w:left="964"/>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r>
      <w:tr>
        <w:trPr>
          <w:trHeight w:val="390" w:hRule="atLeast"/>
        </w:trPr>
        <w:tc>
          <w:tcPr>
            <w:tcW w:w="2383" w:type="dxa"/>
            <w:vAlign w:val="top"/>
            <w:tcBorders>
              <w:left w:val="nil"/>
            </w:tcBorders>
          </w:tcPr>
          <w:p>
            <w:pPr>
              <w:pStyle w:val="TableText"/>
              <w:ind w:left="347"/>
              <w:spacing w:before="95" w:line="221" w:lineRule="auto"/>
              <w:rPr/>
            </w:pPr>
            <w:r>
              <w:rPr>
                <w:spacing w:val="-2"/>
              </w:rPr>
              <w:t>总硬度（</w:t>
            </w:r>
            <w:r>
              <w:rPr>
                <w:rFonts w:ascii="Times New Roman" w:hAnsi="Times New Roman" w:eastAsia="Times New Roman" w:cs="Times New Roman"/>
                <w:spacing w:val="-2"/>
              </w:rPr>
              <w:t>mmol/L</w:t>
            </w:r>
            <w:r>
              <w:rPr>
                <w:spacing w:val="-2"/>
              </w:rPr>
              <w:t>）</w:t>
            </w:r>
          </w:p>
        </w:tc>
        <w:tc>
          <w:tcPr>
            <w:tcW w:w="1671" w:type="dxa"/>
            <w:vAlign w:val="top"/>
          </w:tcPr>
          <w:p>
            <w:pPr>
              <w:ind w:left="650"/>
              <w:spacing w:before="12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2.32</w:t>
            </w:r>
          </w:p>
        </w:tc>
        <w:tc>
          <w:tcPr>
            <w:tcW w:w="2492" w:type="dxa"/>
            <w:vAlign w:val="top"/>
          </w:tcPr>
          <w:p>
            <w:pPr>
              <w:ind w:left="1063"/>
              <w:spacing w:before="12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2.27</w:t>
            </w:r>
          </w:p>
        </w:tc>
        <w:tc>
          <w:tcPr>
            <w:tcW w:w="2189" w:type="dxa"/>
            <w:vAlign w:val="top"/>
            <w:tcBorders>
              <w:right w:val="nil"/>
            </w:tcBorders>
          </w:tcPr>
          <w:p>
            <w:pPr>
              <w:ind w:left="916"/>
              <w:spacing w:before="12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2.11</w:t>
            </w:r>
          </w:p>
        </w:tc>
      </w:tr>
      <w:tr>
        <w:trPr>
          <w:trHeight w:val="393" w:hRule="atLeast"/>
        </w:trPr>
        <w:tc>
          <w:tcPr>
            <w:tcW w:w="2383" w:type="dxa"/>
            <w:vAlign w:val="top"/>
            <w:tcBorders>
              <w:left w:val="nil"/>
            </w:tcBorders>
          </w:tcPr>
          <w:p>
            <w:pPr>
              <w:pStyle w:val="TableText"/>
              <w:ind w:left="455"/>
              <w:spacing w:before="97" w:line="213" w:lineRule="auto"/>
              <w:rPr/>
            </w:pPr>
            <w:r>
              <w:rPr>
                <w:spacing w:val="-2"/>
              </w:rPr>
              <w:t>氯化物（</w:t>
            </w:r>
            <w:r>
              <w:rPr>
                <w:rFonts w:ascii="Times New Roman" w:hAnsi="Times New Roman" w:eastAsia="Times New Roman" w:cs="Times New Roman"/>
                <w:spacing w:val="-2"/>
              </w:rPr>
              <w:t>mg/L</w:t>
            </w:r>
            <w:r>
              <w:rPr>
                <w:spacing w:val="-2"/>
              </w:rPr>
              <w:t>）</w:t>
            </w:r>
          </w:p>
        </w:tc>
        <w:tc>
          <w:tcPr>
            <w:tcW w:w="1671" w:type="dxa"/>
            <w:vAlign w:val="top"/>
          </w:tcPr>
          <w:p>
            <w:pPr>
              <w:ind w:left="697"/>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173</w:t>
            </w:r>
          </w:p>
        </w:tc>
        <w:tc>
          <w:tcPr>
            <w:tcW w:w="2492" w:type="dxa"/>
            <w:vAlign w:val="top"/>
          </w:tcPr>
          <w:p>
            <w:pPr>
              <w:ind w:left="1145"/>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w:t>
            </w:r>
          </w:p>
        </w:tc>
        <w:tc>
          <w:tcPr>
            <w:tcW w:w="2189" w:type="dxa"/>
            <w:vAlign w:val="top"/>
            <w:tcBorders>
              <w:right w:val="nil"/>
            </w:tcBorders>
          </w:tcPr>
          <w:p>
            <w:pPr>
              <w:ind w:left="958"/>
              <w:spacing w:before="12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150</w:t>
            </w:r>
          </w:p>
        </w:tc>
      </w:tr>
      <w:tr>
        <w:trPr>
          <w:trHeight w:val="390" w:hRule="atLeast"/>
        </w:trPr>
        <w:tc>
          <w:tcPr>
            <w:tcW w:w="2383" w:type="dxa"/>
            <w:vAlign w:val="top"/>
            <w:tcBorders>
              <w:left w:val="nil"/>
            </w:tcBorders>
          </w:tcPr>
          <w:p>
            <w:pPr>
              <w:pStyle w:val="TableText"/>
              <w:ind w:left="451"/>
              <w:spacing w:before="95" w:line="213" w:lineRule="auto"/>
              <w:rPr/>
            </w:pPr>
            <w:r>
              <w:rPr>
                <w:spacing w:val="-1"/>
              </w:rPr>
              <w:t>挥发酚（</w:t>
            </w:r>
            <w:r>
              <w:rPr>
                <w:rFonts w:ascii="Times New Roman" w:hAnsi="Times New Roman" w:eastAsia="Times New Roman" w:cs="Times New Roman"/>
                <w:spacing w:val="-1"/>
              </w:rPr>
              <w:t>mg/L</w:t>
            </w:r>
            <w:r>
              <w:rPr>
                <w:spacing w:val="-1"/>
              </w:rPr>
              <w:t>）</w:t>
            </w:r>
          </w:p>
        </w:tc>
        <w:tc>
          <w:tcPr>
            <w:tcW w:w="1671" w:type="dxa"/>
            <w:vAlign w:val="top"/>
          </w:tcPr>
          <w:p>
            <w:pPr>
              <w:ind w:left="485"/>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0.0003L</w:t>
            </w:r>
          </w:p>
        </w:tc>
        <w:tc>
          <w:tcPr>
            <w:tcW w:w="2492" w:type="dxa"/>
            <w:vAlign w:val="top"/>
          </w:tcPr>
          <w:p>
            <w:pPr>
              <w:ind w:left="898"/>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0.0003L</w:t>
            </w:r>
          </w:p>
        </w:tc>
        <w:tc>
          <w:tcPr>
            <w:tcW w:w="2189" w:type="dxa"/>
            <w:vAlign w:val="top"/>
            <w:tcBorders>
              <w:right w:val="nil"/>
            </w:tcBorders>
          </w:tcPr>
          <w:p>
            <w:pPr>
              <w:ind w:left="747"/>
              <w:spacing w:before="12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0.0003L</w:t>
            </w:r>
          </w:p>
        </w:tc>
      </w:tr>
      <w:tr>
        <w:trPr>
          <w:trHeight w:val="393" w:hRule="atLeast"/>
        </w:trPr>
        <w:tc>
          <w:tcPr>
            <w:tcW w:w="2383" w:type="dxa"/>
            <w:vAlign w:val="top"/>
            <w:tcBorders>
              <w:left w:val="nil"/>
            </w:tcBorders>
          </w:tcPr>
          <w:p>
            <w:pPr>
              <w:pStyle w:val="TableText"/>
              <w:ind w:left="245"/>
              <w:spacing w:before="98" w:line="213" w:lineRule="auto"/>
              <w:rPr/>
            </w:pPr>
            <w:r>
              <w:rPr>
                <w:spacing w:val="-1"/>
              </w:rPr>
              <w:t>亚硝酸盐氮（</w:t>
            </w:r>
            <w:r>
              <w:rPr>
                <w:rFonts w:ascii="Times New Roman" w:hAnsi="Times New Roman" w:eastAsia="Times New Roman" w:cs="Times New Roman"/>
                <w:spacing w:val="-1"/>
              </w:rPr>
              <w:t>mg/L</w:t>
            </w:r>
            <w:r>
              <w:rPr>
                <w:spacing w:val="-1"/>
              </w:rPr>
              <w:t>）</w:t>
            </w:r>
          </w:p>
        </w:tc>
        <w:tc>
          <w:tcPr>
            <w:tcW w:w="1671" w:type="dxa"/>
            <w:vAlign w:val="top"/>
          </w:tcPr>
          <w:p>
            <w:pPr>
              <w:ind w:left="538"/>
              <w:spacing w:before="12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0.003L</w:t>
            </w:r>
          </w:p>
        </w:tc>
        <w:tc>
          <w:tcPr>
            <w:tcW w:w="2492" w:type="dxa"/>
            <w:vAlign w:val="top"/>
          </w:tcPr>
          <w:p>
            <w:pPr>
              <w:ind w:left="951"/>
              <w:spacing w:before="12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0.003L</w:t>
            </w:r>
          </w:p>
        </w:tc>
        <w:tc>
          <w:tcPr>
            <w:tcW w:w="2189" w:type="dxa"/>
            <w:vAlign w:val="top"/>
            <w:tcBorders>
              <w:right w:val="nil"/>
            </w:tcBorders>
          </w:tcPr>
          <w:p>
            <w:pPr>
              <w:ind w:left="799"/>
              <w:spacing w:before="12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0.003L</w:t>
            </w:r>
          </w:p>
        </w:tc>
      </w:tr>
      <w:tr>
        <w:trPr>
          <w:trHeight w:val="390" w:hRule="atLeast"/>
        </w:trPr>
        <w:tc>
          <w:tcPr>
            <w:tcW w:w="2383" w:type="dxa"/>
            <w:vAlign w:val="top"/>
            <w:tcBorders>
              <w:left w:val="nil"/>
            </w:tcBorders>
          </w:tcPr>
          <w:p>
            <w:pPr>
              <w:pStyle w:val="TableText"/>
              <w:ind w:left="348"/>
              <w:spacing w:before="96" w:line="213" w:lineRule="auto"/>
              <w:rPr/>
            </w:pPr>
            <w:r>
              <w:rPr>
                <w:spacing w:val="-1"/>
              </w:rPr>
              <w:t>硝酸盐氮（</w:t>
            </w:r>
            <w:r>
              <w:rPr>
                <w:rFonts w:ascii="Times New Roman" w:hAnsi="Times New Roman" w:eastAsia="Times New Roman" w:cs="Times New Roman"/>
                <w:spacing w:val="-1"/>
              </w:rPr>
              <w:t>mg/L</w:t>
            </w:r>
            <w:r>
              <w:rPr>
                <w:spacing w:val="-1"/>
              </w:rPr>
              <w:t>）</w:t>
            </w:r>
          </w:p>
        </w:tc>
        <w:tc>
          <w:tcPr>
            <w:tcW w:w="1671" w:type="dxa"/>
            <w:vAlign w:val="top"/>
          </w:tcPr>
          <w:p>
            <w:pPr>
              <w:ind w:left="653"/>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2492" w:type="dxa"/>
            <w:vAlign w:val="top"/>
          </w:tcPr>
          <w:p>
            <w:pPr>
              <w:ind w:left="1063"/>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2.62</w:t>
            </w:r>
          </w:p>
        </w:tc>
        <w:tc>
          <w:tcPr>
            <w:tcW w:w="2189" w:type="dxa"/>
            <w:vAlign w:val="top"/>
            <w:tcBorders>
              <w:right w:val="nil"/>
            </w:tcBorders>
          </w:tcPr>
          <w:p>
            <w:pPr>
              <w:ind w:left="915"/>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0.36</w:t>
            </w:r>
          </w:p>
        </w:tc>
      </w:tr>
      <w:tr>
        <w:trPr>
          <w:trHeight w:val="390" w:hRule="atLeast"/>
        </w:trPr>
        <w:tc>
          <w:tcPr>
            <w:tcW w:w="2383" w:type="dxa"/>
            <w:vAlign w:val="top"/>
            <w:tcBorders>
              <w:left w:val="nil"/>
            </w:tcBorders>
          </w:tcPr>
          <w:p>
            <w:pPr>
              <w:pStyle w:val="TableText"/>
              <w:ind w:left="451"/>
              <w:spacing w:before="99" w:line="207" w:lineRule="auto"/>
              <w:rPr/>
            </w:pPr>
            <w:r>
              <w:rPr>
                <w:spacing w:val="-1"/>
              </w:rPr>
              <w:t>硫酸盐（</w:t>
            </w:r>
            <w:r>
              <w:rPr>
                <w:rFonts w:ascii="Times New Roman" w:hAnsi="Times New Roman" w:eastAsia="Times New Roman" w:cs="Times New Roman"/>
                <w:spacing w:val="-1"/>
              </w:rPr>
              <w:t>mg/L</w:t>
            </w:r>
            <w:r>
              <w:rPr>
                <w:spacing w:val="-1"/>
              </w:rPr>
              <w:t>）</w:t>
            </w:r>
          </w:p>
        </w:tc>
        <w:tc>
          <w:tcPr>
            <w:tcW w:w="1671" w:type="dxa"/>
            <w:vAlign w:val="top"/>
          </w:tcPr>
          <w:p>
            <w:pPr>
              <w:ind w:left="697"/>
              <w:spacing w:before="12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146</w:t>
            </w:r>
          </w:p>
        </w:tc>
        <w:tc>
          <w:tcPr>
            <w:tcW w:w="2492" w:type="dxa"/>
            <w:vAlign w:val="top"/>
          </w:tcPr>
          <w:p>
            <w:pPr>
              <w:ind w:left="1089"/>
              <w:spacing w:before="12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217</w:t>
            </w:r>
          </w:p>
        </w:tc>
        <w:tc>
          <w:tcPr>
            <w:tcW w:w="2189" w:type="dxa"/>
            <w:vAlign w:val="top"/>
            <w:tcBorders>
              <w:right w:val="nil"/>
            </w:tcBorders>
          </w:tcPr>
          <w:p>
            <w:pPr>
              <w:ind w:left="938"/>
              <w:spacing w:before="124"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214</w:t>
            </w:r>
          </w:p>
        </w:tc>
      </w:tr>
      <w:tr>
        <w:trPr>
          <w:trHeight w:val="393" w:hRule="atLeast"/>
        </w:trPr>
        <w:tc>
          <w:tcPr>
            <w:tcW w:w="2383" w:type="dxa"/>
            <w:vAlign w:val="top"/>
            <w:tcBorders>
              <w:left w:val="nil"/>
            </w:tcBorders>
          </w:tcPr>
          <w:p>
            <w:pPr>
              <w:pStyle w:val="TableText"/>
              <w:ind w:left="453"/>
              <w:spacing w:before="101" w:line="213" w:lineRule="auto"/>
              <w:rPr/>
            </w:pPr>
            <w:r>
              <w:rPr>
                <w:spacing w:val="-1"/>
              </w:rPr>
              <w:t>氟化物（</w:t>
            </w:r>
            <w:r>
              <w:rPr>
                <w:rFonts w:ascii="Times New Roman" w:hAnsi="Times New Roman" w:eastAsia="Times New Roman" w:cs="Times New Roman"/>
                <w:spacing w:val="-1"/>
              </w:rPr>
              <w:t>mg/L</w:t>
            </w:r>
            <w:r>
              <w:rPr>
                <w:spacing w:val="-1"/>
              </w:rPr>
              <w:t>）</w:t>
            </w:r>
          </w:p>
        </w:tc>
        <w:tc>
          <w:tcPr>
            <w:tcW w:w="1671" w:type="dxa"/>
            <w:vAlign w:val="top"/>
          </w:tcPr>
          <w:p>
            <w:pPr>
              <w:ind w:left="653"/>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0.63</w:t>
            </w:r>
          </w:p>
        </w:tc>
        <w:tc>
          <w:tcPr>
            <w:tcW w:w="2492" w:type="dxa"/>
            <w:vAlign w:val="top"/>
          </w:tcPr>
          <w:p>
            <w:pPr>
              <w:ind w:left="1066"/>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0.63</w:t>
            </w:r>
          </w:p>
        </w:tc>
        <w:tc>
          <w:tcPr>
            <w:tcW w:w="2189" w:type="dxa"/>
            <w:vAlign w:val="top"/>
            <w:tcBorders>
              <w:right w:val="nil"/>
            </w:tcBorders>
          </w:tcPr>
          <w:p>
            <w:pPr>
              <w:ind w:left="915"/>
              <w:spacing w:before="12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0.71</w:t>
            </w:r>
          </w:p>
        </w:tc>
      </w:tr>
      <w:tr>
        <w:trPr>
          <w:trHeight w:val="390" w:hRule="atLeast"/>
        </w:trPr>
        <w:tc>
          <w:tcPr>
            <w:tcW w:w="2383" w:type="dxa"/>
            <w:vAlign w:val="top"/>
            <w:tcBorders>
              <w:left w:val="nil"/>
            </w:tcBorders>
          </w:tcPr>
          <w:p>
            <w:pPr>
              <w:pStyle w:val="TableText"/>
              <w:ind w:left="453"/>
              <w:spacing w:before="101" w:line="213" w:lineRule="auto"/>
              <w:rPr/>
            </w:pPr>
            <w:r>
              <w:rPr>
                <w:spacing w:val="-1"/>
              </w:rPr>
              <w:t>六价铬（</w:t>
            </w:r>
            <w:r>
              <w:rPr>
                <w:rFonts w:ascii="Times New Roman" w:hAnsi="Times New Roman" w:eastAsia="Times New Roman" w:cs="Times New Roman"/>
                <w:spacing w:val="-1"/>
              </w:rPr>
              <w:t>mg/L</w:t>
            </w:r>
            <w:r>
              <w:rPr>
                <w:spacing w:val="-1"/>
              </w:rPr>
              <w:t>）</w:t>
            </w:r>
          </w:p>
        </w:tc>
        <w:tc>
          <w:tcPr>
            <w:tcW w:w="1671" w:type="dxa"/>
            <w:vAlign w:val="top"/>
          </w:tcPr>
          <w:p>
            <w:pPr>
              <w:ind w:left="538"/>
              <w:spacing w:before="12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0.004L</w:t>
            </w:r>
          </w:p>
        </w:tc>
        <w:tc>
          <w:tcPr>
            <w:tcW w:w="2492" w:type="dxa"/>
            <w:vAlign w:val="top"/>
          </w:tcPr>
          <w:p>
            <w:pPr>
              <w:ind w:left="951"/>
              <w:spacing w:before="12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0.004L</w:t>
            </w:r>
          </w:p>
        </w:tc>
        <w:tc>
          <w:tcPr>
            <w:tcW w:w="2189" w:type="dxa"/>
            <w:vAlign w:val="top"/>
            <w:tcBorders>
              <w:right w:val="nil"/>
            </w:tcBorders>
          </w:tcPr>
          <w:p>
            <w:pPr>
              <w:ind w:left="799"/>
              <w:spacing w:before="12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0.004L</w:t>
            </w:r>
          </w:p>
        </w:tc>
      </w:tr>
      <w:tr>
        <w:trPr>
          <w:trHeight w:val="393" w:hRule="atLeast"/>
        </w:trPr>
        <w:tc>
          <w:tcPr>
            <w:tcW w:w="2383" w:type="dxa"/>
            <w:vAlign w:val="top"/>
            <w:tcBorders>
              <w:left w:val="nil"/>
            </w:tcBorders>
          </w:tcPr>
          <w:p>
            <w:pPr>
              <w:pStyle w:val="TableText"/>
              <w:ind w:left="686"/>
              <w:spacing w:before="102" w:line="213" w:lineRule="auto"/>
              <w:rPr/>
            </w:pPr>
            <w:r>
              <w:rPr>
                <w:spacing w:val="14"/>
              </w:rPr>
              <w:t>砷(</w:t>
            </w:r>
            <w:r>
              <w:rPr>
                <w:rFonts w:ascii="Times New Roman" w:hAnsi="Times New Roman" w:eastAsia="Times New Roman" w:cs="Times New Roman"/>
                <w:spacing w:val="14"/>
              </w:rPr>
              <w:t>μg/L</w:t>
            </w:r>
            <w:r>
              <w:rPr>
                <w:spacing w:val="14"/>
              </w:rPr>
              <w:t>）</w:t>
            </w:r>
          </w:p>
        </w:tc>
        <w:tc>
          <w:tcPr>
            <w:tcW w:w="1671" w:type="dxa"/>
            <w:vAlign w:val="top"/>
          </w:tcPr>
          <w:p>
            <w:pPr>
              <w:ind w:left="641"/>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0.3L</w:t>
            </w:r>
          </w:p>
        </w:tc>
        <w:tc>
          <w:tcPr>
            <w:tcW w:w="2492" w:type="dxa"/>
            <w:vAlign w:val="top"/>
          </w:tcPr>
          <w:p>
            <w:pPr>
              <w:ind w:left="1054"/>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0.3L</w:t>
            </w:r>
          </w:p>
        </w:tc>
        <w:tc>
          <w:tcPr>
            <w:tcW w:w="2189" w:type="dxa"/>
            <w:vAlign w:val="top"/>
            <w:tcBorders>
              <w:right w:val="nil"/>
            </w:tcBorders>
          </w:tcPr>
          <w:p>
            <w:pPr>
              <w:ind w:left="903"/>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0.3L</w:t>
            </w:r>
          </w:p>
        </w:tc>
      </w:tr>
      <w:tr>
        <w:trPr>
          <w:trHeight w:val="390" w:hRule="atLeast"/>
        </w:trPr>
        <w:tc>
          <w:tcPr>
            <w:tcW w:w="2383" w:type="dxa"/>
            <w:vAlign w:val="top"/>
            <w:tcBorders>
              <w:left w:val="nil"/>
            </w:tcBorders>
          </w:tcPr>
          <w:p>
            <w:pPr>
              <w:pStyle w:val="TableText"/>
              <w:ind w:left="688"/>
              <w:spacing w:before="100" w:line="213" w:lineRule="auto"/>
              <w:rPr/>
            </w:pPr>
            <w:r>
              <w:rPr>
                <w:spacing w:val="14"/>
              </w:rPr>
              <w:t>汞(</w:t>
            </w:r>
            <w:r>
              <w:rPr>
                <w:rFonts w:ascii="Times New Roman" w:hAnsi="Times New Roman" w:eastAsia="Times New Roman" w:cs="Times New Roman"/>
                <w:spacing w:val="14"/>
              </w:rPr>
              <w:t>μg/L</w:t>
            </w:r>
            <w:r>
              <w:rPr>
                <w:spacing w:val="14"/>
              </w:rPr>
              <w:t>）</w:t>
            </w:r>
          </w:p>
        </w:tc>
        <w:tc>
          <w:tcPr>
            <w:tcW w:w="1671" w:type="dxa"/>
            <w:vAlign w:val="top"/>
          </w:tcPr>
          <w:p>
            <w:pPr>
              <w:ind w:left="589"/>
              <w:spacing w:before="12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0.04L</w:t>
            </w:r>
          </w:p>
        </w:tc>
        <w:tc>
          <w:tcPr>
            <w:tcW w:w="2492" w:type="dxa"/>
            <w:vAlign w:val="top"/>
          </w:tcPr>
          <w:p>
            <w:pPr>
              <w:ind w:left="1001"/>
              <w:spacing w:before="12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0.04L</w:t>
            </w:r>
          </w:p>
        </w:tc>
        <w:tc>
          <w:tcPr>
            <w:tcW w:w="2189" w:type="dxa"/>
            <w:vAlign w:val="top"/>
            <w:tcBorders>
              <w:right w:val="nil"/>
            </w:tcBorders>
          </w:tcPr>
          <w:p>
            <w:pPr>
              <w:ind w:left="850"/>
              <w:spacing w:before="12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0.04L</w:t>
            </w:r>
          </w:p>
        </w:tc>
      </w:tr>
      <w:tr>
        <w:trPr>
          <w:trHeight w:val="391" w:hRule="atLeast"/>
        </w:trPr>
        <w:tc>
          <w:tcPr>
            <w:tcW w:w="2383" w:type="dxa"/>
            <w:vAlign w:val="top"/>
            <w:tcBorders>
              <w:left w:val="nil"/>
            </w:tcBorders>
          </w:tcPr>
          <w:p>
            <w:pPr>
              <w:pStyle w:val="TableText"/>
              <w:ind w:left="663"/>
              <w:spacing w:before="104" w:line="213" w:lineRule="auto"/>
              <w:rPr/>
            </w:pPr>
            <w:r>
              <w:rPr>
                <w:spacing w:val="-1"/>
              </w:rPr>
              <w:t>锰（</w:t>
            </w:r>
            <w:r>
              <w:rPr>
                <w:rFonts w:ascii="Times New Roman" w:hAnsi="Times New Roman" w:eastAsia="Times New Roman" w:cs="Times New Roman"/>
                <w:spacing w:val="-1"/>
              </w:rPr>
              <w:t>mg/L</w:t>
            </w:r>
            <w:r>
              <w:rPr>
                <w:spacing w:val="-1"/>
              </w:rPr>
              <w:t>）</w:t>
            </w:r>
          </w:p>
        </w:tc>
        <w:tc>
          <w:tcPr>
            <w:tcW w:w="1671" w:type="dxa"/>
            <w:vAlign w:val="top"/>
          </w:tcPr>
          <w:p>
            <w:pPr>
              <w:ind w:left="653"/>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2492" w:type="dxa"/>
            <w:vAlign w:val="top"/>
          </w:tcPr>
          <w:p>
            <w:pPr>
              <w:ind w:left="1001"/>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0.05L</w:t>
            </w:r>
          </w:p>
        </w:tc>
        <w:tc>
          <w:tcPr>
            <w:tcW w:w="2189" w:type="dxa"/>
            <w:vAlign w:val="top"/>
            <w:tcBorders>
              <w:right w:val="nil"/>
            </w:tcBorders>
          </w:tcPr>
          <w:p>
            <w:pPr>
              <w:ind w:left="915"/>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r>
      <w:tr>
        <w:trPr>
          <w:trHeight w:val="359" w:hRule="atLeast"/>
        </w:trPr>
        <w:tc>
          <w:tcPr>
            <w:tcW w:w="2383" w:type="dxa"/>
            <w:vAlign w:val="top"/>
            <w:tcBorders>
              <w:left w:val="nil"/>
            </w:tcBorders>
          </w:tcPr>
          <w:p>
            <w:pPr>
              <w:pStyle w:val="TableText"/>
              <w:ind w:left="662"/>
              <w:spacing w:before="87" w:line="213" w:lineRule="auto"/>
              <w:rPr/>
            </w:pPr>
            <w:r>
              <w:rPr>
                <w:spacing w:val="-1"/>
              </w:rPr>
              <w:t>铁（</w:t>
            </w:r>
            <w:r>
              <w:rPr>
                <w:rFonts w:ascii="Times New Roman" w:hAnsi="Times New Roman" w:eastAsia="Times New Roman" w:cs="Times New Roman"/>
                <w:spacing w:val="-1"/>
              </w:rPr>
              <w:t>mg/L</w:t>
            </w:r>
            <w:r>
              <w:rPr>
                <w:spacing w:val="-1"/>
              </w:rPr>
              <w:t>）</w:t>
            </w:r>
          </w:p>
        </w:tc>
        <w:tc>
          <w:tcPr>
            <w:tcW w:w="1671" w:type="dxa"/>
            <w:vAlign w:val="top"/>
          </w:tcPr>
          <w:p>
            <w:pPr>
              <w:ind w:left="653"/>
              <w:spacing w:before="11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w:t>
            </w:r>
          </w:p>
        </w:tc>
        <w:tc>
          <w:tcPr>
            <w:tcW w:w="2492" w:type="dxa"/>
            <w:vAlign w:val="top"/>
          </w:tcPr>
          <w:p>
            <w:pPr>
              <w:ind w:left="1001"/>
              <w:spacing w:before="11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0.03L</w:t>
            </w:r>
          </w:p>
        </w:tc>
        <w:tc>
          <w:tcPr>
            <w:tcW w:w="2189" w:type="dxa"/>
            <w:vAlign w:val="top"/>
            <w:tcBorders>
              <w:right w:val="nil"/>
            </w:tcBorders>
          </w:tcPr>
          <w:p>
            <w:pPr>
              <w:ind w:left="915"/>
              <w:spacing w:before="11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r>
      <w:tr>
        <w:trPr>
          <w:trHeight w:val="393" w:hRule="atLeast"/>
        </w:trPr>
        <w:tc>
          <w:tcPr>
            <w:tcW w:w="2383" w:type="dxa"/>
            <w:vAlign w:val="top"/>
            <w:tcBorders>
              <w:left w:val="nil"/>
            </w:tcBorders>
          </w:tcPr>
          <w:p>
            <w:pPr>
              <w:pStyle w:val="TableText"/>
              <w:ind w:left="663"/>
              <w:spacing w:before="105" w:line="213" w:lineRule="auto"/>
              <w:rPr/>
            </w:pPr>
            <w:r>
              <w:rPr>
                <w:spacing w:val="-1"/>
              </w:rPr>
              <w:t>铅（</w:t>
            </w:r>
            <w:r>
              <w:rPr>
                <w:rFonts w:ascii="Times New Roman" w:hAnsi="Times New Roman" w:eastAsia="Times New Roman" w:cs="Times New Roman"/>
                <w:spacing w:val="-1"/>
              </w:rPr>
              <w:t>mg/L</w:t>
            </w:r>
            <w:r>
              <w:rPr>
                <w:spacing w:val="-1"/>
              </w:rPr>
              <w:t>）</w:t>
            </w:r>
          </w:p>
        </w:tc>
        <w:tc>
          <w:tcPr>
            <w:tcW w:w="1671" w:type="dxa"/>
            <w:vAlign w:val="top"/>
          </w:tcPr>
          <w:p>
            <w:pPr>
              <w:ind w:left="641"/>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0.2L</w:t>
            </w:r>
          </w:p>
        </w:tc>
        <w:tc>
          <w:tcPr>
            <w:tcW w:w="2492" w:type="dxa"/>
            <w:vAlign w:val="top"/>
          </w:tcPr>
          <w:p>
            <w:pPr>
              <w:ind w:left="1054"/>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0.2L</w:t>
            </w:r>
          </w:p>
        </w:tc>
        <w:tc>
          <w:tcPr>
            <w:tcW w:w="2189" w:type="dxa"/>
            <w:vAlign w:val="top"/>
            <w:tcBorders>
              <w:right w:val="nil"/>
            </w:tcBorders>
          </w:tcPr>
          <w:p>
            <w:pPr>
              <w:ind w:left="903"/>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0.2L</w:t>
            </w:r>
          </w:p>
        </w:tc>
      </w:tr>
      <w:tr>
        <w:trPr>
          <w:trHeight w:val="390" w:hRule="atLeast"/>
        </w:trPr>
        <w:tc>
          <w:tcPr>
            <w:tcW w:w="2383" w:type="dxa"/>
            <w:vAlign w:val="top"/>
            <w:tcBorders>
              <w:left w:val="nil"/>
            </w:tcBorders>
          </w:tcPr>
          <w:p>
            <w:pPr>
              <w:pStyle w:val="TableText"/>
              <w:ind w:left="661"/>
              <w:spacing w:before="103" w:line="213" w:lineRule="auto"/>
              <w:rPr/>
            </w:pPr>
            <w:r>
              <w:rPr>
                <w:spacing w:val="-1"/>
              </w:rPr>
              <w:t>镉（</w:t>
            </w:r>
            <w:r>
              <w:rPr>
                <w:rFonts w:ascii="Times New Roman" w:hAnsi="Times New Roman" w:eastAsia="Times New Roman" w:cs="Times New Roman"/>
                <w:spacing w:val="-1"/>
              </w:rPr>
              <w:t>mg/L</w:t>
            </w:r>
            <w:r>
              <w:rPr>
                <w:spacing w:val="-1"/>
              </w:rPr>
              <w:t>）</w:t>
            </w:r>
          </w:p>
        </w:tc>
        <w:tc>
          <w:tcPr>
            <w:tcW w:w="1671" w:type="dxa"/>
            <w:vAlign w:val="top"/>
          </w:tcPr>
          <w:p>
            <w:pPr>
              <w:ind w:left="589"/>
              <w:spacing w:before="13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0.05L</w:t>
            </w:r>
          </w:p>
        </w:tc>
        <w:tc>
          <w:tcPr>
            <w:tcW w:w="2492" w:type="dxa"/>
            <w:vAlign w:val="top"/>
          </w:tcPr>
          <w:p>
            <w:pPr>
              <w:ind w:left="1001"/>
              <w:spacing w:before="13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0.05L</w:t>
            </w:r>
          </w:p>
        </w:tc>
        <w:tc>
          <w:tcPr>
            <w:tcW w:w="2189" w:type="dxa"/>
            <w:vAlign w:val="top"/>
            <w:tcBorders>
              <w:right w:val="nil"/>
            </w:tcBorders>
          </w:tcPr>
          <w:p>
            <w:pPr>
              <w:ind w:left="850"/>
              <w:spacing w:before="13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0.05L</w:t>
            </w:r>
          </w:p>
        </w:tc>
      </w:tr>
      <w:tr>
        <w:trPr>
          <w:trHeight w:val="390" w:hRule="atLeast"/>
        </w:trPr>
        <w:tc>
          <w:tcPr>
            <w:tcW w:w="2383" w:type="dxa"/>
            <w:vAlign w:val="top"/>
            <w:tcBorders>
              <w:left w:val="nil"/>
            </w:tcBorders>
          </w:tcPr>
          <w:p>
            <w:pPr>
              <w:pStyle w:val="TableText"/>
              <w:ind w:left="155"/>
              <w:spacing w:before="105" w:line="221" w:lineRule="auto"/>
              <w:rPr/>
            </w:pPr>
            <w:r>
              <w:rPr>
                <w:spacing w:val="-1"/>
              </w:rPr>
              <w:t>总大肠菌群（</w:t>
            </w:r>
            <w:r>
              <w:rPr>
                <w:rFonts w:ascii="Times New Roman" w:hAnsi="Times New Roman" w:eastAsia="Times New Roman" w:cs="Times New Roman"/>
                <w:spacing w:val="-1"/>
              </w:rPr>
              <w:t>MPN/L</w:t>
            </w:r>
            <w:r>
              <w:rPr>
                <w:spacing w:val="-1"/>
              </w:rPr>
              <w:t>）</w:t>
            </w:r>
          </w:p>
        </w:tc>
        <w:tc>
          <w:tcPr>
            <w:tcW w:w="1671" w:type="dxa"/>
            <w:vAlign w:val="top"/>
          </w:tcPr>
          <w:p>
            <w:pPr>
              <w:ind w:left="669"/>
              <w:spacing w:before="13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&lt;20</w:t>
            </w:r>
          </w:p>
        </w:tc>
        <w:tc>
          <w:tcPr>
            <w:tcW w:w="2492" w:type="dxa"/>
            <w:vAlign w:val="top"/>
          </w:tcPr>
          <w:p>
            <w:pPr>
              <w:ind w:left="1081"/>
              <w:spacing w:before="13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&lt;20</w:t>
            </w:r>
          </w:p>
        </w:tc>
        <w:tc>
          <w:tcPr>
            <w:tcW w:w="2189" w:type="dxa"/>
            <w:vAlign w:val="top"/>
            <w:tcBorders>
              <w:right w:val="nil"/>
            </w:tcBorders>
          </w:tcPr>
          <w:p>
            <w:pPr>
              <w:ind w:left="930"/>
              <w:spacing w:before="13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&lt;20</w:t>
            </w:r>
          </w:p>
        </w:tc>
      </w:tr>
      <w:tr>
        <w:trPr>
          <w:trHeight w:val="393" w:hRule="atLeast"/>
        </w:trPr>
        <w:tc>
          <w:tcPr>
            <w:tcW w:w="2383" w:type="dxa"/>
            <w:vAlign w:val="top"/>
            <w:tcBorders>
              <w:left w:val="nil"/>
            </w:tcBorders>
          </w:tcPr>
          <w:p>
            <w:pPr>
              <w:pStyle w:val="TableText"/>
              <w:ind w:left="196"/>
              <w:spacing w:before="106" w:line="221" w:lineRule="auto"/>
              <w:rPr/>
            </w:pPr>
            <w:r>
              <w:rPr>
                <w:spacing w:val="-1"/>
              </w:rPr>
              <w:t>细菌总数（</w:t>
            </w:r>
            <w:r>
              <w:rPr>
                <w:rFonts w:ascii="Times New Roman" w:hAnsi="Times New Roman" w:eastAsia="Times New Roman" w:cs="Times New Roman"/>
                <w:spacing w:val="-1"/>
              </w:rPr>
              <w:t>CFU/mL</w:t>
            </w:r>
            <w:r>
              <w:rPr>
                <w:spacing w:val="-1"/>
              </w:rPr>
              <w:t>）</w:t>
            </w:r>
          </w:p>
        </w:tc>
        <w:tc>
          <w:tcPr>
            <w:tcW w:w="1671" w:type="dxa"/>
            <w:vAlign w:val="top"/>
          </w:tcPr>
          <w:p>
            <w:pPr>
              <w:ind w:left="733"/>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71</w:t>
            </w:r>
          </w:p>
        </w:tc>
        <w:tc>
          <w:tcPr>
            <w:tcW w:w="2492" w:type="dxa"/>
            <w:vAlign w:val="top"/>
          </w:tcPr>
          <w:p>
            <w:pPr>
              <w:ind w:left="1145"/>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71</w:t>
            </w:r>
          </w:p>
        </w:tc>
        <w:tc>
          <w:tcPr>
            <w:tcW w:w="2189" w:type="dxa"/>
            <w:vAlign w:val="top"/>
            <w:tcBorders>
              <w:right w:val="nil"/>
            </w:tcBorders>
          </w:tcPr>
          <w:p>
            <w:pPr>
              <w:ind w:left="994"/>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74</w:t>
            </w:r>
          </w:p>
        </w:tc>
      </w:tr>
      <w:tr>
        <w:trPr>
          <w:trHeight w:val="390" w:hRule="atLeast"/>
        </w:trPr>
        <w:tc>
          <w:tcPr>
            <w:tcW w:w="2383" w:type="dxa"/>
            <w:vAlign w:val="top"/>
            <w:tcBorders>
              <w:left w:val="nil"/>
            </w:tcBorders>
          </w:tcPr>
          <w:p>
            <w:pPr>
              <w:pStyle w:val="TableText"/>
              <w:ind w:left="663"/>
              <w:spacing w:before="107" w:line="213" w:lineRule="auto"/>
              <w:rPr/>
            </w:pPr>
            <w:r>
              <w:rPr>
                <w:spacing w:val="-1"/>
              </w:rPr>
              <w:t>钾（</w:t>
            </w:r>
            <w:r>
              <w:rPr>
                <w:rFonts w:ascii="Times New Roman" w:hAnsi="Times New Roman" w:eastAsia="Times New Roman" w:cs="Times New Roman"/>
                <w:spacing w:val="-1"/>
              </w:rPr>
              <w:t>mg/L</w:t>
            </w:r>
            <w:r>
              <w:rPr>
                <w:spacing w:val="-1"/>
              </w:rPr>
              <w:t>）</w:t>
            </w:r>
          </w:p>
        </w:tc>
        <w:tc>
          <w:tcPr>
            <w:tcW w:w="1671" w:type="dxa"/>
            <w:vAlign w:val="top"/>
          </w:tcPr>
          <w:p>
            <w:pPr>
              <w:ind w:left="670"/>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1.92</w:t>
            </w:r>
          </w:p>
        </w:tc>
        <w:tc>
          <w:tcPr>
            <w:tcW w:w="2492" w:type="dxa"/>
            <w:vAlign w:val="top"/>
          </w:tcPr>
          <w:p>
            <w:pPr>
              <w:ind w:left="1083"/>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1.64</w:t>
            </w:r>
          </w:p>
        </w:tc>
        <w:tc>
          <w:tcPr>
            <w:tcW w:w="2189" w:type="dxa"/>
            <w:vAlign w:val="top"/>
            <w:tcBorders>
              <w:right w:val="nil"/>
            </w:tcBorders>
          </w:tcPr>
          <w:p>
            <w:pPr>
              <w:ind w:left="916"/>
              <w:spacing w:before="13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3.24</w:t>
            </w:r>
          </w:p>
        </w:tc>
      </w:tr>
      <w:tr>
        <w:trPr>
          <w:trHeight w:val="393" w:hRule="atLeast"/>
        </w:trPr>
        <w:tc>
          <w:tcPr>
            <w:tcW w:w="2383" w:type="dxa"/>
            <w:vAlign w:val="top"/>
            <w:tcBorders>
              <w:left w:val="nil"/>
            </w:tcBorders>
          </w:tcPr>
          <w:p>
            <w:pPr>
              <w:pStyle w:val="TableText"/>
              <w:ind w:left="662"/>
              <w:spacing w:before="108" w:line="213" w:lineRule="auto"/>
              <w:rPr/>
            </w:pPr>
            <w:r>
              <w:rPr>
                <w:spacing w:val="-1"/>
              </w:rPr>
              <w:t>钠（</w:t>
            </w:r>
            <w:r>
              <w:rPr>
                <w:rFonts w:ascii="Times New Roman" w:hAnsi="Times New Roman" w:eastAsia="Times New Roman" w:cs="Times New Roman"/>
                <w:spacing w:val="-1"/>
              </w:rPr>
              <w:t>mg/L</w:t>
            </w:r>
            <w:r>
              <w:rPr>
                <w:spacing w:val="-1"/>
              </w:rPr>
              <w:t>）</w:t>
            </w:r>
          </w:p>
        </w:tc>
        <w:tc>
          <w:tcPr>
            <w:tcW w:w="1671" w:type="dxa"/>
            <w:vAlign w:val="top"/>
          </w:tcPr>
          <w:p>
            <w:pPr>
              <w:ind w:left="697"/>
              <w:spacing w:before="13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137</w:t>
            </w:r>
          </w:p>
        </w:tc>
        <w:tc>
          <w:tcPr>
            <w:tcW w:w="2492" w:type="dxa"/>
            <w:vAlign w:val="top"/>
          </w:tcPr>
          <w:p>
            <w:pPr>
              <w:ind w:left="1117"/>
              <w:spacing w:before="136"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111</w:t>
            </w:r>
          </w:p>
        </w:tc>
        <w:tc>
          <w:tcPr>
            <w:tcW w:w="2189" w:type="dxa"/>
            <w:vAlign w:val="top"/>
            <w:tcBorders>
              <w:right w:val="nil"/>
            </w:tcBorders>
          </w:tcPr>
          <w:p>
            <w:pPr>
              <w:ind w:left="958"/>
              <w:spacing w:before="13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106</w:t>
            </w:r>
          </w:p>
        </w:tc>
      </w:tr>
      <w:tr>
        <w:trPr>
          <w:trHeight w:val="390" w:hRule="atLeast"/>
        </w:trPr>
        <w:tc>
          <w:tcPr>
            <w:tcW w:w="2383" w:type="dxa"/>
            <w:vAlign w:val="top"/>
            <w:tcBorders>
              <w:left w:val="nil"/>
            </w:tcBorders>
          </w:tcPr>
          <w:p>
            <w:pPr>
              <w:pStyle w:val="TableText"/>
              <w:ind w:left="662"/>
              <w:spacing w:before="106" w:line="213" w:lineRule="auto"/>
              <w:rPr/>
            </w:pPr>
            <w:r>
              <w:rPr>
                <w:spacing w:val="-1"/>
              </w:rPr>
              <w:t>钙（</w:t>
            </w:r>
            <w:r>
              <w:rPr>
                <w:rFonts w:ascii="Times New Roman" w:hAnsi="Times New Roman" w:eastAsia="Times New Roman" w:cs="Times New Roman"/>
                <w:spacing w:val="-1"/>
              </w:rPr>
              <w:t>mg/L</w:t>
            </w:r>
            <w:r>
              <w:rPr>
                <w:spacing w:val="-1"/>
              </w:rPr>
              <w:t>）</w:t>
            </w:r>
          </w:p>
        </w:tc>
        <w:tc>
          <w:tcPr>
            <w:tcW w:w="1671" w:type="dxa"/>
            <w:vAlign w:val="top"/>
          </w:tcPr>
          <w:p>
            <w:pPr>
              <w:ind w:left="650"/>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25.1</w:t>
            </w:r>
          </w:p>
        </w:tc>
        <w:tc>
          <w:tcPr>
            <w:tcW w:w="2492" w:type="dxa"/>
            <w:vAlign w:val="top"/>
          </w:tcPr>
          <w:p>
            <w:pPr>
              <w:ind w:left="1063"/>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24.9</w:t>
            </w:r>
          </w:p>
        </w:tc>
        <w:tc>
          <w:tcPr>
            <w:tcW w:w="2189" w:type="dxa"/>
            <w:vAlign w:val="top"/>
            <w:tcBorders>
              <w:right w:val="nil"/>
            </w:tcBorders>
          </w:tcPr>
          <w:p>
            <w:pPr>
              <w:ind w:left="911"/>
              <w:spacing w:before="13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26.5</w:t>
            </w:r>
          </w:p>
        </w:tc>
      </w:tr>
      <w:tr>
        <w:trPr>
          <w:trHeight w:val="391" w:hRule="atLeast"/>
        </w:trPr>
        <w:tc>
          <w:tcPr>
            <w:tcW w:w="2383" w:type="dxa"/>
            <w:vAlign w:val="top"/>
            <w:tcBorders>
              <w:left w:val="nil"/>
            </w:tcBorders>
          </w:tcPr>
          <w:p>
            <w:pPr>
              <w:pStyle w:val="TableText"/>
              <w:ind w:left="662"/>
              <w:spacing w:before="110" w:line="213" w:lineRule="auto"/>
              <w:rPr/>
            </w:pPr>
            <w:r>
              <w:rPr>
                <w:spacing w:val="-1"/>
              </w:rPr>
              <w:t>镁（</w:t>
            </w:r>
            <w:r>
              <w:rPr>
                <w:rFonts w:ascii="Times New Roman" w:hAnsi="Times New Roman" w:eastAsia="Times New Roman" w:cs="Times New Roman"/>
                <w:spacing w:val="-1"/>
              </w:rPr>
              <w:t>mg/L</w:t>
            </w:r>
            <w:r>
              <w:rPr>
                <w:spacing w:val="-1"/>
              </w:rPr>
              <w:t>）</w:t>
            </w:r>
          </w:p>
        </w:tc>
        <w:tc>
          <w:tcPr>
            <w:tcW w:w="1671" w:type="dxa"/>
            <w:vAlign w:val="top"/>
          </w:tcPr>
          <w:p>
            <w:pPr>
              <w:ind w:left="650"/>
              <w:spacing w:before="13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28.9</w:t>
            </w:r>
          </w:p>
        </w:tc>
        <w:tc>
          <w:tcPr>
            <w:tcW w:w="2492" w:type="dxa"/>
            <w:vAlign w:val="top"/>
          </w:tcPr>
          <w:p>
            <w:pPr>
              <w:ind w:left="1062"/>
              <w:spacing w:before="13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2189" w:type="dxa"/>
            <w:vAlign w:val="top"/>
            <w:tcBorders>
              <w:right w:val="nil"/>
            </w:tcBorders>
          </w:tcPr>
          <w:p>
            <w:pPr>
              <w:ind w:left="917"/>
              <w:spacing w:before="13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52.8</w:t>
            </w:r>
          </w:p>
        </w:tc>
      </w:tr>
      <w:tr>
        <w:trPr>
          <w:trHeight w:val="393" w:hRule="atLeast"/>
        </w:trPr>
        <w:tc>
          <w:tcPr>
            <w:tcW w:w="2383" w:type="dxa"/>
            <w:vAlign w:val="top"/>
            <w:tcBorders>
              <w:left w:val="nil"/>
            </w:tcBorders>
          </w:tcPr>
          <w:p>
            <w:pPr>
              <w:pStyle w:val="TableText"/>
              <w:ind w:left="452"/>
              <w:spacing w:before="110" w:line="213" w:lineRule="auto"/>
              <w:rPr/>
            </w:pPr>
            <w:r>
              <w:rPr>
                <w:spacing w:val="-1"/>
              </w:rPr>
              <w:t>碳酸根（</w:t>
            </w:r>
            <w:r>
              <w:rPr>
                <w:rFonts w:ascii="Times New Roman" w:hAnsi="Times New Roman" w:eastAsia="Times New Roman" w:cs="Times New Roman"/>
                <w:spacing w:val="-1"/>
              </w:rPr>
              <w:t>mg/L</w:t>
            </w:r>
            <w:r>
              <w:rPr>
                <w:spacing w:val="-1"/>
              </w:rPr>
              <w:t>）</w:t>
            </w:r>
          </w:p>
        </w:tc>
        <w:tc>
          <w:tcPr>
            <w:tcW w:w="1671" w:type="dxa"/>
            <w:vAlign w:val="top"/>
          </w:tcPr>
          <w:p>
            <w:pPr>
              <w:ind w:left="585"/>
              <w:spacing w:before="1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2.41L</w:t>
            </w:r>
          </w:p>
        </w:tc>
        <w:tc>
          <w:tcPr>
            <w:tcW w:w="2492" w:type="dxa"/>
            <w:vAlign w:val="top"/>
          </w:tcPr>
          <w:p>
            <w:pPr>
              <w:ind w:left="998"/>
              <w:spacing w:before="1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2.41L</w:t>
            </w:r>
          </w:p>
        </w:tc>
        <w:tc>
          <w:tcPr>
            <w:tcW w:w="2189" w:type="dxa"/>
            <w:vAlign w:val="top"/>
            <w:tcBorders>
              <w:right w:val="nil"/>
            </w:tcBorders>
          </w:tcPr>
          <w:p>
            <w:pPr>
              <w:ind w:left="847"/>
              <w:spacing w:before="1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2.41L</w:t>
            </w:r>
          </w:p>
        </w:tc>
      </w:tr>
      <w:tr>
        <w:trPr>
          <w:trHeight w:val="390" w:hRule="atLeast"/>
        </w:trPr>
        <w:tc>
          <w:tcPr>
            <w:tcW w:w="2383" w:type="dxa"/>
            <w:vAlign w:val="top"/>
            <w:tcBorders>
              <w:left w:val="nil"/>
            </w:tcBorders>
          </w:tcPr>
          <w:p>
            <w:pPr>
              <w:pStyle w:val="TableText"/>
              <w:ind w:left="347"/>
              <w:spacing w:before="111" w:line="213" w:lineRule="auto"/>
              <w:rPr/>
            </w:pPr>
            <w:r>
              <w:rPr>
                <w:spacing w:val="-1"/>
              </w:rPr>
              <w:t>重碳酸根（</w:t>
            </w:r>
            <w:r>
              <w:rPr>
                <w:rFonts w:ascii="Times New Roman" w:hAnsi="Times New Roman" w:eastAsia="Times New Roman" w:cs="Times New Roman"/>
                <w:spacing w:val="-1"/>
              </w:rPr>
              <w:t>mg/L</w:t>
            </w:r>
            <w:r>
              <w:rPr>
                <w:spacing w:val="-1"/>
              </w:rPr>
              <w:t>）</w:t>
            </w:r>
          </w:p>
        </w:tc>
        <w:tc>
          <w:tcPr>
            <w:tcW w:w="1671" w:type="dxa"/>
            <w:vAlign w:val="top"/>
          </w:tcPr>
          <w:p>
            <w:pPr>
              <w:ind w:left="681"/>
              <w:spacing w:before="13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332</w:t>
            </w:r>
          </w:p>
        </w:tc>
        <w:tc>
          <w:tcPr>
            <w:tcW w:w="2492" w:type="dxa"/>
            <w:vAlign w:val="top"/>
          </w:tcPr>
          <w:p>
            <w:pPr>
              <w:ind w:left="1093"/>
              <w:spacing w:before="13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315</w:t>
            </w:r>
          </w:p>
        </w:tc>
        <w:tc>
          <w:tcPr>
            <w:tcW w:w="2189" w:type="dxa"/>
            <w:vAlign w:val="top"/>
            <w:tcBorders>
              <w:right w:val="nil"/>
            </w:tcBorders>
          </w:tcPr>
          <w:p>
            <w:pPr>
              <w:ind w:left="942"/>
              <w:spacing w:before="13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302</w:t>
            </w:r>
          </w:p>
        </w:tc>
      </w:tr>
      <w:tr>
        <w:trPr>
          <w:trHeight w:val="393" w:hRule="atLeast"/>
        </w:trPr>
        <w:tc>
          <w:tcPr>
            <w:tcW w:w="2383" w:type="dxa"/>
            <w:vAlign w:val="top"/>
            <w:tcBorders>
              <w:left w:val="nil"/>
            </w:tcBorders>
          </w:tcPr>
          <w:p>
            <w:pPr>
              <w:pStyle w:val="TableText"/>
              <w:ind w:left="451"/>
              <w:spacing w:before="126" w:line="213" w:lineRule="auto"/>
              <w:rPr/>
            </w:pPr>
            <w:r>
              <w:rPr>
                <w:spacing w:val="-1"/>
              </w:rPr>
              <w:t>硫酸根（</w:t>
            </w:r>
            <w:r>
              <w:rPr>
                <w:rFonts w:ascii="Times New Roman" w:hAnsi="Times New Roman" w:eastAsia="Times New Roman" w:cs="Times New Roman"/>
                <w:spacing w:val="-1"/>
              </w:rPr>
              <w:t>mg/L</w:t>
            </w:r>
            <w:r>
              <w:rPr>
                <w:spacing w:val="-1"/>
              </w:rPr>
              <w:t>）</w:t>
            </w:r>
          </w:p>
        </w:tc>
        <w:tc>
          <w:tcPr>
            <w:tcW w:w="1671" w:type="dxa"/>
            <w:vAlign w:val="top"/>
          </w:tcPr>
          <w:p>
            <w:pPr>
              <w:ind w:left="654"/>
              <w:spacing w:before="13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95.3</w:t>
            </w:r>
          </w:p>
        </w:tc>
        <w:tc>
          <w:tcPr>
            <w:tcW w:w="2492" w:type="dxa"/>
            <w:vAlign w:val="top"/>
          </w:tcPr>
          <w:p>
            <w:pPr>
              <w:ind w:left="1109"/>
              <w:spacing w:before="13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125</w:t>
            </w:r>
          </w:p>
        </w:tc>
        <w:tc>
          <w:tcPr>
            <w:tcW w:w="2189" w:type="dxa"/>
            <w:vAlign w:val="top"/>
            <w:tcBorders>
              <w:right w:val="nil"/>
            </w:tcBorders>
          </w:tcPr>
          <w:p>
            <w:pPr>
              <w:ind w:left="963"/>
              <w:spacing w:before="13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116</w:t>
            </w:r>
          </w:p>
        </w:tc>
      </w:tr>
      <w:tr>
        <w:trPr>
          <w:trHeight w:val="390" w:hRule="atLeast"/>
        </w:trPr>
        <w:tc>
          <w:tcPr>
            <w:tcW w:w="2383" w:type="dxa"/>
            <w:vAlign w:val="top"/>
            <w:tcBorders>
              <w:left w:val="nil"/>
            </w:tcBorders>
          </w:tcPr>
          <w:p>
            <w:pPr>
              <w:pStyle w:val="TableText"/>
              <w:ind w:left="455"/>
              <w:spacing w:before="124" w:line="213" w:lineRule="auto"/>
              <w:rPr/>
            </w:pPr>
            <w:r>
              <w:rPr>
                <w:spacing w:val="-2"/>
              </w:rPr>
              <w:t>氯离子（</w:t>
            </w:r>
            <w:r>
              <w:rPr>
                <w:rFonts w:ascii="Times New Roman" w:hAnsi="Times New Roman" w:eastAsia="Times New Roman" w:cs="Times New Roman"/>
                <w:spacing w:val="-2"/>
              </w:rPr>
              <w:t>mg/L</w:t>
            </w:r>
            <w:r>
              <w:rPr>
                <w:spacing w:val="-2"/>
              </w:rPr>
              <w:t>）</w:t>
            </w:r>
          </w:p>
        </w:tc>
        <w:tc>
          <w:tcPr>
            <w:tcW w:w="1671" w:type="dxa"/>
            <w:vAlign w:val="top"/>
          </w:tcPr>
          <w:p>
            <w:pPr>
              <w:ind w:left="654"/>
              <w:spacing w:before="13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96.0</w:t>
            </w:r>
          </w:p>
        </w:tc>
        <w:tc>
          <w:tcPr>
            <w:tcW w:w="2492" w:type="dxa"/>
            <w:vAlign w:val="top"/>
          </w:tcPr>
          <w:p>
            <w:pPr>
              <w:ind w:left="1068"/>
              <w:spacing w:before="13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52.4</w:t>
            </w:r>
          </w:p>
        </w:tc>
        <w:tc>
          <w:tcPr>
            <w:tcW w:w="2189" w:type="dxa"/>
            <w:vAlign w:val="top"/>
            <w:tcBorders>
              <w:right w:val="nil"/>
            </w:tcBorders>
          </w:tcPr>
          <w:p>
            <w:pPr>
              <w:ind w:left="920"/>
              <w:spacing w:before="13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89.7</w:t>
            </w:r>
          </w:p>
        </w:tc>
      </w:tr>
      <w:tr>
        <w:trPr>
          <w:trHeight w:val="416" w:hRule="atLeast"/>
        </w:trPr>
        <w:tc>
          <w:tcPr>
            <w:tcW w:w="2383" w:type="dxa"/>
            <w:vAlign w:val="top"/>
            <w:tcBorders>
              <w:left w:val="nil"/>
              <w:bottom w:val="single" w:color="000000" w:sz="10" w:space="0"/>
            </w:tcBorders>
          </w:tcPr>
          <w:p>
            <w:pPr>
              <w:pStyle w:val="TableText"/>
              <w:ind w:left="140"/>
              <w:spacing w:before="113" w:line="213" w:lineRule="auto"/>
              <w:rPr/>
            </w:pPr>
            <w:r>
              <w:rPr>
                <w:spacing w:val="-1"/>
              </w:rPr>
              <w:t>溶解性总固体（</w:t>
            </w:r>
            <w:r>
              <w:rPr>
                <w:rFonts w:ascii="Times New Roman" w:hAnsi="Times New Roman" w:eastAsia="Times New Roman" w:cs="Times New Roman"/>
                <w:spacing w:val="-1"/>
              </w:rPr>
              <w:t>mg/L</w:t>
            </w:r>
            <w:r>
              <w:rPr>
                <w:spacing w:val="-1"/>
              </w:rPr>
              <w:t>）</w:t>
            </w:r>
          </w:p>
        </w:tc>
        <w:tc>
          <w:tcPr>
            <w:tcW w:w="1671" w:type="dxa"/>
            <w:vAlign w:val="top"/>
            <w:tcBorders>
              <w:bottom w:val="single" w:color="000000" w:sz="10" w:space="0"/>
            </w:tcBorders>
          </w:tcPr>
          <w:p>
            <w:pPr>
              <w:ind w:left="680"/>
              <w:spacing w:before="10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761</w:t>
            </w:r>
          </w:p>
        </w:tc>
        <w:tc>
          <w:tcPr>
            <w:tcW w:w="2492" w:type="dxa"/>
            <w:vAlign w:val="top"/>
            <w:tcBorders>
              <w:bottom w:val="single" w:color="000000" w:sz="10" w:space="0"/>
            </w:tcBorders>
          </w:tcPr>
          <w:p>
            <w:pPr>
              <w:ind w:left="1098"/>
              <w:spacing w:before="10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806</w:t>
            </w:r>
          </w:p>
        </w:tc>
        <w:tc>
          <w:tcPr>
            <w:tcW w:w="2189" w:type="dxa"/>
            <w:vAlign w:val="top"/>
            <w:tcBorders>
              <w:right w:val="nil"/>
              <w:bottom w:val="single" w:color="000000" w:sz="10" w:space="0"/>
            </w:tcBorders>
          </w:tcPr>
          <w:p>
            <w:pPr>
              <w:ind w:left="946"/>
              <w:spacing w:before="10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855</w:t>
            </w:r>
          </w:p>
        </w:tc>
      </w:tr>
    </w:tbl>
    <w:p>
      <w:pPr>
        <w:pStyle w:val="BodyText"/>
        <w:rPr/>
      </w:pPr>
      <w:r/>
    </w:p>
    <w:p>
      <w:pPr>
        <w:sectPr>
          <w:headerReference w:type="default" r:id="rId95"/>
          <w:footerReference w:type="default" r:id="rId99"/>
          <w:pgSz w:w="11907" w:h="16839"/>
          <w:pgMar w:top="1582" w:right="1591" w:bottom="1235" w:left="1579" w:header="1241" w:footer="992" w:gutter="0"/>
        </w:sectPr>
        <w:rPr/>
      </w:pPr>
    </w:p>
    <w:p>
      <w:pPr>
        <w:ind w:left="3047"/>
        <w:spacing w:before="233"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4-4      </w:t>
      </w:r>
      <w:r>
        <w:rPr>
          <w:rFonts w:ascii="SimSun" w:hAnsi="SimSun" w:eastAsia="SimSun" w:cs="SimSun"/>
          <w:sz w:val="24"/>
          <w:szCs w:val="24"/>
          <w:b/>
          <w:bCs/>
          <w:spacing w:val="-2"/>
        </w:rPr>
        <w:t>地下水水位监测结果</w:t>
      </w:r>
    </w:p>
    <w:p>
      <w:pPr>
        <w:spacing w:line="5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92"/>
        <w:gridCol w:w="1089"/>
        <w:gridCol w:w="1090"/>
        <w:gridCol w:w="1090"/>
        <w:gridCol w:w="1085"/>
        <w:gridCol w:w="1089"/>
        <w:gridCol w:w="1100"/>
      </w:tblGrid>
      <w:tr>
        <w:trPr>
          <w:trHeight w:val="369" w:hRule="atLeast"/>
        </w:trPr>
        <w:tc>
          <w:tcPr>
            <w:tcW w:w="2192" w:type="dxa"/>
            <w:vAlign w:val="top"/>
            <w:vMerge w:val="restart"/>
            <w:tcBorders>
              <w:top w:val="single" w:color="000000" w:sz="10" w:space="0"/>
              <w:left w:val="nil"/>
              <w:bottom w:val="nil"/>
            </w:tcBorders>
          </w:tcPr>
          <w:p>
            <w:pPr>
              <w:spacing w:line="363" w:lineRule="auto"/>
              <w:rPr>
                <w:rFonts w:ascii="Arial"/>
                <w:sz w:val="21"/>
              </w:rPr>
            </w:pPr>
            <w:r/>
          </w:p>
          <w:p>
            <w:pPr>
              <w:pStyle w:val="TableText"/>
              <w:ind w:left="690"/>
              <w:spacing w:before="69" w:line="222" w:lineRule="auto"/>
              <w:rPr/>
            </w:pPr>
            <w:r>
              <w:rPr>
                <w:spacing w:val="-2"/>
              </w:rPr>
              <w:t>监测点位</w:t>
            </w:r>
          </w:p>
        </w:tc>
        <w:tc>
          <w:tcPr>
            <w:tcW w:w="6543" w:type="dxa"/>
            <w:vAlign w:val="top"/>
            <w:gridSpan w:val="6"/>
            <w:tcBorders>
              <w:top w:val="single" w:color="000000" w:sz="10" w:space="0"/>
              <w:right w:val="nil"/>
            </w:tcBorders>
          </w:tcPr>
          <w:p>
            <w:pPr>
              <w:pStyle w:val="TableText"/>
              <w:ind w:left="2855"/>
              <w:spacing w:before="81" w:line="221" w:lineRule="auto"/>
              <w:rPr/>
            </w:pPr>
            <w:r>
              <w:rPr>
                <w:spacing w:val="-2"/>
              </w:rPr>
              <w:t>监测日期</w:t>
            </w:r>
          </w:p>
        </w:tc>
      </w:tr>
      <w:tr>
        <w:trPr>
          <w:trHeight w:val="387" w:hRule="atLeast"/>
        </w:trPr>
        <w:tc>
          <w:tcPr>
            <w:tcW w:w="2192" w:type="dxa"/>
            <w:vAlign w:val="top"/>
            <w:vMerge w:val="continue"/>
            <w:tcBorders>
              <w:top w:val="nil"/>
              <w:left w:val="nil"/>
              <w:bottom w:val="nil"/>
            </w:tcBorders>
          </w:tcPr>
          <w:p>
            <w:pPr>
              <w:rPr>
                <w:rFonts w:ascii="Arial"/>
                <w:sz w:val="21"/>
              </w:rPr>
            </w:pPr>
            <w:r/>
          </w:p>
        </w:tc>
        <w:tc>
          <w:tcPr>
            <w:tcW w:w="6543" w:type="dxa"/>
            <w:vAlign w:val="top"/>
            <w:gridSpan w:val="6"/>
            <w:tcBorders>
              <w:right w:val="nil"/>
            </w:tcBorders>
          </w:tcPr>
          <w:p>
            <w:pPr>
              <w:ind w:left="2735"/>
              <w:spacing w:before="12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2024.7.5-7.7</w:t>
            </w:r>
          </w:p>
        </w:tc>
      </w:tr>
      <w:tr>
        <w:trPr>
          <w:trHeight w:val="297" w:hRule="atLeast"/>
        </w:trPr>
        <w:tc>
          <w:tcPr>
            <w:tcW w:w="2192" w:type="dxa"/>
            <w:vAlign w:val="top"/>
            <w:vMerge w:val="continue"/>
            <w:tcBorders>
              <w:top w:val="nil"/>
              <w:left w:val="nil"/>
            </w:tcBorders>
          </w:tcPr>
          <w:p>
            <w:pPr>
              <w:rPr>
                <w:rFonts w:ascii="Arial"/>
                <w:sz w:val="21"/>
              </w:rPr>
            </w:pPr>
            <w:r/>
          </w:p>
        </w:tc>
        <w:tc>
          <w:tcPr>
            <w:tcW w:w="1089" w:type="dxa"/>
            <w:vAlign w:val="top"/>
          </w:tcPr>
          <w:p>
            <w:pPr>
              <w:ind w:left="458"/>
              <w:spacing w:before="8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p>
        </w:tc>
        <w:tc>
          <w:tcPr>
            <w:tcW w:w="1090" w:type="dxa"/>
            <w:vAlign w:val="top"/>
          </w:tcPr>
          <w:p>
            <w:pPr>
              <w:ind w:left="441"/>
              <w:spacing w:before="8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p>
        </w:tc>
        <w:tc>
          <w:tcPr>
            <w:tcW w:w="1090" w:type="dxa"/>
            <w:vAlign w:val="top"/>
          </w:tcPr>
          <w:p>
            <w:pPr>
              <w:ind w:left="445"/>
              <w:spacing w:before="8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p>
        </w:tc>
        <w:tc>
          <w:tcPr>
            <w:tcW w:w="1085" w:type="dxa"/>
            <w:vAlign w:val="top"/>
          </w:tcPr>
          <w:p>
            <w:pPr>
              <w:ind w:left="437"/>
              <w:spacing w:before="8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p>
        </w:tc>
        <w:tc>
          <w:tcPr>
            <w:tcW w:w="1089" w:type="dxa"/>
            <w:vAlign w:val="top"/>
          </w:tcPr>
          <w:p>
            <w:pPr>
              <w:ind w:left="447"/>
              <w:spacing w:before="8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w:t>
            </w:r>
          </w:p>
        </w:tc>
        <w:tc>
          <w:tcPr>
            <w:tcW w:w="1100" w:type="dxa"/>
            <w:vAlign w:val="top"/>
            <w:tcBorders>
              <w:right w:val="nil"/>
            </w:tcBorders>
          </w:tcPr>
          <w:p>
            <w:pPr>
              <w:ind w:left="451"/>
              <w:spacing w:before="8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w:t>
            </w:r>
          </w:p>
        </w:tc>
      </w:tr>
      <w:tr>
        <w:trPr>
          <w:trHeight w:val="410" w:hRule="atLeast"/>
        </w:trPr>
        <w:tc>
          <w:tcPr>
            <w:tcW w:w="2192" w:type="dxa"/>
            <w:vAlign w:val="top"/>
            <w:tcBorders>
              <w:bottom w:val="single" w:color="000000" w:sz="10" w:space="0"/>
              <w:left w:val="nil"/>
            </w:tcBorders>
          </w:tcPr>
          <w:p>
            <w:pPr>
              <w:pStyle w:val="TableText"/>
              <w:ind w:left="608"/>
              <w:spacing w:before="105" w:line="241" w:lineRule="auto"/>
              <w:rPr/>
            </w:pPr>
            <w:r>
              <w:rPr>
                <w:spacing w:val="-2"/>
              </w:rPr>
              <w:t>水位（</w:t>
            </w:r>
            <w:r>
              <w:rPr>
                <w:rFonts w:ascii="Calibri" w:hAnsi="Calibri" w:eastAsia="Calibri" w:cs="Calibri"/>
                <w:spacing w:val="-2"/>
              </w:rPr>
              <w:t>m</w:t>
            </w:r>
            <w:r>
              <w:rPr>
                <w:spacing w:val="-2"/>
              </w:rPr>
              <w:t>）</w:t>
            </w:r>
          </w:p>
        </w:tc>
        <w:tc>
          <w:tcPr>
            <w:tcW w:w="1089" w:type="dxa"/>
            <w:vAlign w:val="top"/>
            <w:tcBorders>
              <w:bottom w:val="single" w:color="000000" w:sz="10" w:space="0"/>
            </w:tcBorders>
          </w:tcPr>
          <w:p>
            <w:pPr>
              <w:ind w:left="441"/>
              <w:spacing w:before="13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w:t>
            </w:r>
          </w:p>
        </w:tc>
        <w:tc>
          <w:tcPr>
            <w:tcW w:w="1090" w:type="dxa"/>
            <w:vAlign w:val="top"/>
            <w:tcBorders>
              <w:bottom w:val="single" w:color="000000" w:sz="10" w:space="0"/>
            </w:tcBorders>
          </w:tcPr>
          <w:p>
            <w:pPr>
              <w:ind w:left="446"/>
              <w:spacing w:before="13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1090" w:type="dxa"/>
            <w:vAlign w:val="top"/>
            <w:tcBorders>
              <w:bottom w:val="single" w:color="000000" w:sz="10" w:space="0"/>
            </w:tcBorders>
          </w:tcPr>
          <w:p>
            <w:pPr>
              <w:ind w:left="447"/>
              <w:spacing w:before="13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085" w:type="dxa"/>
            <w:vAlign w:val="top"/>
            <w:tcBorders>
              <w:bottom w:val="single" w:color="000000" w:sz="10" w:space="0"/>
            </w:tcBorders>
          </w:tcPr>
          <w:p>
            <w:pPr>
              <w:ind w:left="444"/>
              <w:spacing w:before="13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089" w:type="dxa"/>
            <w:vAlign w:val="top"/>
            <w:tcBorders>
              <w:bottom w:val="single" w:color="000000" w:sz="10" w:space="0"/>
            </w:tcBorders>
          </w:tcPr>
          <w:p>
            <w:pPr>
              <w:ind w:left="441"/>
              <w:spacing w:before="13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100" w:type="dxa"/>
            <w:vAlign w:val="top"/>
            <w:tcBorders>
              <w:bottom w:val="single" w:color="000000" w:sz="10" w:space="0"/>
              <w:right w:val="nil"/>
            </w:tcBorders>
          </w:tcPr>
          <w:p>
            <w:pPr>
              <w:ind w:left="455"/>
              <w:spacing w:before="13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r>
    </w:tbl>
    <w:p>
      <w:pPr>
        <w:ind w:left="618"/>
        <w:spacing w:before="273"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）评价方法</w:t>
      </w:r>
    </w:p>
    <w:p>
      <w:pPr>
        <w:ind w:left="3991" w:right="1228" w:hanging="3381"/>
        <w:spacing w:before="214" w:line="535" w:lineRule="exact"/>
        <w:rPr/>
      </w:pPr>
      <w:r>
        <w:rPr>
          <w:rFonts w:ascii="SimSun" w:hAnsi="SimSun" w:eastAsia="SimSun" w:cs="SimSun"/>
          <w:sz w:val="24"/>
          <w:szCs w:val="24"/>
          <w:spacing w:val="-2"/>
          <w:position w:val="22"/>
        </w:rPr>
        <w:t>采用标准指数法对地下水现状监测结果进行评价，</w:t>
      </w:r>
      <w:r>
        <w:rPr>
          <w:rFonts w:ascii="SimSun" w:hAnsi="SimSun" w:eastAsia="SimSun" w:cs="SimSun"/>
          <w:sz w:val="24"/>
          <w:szCs w:val="24"/>
          <w:spacing w:val="-3"/>
          <w:position w:val="22"/>
        </w:rPr>
        <w:t>评价模式如下：</w:t>
      </w:r>
      <w:r>
        <w:rPr>
          <w:rFonts w:ascii="SimSun" w:hAnsi="SimSun" w:eastAsia="SimSun" w:cs="SimSun"/>
          <w:sz w:val="24"/>
          <w:szCs w:val="24"/>
          <w:position w:val="22"/>
        </w:rPr>
        <w:t xml:space="preserve"> </w:t>
      </w:r>
      <w:r>
        <w:rPr>
          <w:position w:val="-16"/>
        </w:rPr>
        <w:drawing>
          <wp:inline distT="0" distB="0" distL="0" distR="0">
            <wp:extent cx="488346" cy="375504"/>
            <wp:effectExtent l="0" t="0" r="0" b="0"/>
            <wp:docPr id="10" name="IM 10"/>
            <wp:cNvGraphicFramePr/>
            <a:graphic>
              <a:graphicData uri="http://schemas.openxmlformats.org/drawingml/2006/picture">
                <pic:pic>
                  <pic:nvPicPr>
                    <pic:cNvPr id="10" name="IM 10"/>
                    <pic:cNvPicPr/>
                  </pic:nvPicPr>
                  <pic:blipFill>
                    <a:blip r:embed="rId102"/>
                    <a:stretch>
                      <a:fillRect/>
                    </a:stretch>
                  </pic:blipFill>
                  <pic:spPr>
                    <a:xfrm rot="0">
                      <a:off x="0" y="0"/>
                      <a:ext cx="488346" cy="375504"/>
                    </a:xfrm>
                    <a:prstGeom prst="rect">
                      <a:avLst/>
                    </a:prstGeom>
                  </pic:spPr>
                </pic:pic>
              </a:graphicData>
            </a:graphic>
          </wp:inline>
        </w:drawing>
      </w:r>
    </w:p>
    <w:p>
      <w:pPr>
        <w:pStyle w:val="BodyText"/>
        <w:spacing w:line="388" w:lineRule="auto"/>
        <w:rPr/>
      </w:pPr>
      <w:r/>
    </w:p>
    <w:p>
      <w:pPr>
        <w:ind w:left="616"/>
        <w:spacing w:before="78"/>
        <w:rPr>
          <w:rFonts w:ascii="SimSun" w:hAnsi="SimSun" w:eastAsia="SimSun" w:cs="SimSun"/>
          <w:sz w:val="24"/>
          <w:szCs w:val="24"/>
        </w:rPr>
      </w:pPr>
      <w:r>
        <w:rPr>
          <w:rFonts w:ascii="SimSun" w:hAnsi="SimSun" w:eastAsia="SimSun" w:cs="SimSun"/>
          <w:sz w:val="24"/>
          <w:szCs w:val="24"/>
          <w:spacing w:val="-3"/>
        </w:rPr>
        <w:t>式中：</w:t>
      </w:r>
      <w:r>
        <w:rPr>
          <w:rFonts w:ascii="Times New Roman" w:hAnsi="Times New Roman" w:eastAsia="Times New Roman" w:cs="Times New Roman"/>
          <w:sz w:val="24"/>
          <w:szCs w:val="24"/>
          <w:spacing w:val="-3"/>
        </w:rPr>
        <w:t>P</w:t>
      </w:r>
      <w:r>
        <w:rPr>
          <w:rFonts w:ascii="Times New Roman" w:hAnsi="Times New Roman" w:eastAsia="Times New Roman" w:cs="Times New Roman"/>
          <w:sz w:val="16"/>
          <w:szCs w:val="16"/>
          <w:spacing w:val="-3"/>
          <w:position w:val="-3"/>
        </w:rPr>
        <w:t>i</w:t>
      </w:r>
      <w:r>
        <w:rPr>
          <w:rFonts w:ascii="Times New Roman" w:hAnsi="Times New Roman" w:eastAsia="Times New Roman" w:cs="Times New Roman"/>
          <w:sz w:val="24"/>
          <w:szCs w:val="24"/>
          <w:spacing w:val="-3"/>
        </w:rPr>
        <w:t>—</w:t>
      </w:r>
      <w:r>
        <w:rPr>
          <w:rFonts w:ascii="SimSun" w:hAnsi="SimSun" w:eastAsia="SimSun" w:cs="SimSun"/>
          <w:sz w:val="24"/>
          <w:szCs w:val="24"/>
          <w:spacing w:val="-3"/>
        </w:rPr>
        <w:t>第</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3"/>
        </w:rPr>
        <w:t>i </w:t>
      </w:r>
      <w:r>
        <w:rPr>
          <w:rFonts w:ascii="SimSun" w:hAnsi="SimSun" w:eastAsia="SimSun" w:cs="SimSun"/>
          <w:sz w:val="24"/>
          <w:szCs w:val="24"/>
          <w:spacing w:val="-3"/>
        </w:rPr>
        <w:t>个水质因子的标准指数，无量纲；</w:t>
      </w:r>
    </w:p>
    <w:p>
      <w:pPr>
        <w:ind w:left="1330"/>
        <w:spacing w:before="133" w:line="212" w:lineRule="auto"/>
        <w:rPr>
          <w:rFonts w:ascii="SimSun" w:hAnsi="SimSun" w:eastAsia="SimSun" w:cs="SimSun"/>
          <w:sz w:val="24"/>
          <w:szCs w:val="24"/>
        </w:rPr>
      </w:pPr>
      <w:r>
        <w:rPr>
          <w:rFonts w:ascii="Times New Roman" w:hAnsi="Times New Roman" w:eastAsia="Times New Roman" w:cs="Times New Roman"/>
          <w:sz w:val="24"/>
          <w:szCs w:val="24"/>
          <w:spacing w:val="-1"/>
        </w:rPr>
        <w:t>Ci—</w:t>
      </w:r>
      <w:r>
        <w:rPr>
          <w:rFonts w:ascii="SimSun" w:hAnsi="SimSun" w:eastAsia="SimSun" w:cs="SimSun"/>
          <w:sz w:val="24"/>
          <w:szCs w:val="24"/>
          <w:spacing w:val="-1"/>
        </w:rPr>
        <w:t>第</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个水质因子的监测浓度值，</w:t>
      </w:r>
      <w:r>
        <w:rPr>
          <w:rFonts w:ascii="Times New Roman" w:hAnsi="Times New Roman" w:eastAsia="Times New Roman" w:cs="Times New Roman"/>
          <w:sz w:val="24"/>
          <w:szCs w:val="24"/>
          <w:spacing w:val="-1"/>
        </w:rPr>
        <w:t>mg/L</w:t>
      </w:r>
      <w:r>
        <w:rPr>
          <w:rFonts w:ascii="SimSun" w:hAnsi="SimSun" w:eastAsia="SimSun" w:cs="SimSun"/>
          <w:sz w:val="24"/>
          <w:szCs w:val="24"/>
          <w:spacing w:val="-1"/>
        </w:rPr>
        <w:t>；</w:t>
      </w:r>
    </w:p>
    <w:p>
      <w:pPr>
        <w:ind w:left="1330"/>
        <w:spacing w:before="170" w:line="223"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16"/>
          <w:szCs w:val="16"/>
          <w:spacing w:val="-1"/>
          <w:position w:val="-2"/>
        </w:rPr>
        <w:t>si</w:t>
      </w:r>
      <w:r>
        <w:rPr>
          <w:rFonts w:ascii="Times New Roman" w:hAnsi="Times New Roman" w:eastAsia="Times New Roman" w:cs="Times New Roman"/>
          <w:sz w:val="24"/>
          <w:szCs w:val="24"/>
          <w:spacing w:val="-1"/>
        </w:rPr>
        <w:t>—</w:t>
      </w:r>
      <w:r>
        <w:rPr>
          <w:rFonts w:ascii="SimSun" w:hAnsi="SimSun" w:eastAsia="SimSun" w:cs="SimSun"/>
          <w:sz w:val="24"/>
          <w:szCs w:val="24"/>
          <w:spacing w:val="-1"/>
        </w:rPr>
        <w:t>第</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个水质因子的标准浓度值，</w:t>
      </w:r>
      <w:r>
        <w:rPr>
          <w:rFonts w:ascii="Times New Roman" w:hAnsi="Times New Roman" w:eastAsia="Times New Roman" w:cs="Times New Roman"/>
          <w:sz w:val="24"/>
          <w:szCs w:val="24"/>
          <w:spacing w:val="-1"/>
        </w:rPr>
        <w:t>mg/L</w:t>
      </w:r>
      <w:r>
        <w:rPr>
          <w:rFonts w:ascii="SimSun" w:hAnsi="SimSun" w:eastAsia="SimSun" w:cs="SimSun"/>
          <w:sz w:val="24"/>
          <w:szCs w:val="24"/>
          <w:spacing w:val="-1"/>
        </w:rPr>
        <w:t>。</w:t>
      </w:r>
    </w:p>
    <w:p>
      <w:pPr>
        <w:ind w:left="601"/>
        <w:spacing w:before="156" w:line="213" w:lineRule="auto"/>
        <w:rPr>
          <w:rFonts w:ascii="SimSun" w:hAnsi="SimSun" w:eastAsia="SimSun" w:cs="SimSun"/>
          <w:sz w:val="24"/>
          <w:szCs w:val="24"/>
        </w:rPr>
      </w:pPr>
      <w:r>
        <w:rPr>
          <w:rFonts w:ascii="Times New Roman" w:hAnsi="Times New Roman" w:eastAsia="Times New Roman" w:cs="Times New Roman"/>
          <w:sz w:val="24"/>
          <w:szCs w:val="24"/>
          <w:spacing w:val="-8"/>
        </w:rPr>
        <w:t>pH</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8"/>
        </w:rPr>
        <w:t>的标准指数公式：</w:t>
      </w:r>
    </w:p>
    <w:p>
      <w:pPr>
        <w:spacing w:line="130" w:lineRule="exact"/>
        <w:rPr/>
      </w:pPr>
      <w:r/>
    </w:p>
    <w:tbl>
      <w:tblPr>
        <w:tblStyle w:val="TableNormal"/>
        <w:tblW w:w="6085" w:type="dxa"/>
        <w:tblInd w:w="61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671"/>
        <w:gridCol w:w="1414"/>
      </w:tblGrid>
      <w:tr>
        <w:trPr>
          <w:trHeight w:val="836" w:hRule="atLeast"/>
        </w:trPr>
        <w:tc>
          <w:tcPr>
            <w:tcW w:w="4671" w:type="dxa"/>
            <w:vAlign w:val="top"/>
          </w:tcPr>
          <w:p>
            <w:pPr>
              <w:ind w:left="949"/>
              <w:spacing w:line="592" w:lineRule="exact"/>
              <w:rPr/>
            </w:pPr>
            <w:r>
              <w:rPr>
                <w:position w:val="-12"/>
              </w:rPr>
              <w:drawing>
                <wp:inline distT="0" distB="0" distL="0" distR="0">
                  <wp:extent cx="1039338" cy="375933"/>
                  <wp:effectExtent l="0" t="0" r="0" b="0"/>
                  <wp:docPr id="12" name="IM 12"/>
                  <wp:cNvGraphicFramePr/>
                  <a:graphic>
                    <a:graphicData uri="http://schemas.openxmlformats.org/drawingml/2006/picture">
                      <pic:pic>
                        <pic:nvPicPr>
                          <pic:cNvPr id="12" name="IM 12"/>
                          <pic:cNvPicPr/>
                        </pic:nvPicPr>
                        <pic:blipFill>
                          <a:blip r:embed="rId103"/>
                          <a:stretch>
                            <a:fillRect/>
                          </a:stretch>
                        </pic:blipFill>
                        <pic:spPr>
                          <a:xfrm rot="0">
                            <a:off x="0" y="0"/>
                            <a:ext cx="1039338" cy="375933"/>
                          </a:xfrm>
                          <a:prstGeom prst="rect">
                            <a:avLst/>
                          </a:prstGeom>
                        </pic:spPr>
                      </pic:pic>
                    </a:graphicData>
                  </a:graphic>
                </wp:inline>
              </w:drawing>
            </w:r>
          </w:p>
        </w:tc>
        <w:tc>
          <w:tcPr>
            <w:tcW w:w="1414" w:type="dxa"/>
            <w:vAlign w:val="top"/>
          </w:tcPr>
          <w:p>
            <w:pPr>
              <w:ind w:left="600"/>
              <w:spacing w:before="149" w:line="19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pH≤7.0</w:t>
            </w:r>
          </w:p>
        </w:tc>
      </w:tr>
      <w:tr>
        <w:trPr>
          <w:trHeight w:val="1043" w:hRule="atLeast"/>
        </w:trPr>
        <w:tc>
          <w:tcPr>
            <w:tcW w:w="4671" w:type="dxa"/>
            <w:vAlign w:val="top"/>
          </w:tcPr>
          <w:p>
            <w:pPr>
              <w:spacing w:line="242" w:lineRule="auto"/>
              <w:rPr>
                <w:rFonts w:ascii="Arial"/>
                <w:sz w:val="21"/>
              </w:rPr>
            </w:pPr>
            <w:r/>
          </w:p>
          <w:p>
            <w:pPr>
              <w:ind w:left="949"/>
              <w:spacing w:line="593" w:lineRule="exact"/>
              <w:rPr/>
            </w:pPr>
            <w:r>
              <w:rPr>
                <w:position w:val="-12"/>
              </w:rPr>
              <w:drawing>
                <wp:inline distT="0" distB="0" distL="0" distR="0">
                  <wp:extent cx="1023604" cy="376240"/>
                  <wp:effectExtent l="0" t="0" r="0" b="0"/>
                  <wp:docPr id="14" name="IM 14"/>
                  <wp:cNvGraphicFramePr/>
                  <a:graphic>
                    <a:graphicData uri="http://schemas.openxmlformats.org/drawingml/2006/picture">
                      <pic:pic>
                        <pic:nvPicPr>
                          <pic:cNvPr id="14" name="IM 14"/>
                          <pic:cNvPicPr/>
                        </pic:nvPicPr>
                        <pic:blipFill>
                          <a:blip r:embed="rId104"/>
                          <a:stretch>
                            <a:fillRect/>
                          </a:stretch>
                        </pic:blipFill>
                        <pic:spPr>
                          <a:xfrm rot="0">
                            <a:off x="0" y="0"/>
                            <a:ext cx="1023604" cy="376240"/>
                          </a:xfrm>
                          <a:prstGeom prst="rect">
                            <a:avLst/>
                          </a:prstGeom>
                        </pic:spPr>
                      </pic:pic>
                    </a:graphicData>
                  </a:graphic>
                </wp:inline>
              </w:drawing>
            </w:r>
          </w:p>
        </w:tc>
        <w:tc>
          <w:tcPr>
            <w:tcW w:w="1414" w:type="dxa"/>
            <w:vAlign w:val="top"/>
          </w:tcPr>
          <w:p>
            <w:pPr>
              <w:spacing w:line="273" w:lineRule="auto"/>
              <w:rPr>
                <w:rFonts w:ascii="Arial"/>
                <w:sz w:val="21"/>
              </w:rPr>
            </w:pPr>
            <w:r/>
          </w:p>
          <w:p>
            <w:pPr>
              <w:pStyle w:val="TableText"/>
              <w:spacing w:before="78" w:line="213"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pH</w:t>
            </w:r>
            <w:r>
              <w:rPr>
                <w:sz w:val="24"/>
                <w:szCs w:val="24"/>
                <w:spacing w:val="-1"/>
              </w:rPr>
              <w:t>＞</w:t>
            </w:r>
            <w:r>
              <w:rPr>
                <w:rFonts w:ascii="Times New Roman" w:hAnsi="Times New Roman" w:eastAsia="Times New Roman" w:cs="Times New Roman"/>
                <w:sz w:val="24"/>
                <w:szCs w:val="24"/>
                <w:spacing w:val="-1"/>
              </w:rPr>
              <w:t>7.0</w:t>
            </w:r>
          </w:p>
        </w:tc>
      </w:tr>
      <w:tr>
        <w:trPr>
          <w:trHeight w:val="478" w:hRule="atLeast"/>
        </w:trPr>
        <w:tc>
          <w:tcPr>
            <w:tcW w:w="4671" w:type="dxa"/>
            <w:vAlign w:val="top"/>
          </w:tcPr>
          <w:p>
            <w:pPr>
              <w:pStyle w:val="TableText"/>
              <w:spacing w:before="205" w:line="202" w:lineRule="auto"/>
              <w:rPr>
                <w:sz w:val="24"/>
                <w:szCs w:val="24"/>
              </w:rPr>
            </w:pPr>
            <w:r>
              <w:rPr>
                <w:sz w:val="24"/>
                <w:szCs w:val="24"/>
                <w:spacing w:val="-5"/>
              </w:rPr>
              <w:t>式中：</w:t>
            </w:r>
            <w:r>
              <w:rPr>
                <w:rFonts w:ascii="Times New Roman" w:hAnsi="Times New Roman" w:eastAsia="Times New Roman" w:cs="Times New Roman"/>
                <w:sz w:val="24"/>
                <w:szCs w:val="24"/>
                <w:spacing w:val="-5"/>
              </w:rPr>
              <w:t>P</w:t>
            </w:r>
            <w:r>
              <w:rPr>
                <w:rFonts w:ascii="Times New Roman" w:hAnsi="Times New Roman" w:eastAsia="Times New Roman" w:cs="Times New Roman"/>
                <w:sz w:val="16"/>
                <w:szCs w:val="16"/>
                <w:spacing w:val="-5"/>
                <w:position w:val="-2"/>
              </w:rPr>
              <w:t>pH</w:t>
            </w:r>
            <w:r>
              <w:rPr>
                <w:rFonts w:ascii="Times New Roman" w:hAnsi="Times New Roman" w:eastAsia="Times New Roman" w:cs="Times New Roman"/>
                <w:sz w:val="24"/>
                <w:szCs w:val="24"/>
                <w:spacing w:val="-5"/>
              </w:rPr>
              <w:t>——pH</w:t>
            </w:r>
            <w:r>
              <w:rPr>
                <w:rFonts w:ascii="Times New Roman" w:hAnsi="Times New Roman" w:eastAsia="Times New Roman" w:cs="Times New Roman"/>
                <w:sz w:val="24"/>
                <w:szCs w:val="24"/>
                <w:spacing w:val="35"/>
                <w:w w:val="101"/>
              </w:rPr>
              <w:t xml:space="preserve"> </w:t>
            </w:r>
            <w:r>
              <w:rPr>
                <w:sz w:val="24"/>
                <w:szCs w:val="24"/>
                <w:spacing w:val="-5"/>
              </w:rPr>
              <w:t>的标准指数，无量纲；</w:t>
            </w:r>
          </w:p>
        </w:tc>
        <w:tc>
          <w:tcPr>
            <w:tcW w:w="1414" w:type="dxa"/>
            <w:vAlign w:val="top"/>
          </w:tcPr>
          <w:p>
            <w:pPr>
              <w:rPr>
                <w:rFonts w:ascii="Arial"/>
                <w:sz w:val="21"/>
              </w:rPr>
            </w:pPr>
            <w:r/>
          </w:p>
        </w:tc>
      </w:tr>
    </w:tbl>
    <w:p>
      <w:pPr>
        <w:ind w:left="1321"/>
        <w:spacing w:before="174" w:line="213" w:lineRule="auto"/>
        <w:rPr>
          <w:rFonts w:ascii="SimSun" w:hAnsi="SimSun" w:eastAsia="SimSun" w:cs="SimSun"/>
          <w:sz w:val="24"/>
          <w:szCs w:val="24"/>
        </w:rPr>
      </w:pPr>
      <w:r>
        <w:rPr>
          <w:rFonts w:ascii="Times New Roman" w:hAnsi="Times New Roman" w:eastAsia="Times New Roman" w:cs="Times New Roman"/>
          <w:sz w:val="24"/>
          <w:szCs w:val="24"/>
          <w:spacing w:val="-7"/>
        </w:rPr>
        <w:t>pH——pH</w:t>
      </w:r>
      <w:r>
        <w:rPr>
          <w:rFonts w:ascii="Times New Roman" w:hAnsi="Times New Roman" w:eastAsia="Times New Roman" w:cs="Times New Roman"/>
          <w:sz w:val="24"/>
          <w:szCs w:val="24"/>
          <w:spacing w:val="36"/>
          <w:w w:val="101"/>
        </w:rPr>
        <w:t xml:space="preserve"> </w:t>
      </w:r>
      <w:r>
        <w:rPr>
          <w:rFonts w:ascii="SimSun" w:hAnsi="SimSun" w:eastAsia="SimSun" w:cs="SimSun"/>
          <w:sz w:val="24"/>
          <w:szCs w:val="24"/>
          <w:spacing w:val="-7"/>
        </w:rPr>
        <w:t>的监测值；</w:t>
      </w:r>
    </w:p>
    <w:p>
      <w:pPr>
        <w:ind w:left="1321"/>
        <w:spacing w:before="171" w:line="223" w:lineRule="auto"/>
        <w:rPr>
          <w:rFonts w:ascii="SimSun" w:hAnsi="SimSun" w:eastAsia="SimSun" w:cs="SimSun"/>
          <w:sz w:val="24"/>
          <w:szCs w:val="24"/>
        </w:rPr>
      </w:pPr>
      <w:r>
        <w:rPr>
          <w:rFonts w:ascii="Times New Roman" w:hAnsi="Times New Roman" w:eastAsia="Times New Roman" w:cs="Times New Roman"/>
          <w:sz w:val="24"/>
          <w:szCs w:val="24"/>
          <w:spacing w:val="-1"/>
        </w:rPr>
        <w:t>pH</w:t>
      </w:r>
      <w:r>
        <w:rPr>
          <w:rFonts w:ascii="Times New Roman" w:hAnsi="Times New Roman" w:eastAsia="Times New Roman" w:cs="Times New Roman"/>
          <w:sz w:val="16"/>
          <w:szCs w:val="16"/>
          <w:spacing w:val="-1"/>
          <w:position w:val="-2"/>
        </w:rPr>
        <w:t>su</w:t>
      </w:r>
      <w:r>
        <w:rPr>
          <w:rFonts w:ascii="Times New Roman" w:hAnsi="Times New Roman" w:eastAsia="Times New Roman" w:cs="Times New Roman"/>
          <w:sz w:val="24"/>
          <w:szCs w:val="24"/>
          <w:spacing w:val="-1"/>
        </w:rPr>
        <w:t>——</w:t>
      </w:r>
      <w:r>
        <w:rPr>
          <w:rFonts w:ascii="SimSun" w:hAnsi="SimSun" w:eastAsia="SimSun" w:cs="SimSun"/>
          <w:sz w:val="24"/>
          <w:szCs w:val="24"/>
          <w:spacing w:val="-1"/>
        </w:rPr>
        <w:t>标准中</w:t>
      </w:r>
      <w:r>
        <w:rPr>
          <w:rFonts w:ascii="Times New Roman" w:hAnsi="Times New Roman" w:eastAsia="Times New Roman" w:cs="Times New Roman"/>
          <w:sz w:val="24"/>
          <w:szCs w:val="24"/>
          <w:spacing w:val="-1"/>
        </w:rPr>
        <w:t>pH</w:t>
      </w:r>
      <w:r>
        <w:rPr>
          <w:rFonts w:ascii="Times New Roman" w:hAnsi="Times New Roman" w:eastAsia="Times New Roman" w:cs="Times New Roman"/>
          <w:sz w:val="24"/>
          <w:szCs w:val="24"/>
          <w:spacing w:val="37"/>
          <w:w w:val="101"/>
        </w:rPr>
        <w:t xml:space="preserve"> </w:t>
      </w:r>
      <w:r>
        <w:rPr>
          <w:rFonts w:ascii="SimSun" w:hAnsi="SimSun" w:eastAsia="SimSun" w:cs="SimSun"/>
          <w:sz w:val="24"/>
          <w:szCs w:val="24"/>
          <w:spacing w:val="-1"/>
        </w:rPr>
        <w:t>的上限值；</w:t>
      </w:r>
    </w:p>
    <w:p>
      <w:pPr>
        <w:ind w:left="1321"/>
        <w:spacing w:before="156" w:line="223" w:lineRule="auto"/>
        <w:rPr>
          <w:rFonts w:ascii="SimSun" w:hAnsi="SimSun" w:eastAsia="SimSun" w:cs="SimSun"/>
          <w:sz w:val="24"/>
          <w:szCs w:val="24"/>
        </w:rPr>
      </w:pPr>
      <w:r>
        <w:rPr>
          <w:rFonts w:ascii="Times New Roman" w:hAnsi="Times New Roman" w:eastAsia="Times New Roman" w:cs="Times New Roman"/>
          <w:sz w:val="24"/>
          <w:szCs w:val="24"/>
        </w:rPr>
        <w:t>pH</w:t>
      </w:r>
      <w:r>
        <w:rPr>
          <w:rFonts w:ascii="Times New Roman" w:hAnsi="Times New Roman" w:eastAsia="Times New Roman" w:cs="Times New Roman"/>
          <w:sz w:val="16"/>
          <w:szCs w:val="16"/>
          <w:position w:val="-2"/>
        </w:rPr>
        <w:t>sd</w:t>
      </w:r>
      <w:r>
        <w:rPr>
          <w:rFonts w:ascii="Times New Roman" w:hAnsi="Times New Roman" w:eastAsia="Times New Roman" w:cs="Times New Roman"/>
          <w:sz w:val="24"/>
          <w:szCs w:val="24"/>
          <w:spacing w:val="1"/>
        </w:rPr>
        <w:t>——</w:t>
      </w:r>
      <w:r>
        <w:rPr>
          <w:rFonts w:ascii="SimSun" w:hAnsi="SimSun" w:eastAsia="SimSun" w:cs="SimSun"/>
          <w:sz w:val="24"/>
          <w:szCs w:val="24"/>
          <w:spacing w:val="1"/>
        </w:rPr>
        <w:t>标准中</w:t>
      </w:r>
      <w:r>
        <w:rPr>
          <w:rFonts w:ascii="Times New Roman" w:hAnsi="Times New Roman" w:eastAsia="Times New Roman" w:cs="Times New Roman"/>
          <w:sz w:val="24"/>
          <w:szCs w:val="24"/>
        </w:rPr>
        <w:t>pH</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1"/>
        </w:rPr>
        <w:t>的下限值。</w:t>
      </w:r>
    </w:p>
    <w:p>
      <w:pPr>
        <w:ind w:left="132" w:right="107" w:firstLine="494"/>
        <w:spacing w:before="154" w:line="336" w:lineRule="auto"/>
        <w:rPr>
          <w:rFonts w:ascii="SimSun" w:hAnsi="SimSun" w:eastAsia="SimSun" w:cs="SimSun"/>
          <w:sz w:val="24"/>
          <w:szCs w:val="24"/>
        </w:rPr>
      </w:pPr>
      <w:r>
        <w:rPr>
          <w:rFonts w:ascii="SimSun" w:hAnsi="SimSun" w:eastAsia="SimSun" w:cs="SimSun"/>
          <w:sz w:val="24"/>
          <w:szCs w:val="24"/>
          <w:spacing w:val="2"/>
        </w:rPr>
        <w:t>当标准指数</w:t>
      </w:r>
      <w:r>
        <w:rPr>
          <w:rFonts w:ascii="Times New Roman" w:hAnsi="Times New Roman" w:eastAsia="Times New Roman" w:cs="Times New Roman"/>
          <w:sz w:val="24"/>
          <w:szCs w:val="24"/>
          <w:spacing w:val="2"/>
        </w:rPr>
        <w:t>&gt;1</w:t>
      </w:r>
      <w:r>
        <w:rPr>
          <w:rFonts w:ascii="SimSun" w:hAnsi="SimSun" w:eastAsia="SimSun" w:cs="SimSun"/>
          <w:sz w:val="24"/>
          <w:szCs w:val="24"/>
          <w:spacing w:val="2"/>
        </w:rPr>
        <w:t>，表明该水质因子已超过了规定的水质标准，指数值</w:t>
      </w:r>
      <w:r>
        <w:rPr>
          <w:rFonts w:ascii="SimSun" w:hAnsi="SimSun" w:eastAsia="SimSun" w:cs="SimSun"/>
          <w:sz w:val="24"/>
          <w:szCs w:val="24"/>
          <w:spacing w:val="1"/>
        </w:rPr>
        <w:t>越大，超</w:t>
      </w:r>
      <w:r>
        <w:rPr>
          <w:rFonts w:ascii="SimSun" w:hAnsi="SimSun" w:eastAsia="SimSun" w:cs="SimSun"/>
          <w:sz w:val="24"/>
          <w:szCs w:val="24"/>
          <w:spacing w:val="-3"/>
        </w:rPr>
        <w:t>标越严重；反之，则满足标准要求。</w:t>
      </w:r>
    </w:p>
    <w:p>
      <w:pPr>
        <w:ind w:left="618"/>
        <w:spacing w:before="19"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）评价标准</w:t>
      </w:r>
    </w:p>
    <w:p>
      <w:pPr>
        <w:ind w:left="614"/>
        <w:spacing w:before="145" w:line="232" w:lineRule="auto"/>
        <w:rPr>
          <w:rFonts w:ascii="SimSun" w:hAnsi="SimSun" w:eastAsia="SimSun" w:cs="SimSun"/>
          <w:sz w:val="24"/>
          <w:szCs w:val="24"/>
        </w:rPr>
      </w:pPr>
      <w:r>
        <w:rPr>
          <w:rFonts w:ascii="SimSun" w:hAnsi="SimSun" w:eastAsia="SimSun" w:cs="SimSun"/>
          <w:sz w:val="24"/>
          <w:szCs w:val="24"/>
          <w:spacing w:val="-1"/>
        </w:rPr>
        <w:t>地下水水质评价执行</w:t>
      </w:r>
      <w:r>
        <w:rPr>
          <w:rFonts w:ascii="Times New Roman" w:hAnsi="Times New Roman" w:eastAsia="Times New Roman" w:cs="Times New Roman"/>
          <w:sz w:val="24"/>
          <w:szCs w:val="24"/>
          <w:spacing w:val="-1"/>
        </w:rPr>
        <w:t>GB/T14848-2017</w:t>
      </w:r>
      <w:r>
        <w:rPr>
          <w:rFonts w:ascii="SimSun" w:hAnsi="SimSun" w:eastAsia="SimSun" w:cs="SimSun"/>
          <w:sz w:val="24"/>
          <w:szCs w:val="24"/>
          <w:spacing w:val="-1"/>
        </w:rPr>
        <w:t>《地下水质量标准》中的</w:t>
      </w:r>
      <w:r>
        <w:rPr>
          <w:rFonts w:ascii="Times New Roman" w:hAnsi="Times New Roman" w:eastAsia="Times New Roman" w:cs="Times New Roman"/>
          <w:sz w:val="24"/>
          <w:szCs w:val="24"/>
          <w:spacing w:val="-1"/>
        </w:rPr>
        <w:t>Ⅲ</w:t>
      </w:r>
      <w:r>
        <w:rPr>
          <w:rFonts w:ascii="SimSun" w:hAnsi="SimSun" w:eastAsia="SimSun" w:cs="SimSun"/>
          <w:sz w:val="24"/>
          <w:szCs w:val="24"/>
          <w:spacing w:val="-1"/>
        </w:rPr>
        <w:t>类标准。</w:t>
      </w:r>
    </w:p>
    <w:p>
      <w:pPr>
        <w:ind w:left="618"/>
        <w:spacing w:before="145"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8</w:t>
      </w:r>
      <w:r>
        <w:rPr>
          <w:rFonts w:ascii="SimSun" w:hAnsi="SimSun" w:eastAsia="SimSun" w:cs="SimSun"/>
          <w:sz w:val="24"/>
          <w:szCs w:val="24"/>
          <w:spacing w:val="-4"/>
        </w:rPr>
        <w:t>）评价结果</w:t>
      </w:r>
    </w:p>
    <w:p>
      <w:pPr>
        <w:ind w:left="610"/>
        <w:spacing w:before="143" w:line="231" w:lineRule="auto"/>
        <w:rPr>
          <w:rFonts w:ascii="SimSun" w:hAnsi="SimSun" w:eastAsia="SimSun" w:cs="SimSun"/>
          <w:sz w:val="24"/>
          <w:szCs w:val="24"/>
        </w:rPr>
      </w:pPr>
      <w:r>
        <w:rPr>
          <w:rFonts w:ascii="SimSun" w:hAnsi="SimSun" w:eastAsia="SimSun" w:cs="SimSun"/>
          <w:sz w:val="24"/>
          <w:szCs w:val="24"/>
          <w:spacing w:val="2"/>
        </w:rPr>
        <w:t>①单项评价指数法现状评价结果见表</w:t>
      </w:r>
      <w:r>
        <w:rPr>
          <w:rFonts w:ascii="Times New Roman" w:hAnsi="Times New Roman" w:eastAsia="Times New Roman" w:cs="Times New Roman"/>
          <w:sz w:val="24"/>
          <w:szCs w:val="24"/>
          <w:spacing w:val="2"/>
        </w:rPr>
        <w:t>4-5</w:t>
      </w:r>
      <w:r>
        <w:rPr>
          <w:rFonts w:ascii="SimSun" w:hAnsi="SimSun" w:eastAsia="SimSun" w:cs="SimSun"/>
          <w:sz w:val="24"/>
          <w:szCs w:val="24"/>
          <w:spacing w:val="2"/>
        </w:rPr>
        <w:t>。</w:t>
      </w:r>
    </w:p>
    <w:p>
      <w:pPr>
        <w:ind w:left="2804"/>
        <w:spacing w:before="155"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4-5      </w:t>
      </w:r>
      <w:r>
        <w:rPr>
          <w:rFonts w:ascii="SimSun" w:hAnsi="SimSun" w:eastAsia="SimSun" w:cs="SimSun"/>
          <w:sz w:val="24"/>
          <w:szCs w:val="24"/>
          <w:b/>
          <w:bCs/>
          <w:spacing w:val="-2"/>
        </w:rPr>
        <w:t>地下水质量现状评价结果</w:t>
      </w:r>
    </w:p>
    <w:p>
      <w:pPr>
        <w:spacing w:line="54" w:lineRule="exact"/>
        <w:rPr/>
      </w:pPr>
      <w:r/>
    </w:p>
    <w:tbl>
      <w:tblPr>
        <w:tblStyle w:val="TableNormal"/>
        <w:tblW w:w="8733" w:type="dxa"/>
        <w:tblInd w:w="0"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1126"/>
        <w:gridCol w:w="2809"/>
        <w:gridCol w:w="1831"/>
        <w:gridCol w:w="1443"/>
        <w:gridCol w:w="1524"/>
      </w:tblGrid>
      <w:tr>
        <w:trPr>
          <w:trHeight w:val="321" w:hRule="atLeast"/>
        </w:trPr>
        <w:tc>
          <w:tcPr>
            <w:tcW w:w="1126" w:type="dxa"/>
            <w:vAlign w:val="top"/>
            <w:tcBorders>
              <w:right w:val="single" w:color="000000" w:sz="2" w:space="0"/>
              <w:left w:val="nil"/>
            </w:tcBorders>
          </w:tcPr>
          <w:p>
            <w:pPr>
              <w:pStyle w:val="TableText"/>
              <w:ind w:left="364"/>
              <w:spacing w:before="55" w:line="222" w:lineRule="auto"/>
              <w:rPr/>
            </w:pPr>
            <w:r>
              <w:rPr>
                <w:b/>
                <w:bCs/>
                <w:spacing w:val="-4"/>
              </w:rPr>
              <w:t>序号</w:t>
            </w:r>
          </w:p>
        </w:tc>
        <w:tc>
          <w:tcPr>
            <w:tcW w:w="2809" w:type="dxa"/>
            <w:vAlign w:val="top"/>
            <w:tcBorders>
              <w:left w:val="single" w:color="000000" w:sz="2" w:space="0"/>
              <w:right w:val="single" w:color="000000" w:sz="2" w:space="0"/>
            </w:tcBorders>
          </w:tcPr>
          <w:p>
            <w:pPr>
              <w:pStyle w:val="TableText"/>
              <w:ind w:left="1199"/>
              <w:spacing w:before="55" w:line="221" w:lineRule="auto"/>
              <w:rPr/>
            </w:pPr>
            <w:r>
              <w:rPr>
                <w:b/>
                <w:bCs/>
                <w:spacing w:val="-5"/>
              </w:rPr>
              <w:t>项目</w:t>
            </w:r>
          </w:p>
        </w:tc>
        <w:tc>
          <w:tcPr>
            <w:tcW w:w="1831" w:type="dxa"/>
            <w:vAlign w:val="top"/>
            <w:tcBorders>
              <w:left w:val="single" w:color="000000" w:sz="2" w:space="0"/>
              <w:right w:val="single" w:color="000000" w:sz="2" w:space="0"/>
            </w:tcBorders>
          </w:tcPr>
          <w:p>
            <w:pPr>
              <w:ind w:left="819"/>
              <w:spacing w:before="90"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p>
        </w:tc>
        <w:tc>
          <w:tcPr>
            <w:tcW w:w="1443" w:type="dxa"/>
            <w:vAlign w:val="top"/>
            <w:tcBorders>
              <w:left w:val="single" w:color="000000" w:sz="2" w:space="0"/>
              <w:right w:val="single" w:color="000000" w:sz="2" w:space="0"/>
            </w:tcBorders>
          </w:tcPr>
          <w:p>
            <w:pPr>
              <w:ind w:left="617"/>
              <w:spacing w:before="95"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2"/>
              </w:rPr>
              <w:t>2#</w:t>
            </w:r>
          </w:p>
        </w:tc>
        <w:tc>
          <w:tcPr>
            <w:tcW w:w="1524" w:type="dxa"/>
            <w:vAlign w:val="top"/>
            <w:tcBorders>
              <w:left w:val="single" w:color="000000" w:sz="2" w:space="0"/>
              <w:right w:val="nil"/>
            </w:tcBorders>
          </w:tcPr>
          <w:p>
            <w:pPr>
              <w:ind w:left="660"/>
              <w:spacing w:before="95"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6#</w:t>
            </w:r>
          </w:p>
        </w:tc>
      </w:tr>
    </w:tbl>
    <w:p>
      <w:pPr>
        <w:pStyle w:val="BodyText"/>
        <w:rPr/>
      </w:pPr>
      <w:r/>
    </w:p>
    <w:p>
      <w:pPr>
        <w:sectPr>
          <w:headerReference w:type="default" r:id="rId100"/>
          <w:footerReference w:type="default" r:id="rId101"/>
          <w:pgSz w:w="11907" w:h="16839"/>
          <w:pgMar w:top="1582" w:right="1591" w:bottom="1235" w:left="1579" w:header="1241" w:footer="992" w:gutter="0"/>
        </w:sectPr>
        <w:rPr/>
      </w:pPr>
    </w:p>
    <w:p>
      <w:pPr>
        <w:spacing w:line="119" w:lineRule="exact"/>
        <w:rPr/>
      </w:pPr>
      <w:r/>
    </w:p>
    <w:tbl>
      <w:tblPr>
        <w:tblStyle w:val="TableNormal"/>
        <w:tblW w:w="873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26"/>
        <w:gridCol w:w="2809"/>
        <w:gridCol w:w="1831"/>
        <w:gridCol w:w="1443"/>
        <w:gridCol w:w="1524"/>
      </w:tblGrid>
      <w:tr>
        <w:trPr>
          <w:trHeight w:val="382" w:hRule="atLeast"/>
        </w:trPr>
        <w:tc>
          <w:tcPr>
            <w:tcW w:w="1126" w:type="dxa"/>
            <w:vAlign w:val="top"/>
            <w:tcBorders>
              <w:left w:val="nil"/>
              <w:top w:val="single" w:color="000000" w:sz="10" w:space="0"/>
            </w:tcBorders>
          </w:tcPr>
          <w:p>
            <w:pPr>
              <w:ind w:left="540"/>
              <w:spacing w:before="114"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809" w:type="dxa"/>
            <w:vAlign w:val="top"/>
            <w:tcBorders>
              <w:top w:val="single" w:color="000000" w:sz="10" w:space="0"/>
            </w:tcBorders>
          </w:tcPr>
          <w:p>
            <w:pPr>
              <w:pStyle w:val="TableText"/>
              <w:ind w:left="1139"/>
              <w:spacing w:before="86" w:line="214" w:lineRule="auto"/>
              <w:rPr/>
            </w:pPr>
            <w:r>
              <w:rPr>
                <w:rFonts w:ascii="Times New Roman" w:hAnsi="Times New Roman" w:eastAsia="Times New Roman" w:cs="Times New Roman"/>
              </w:rPr>
              <w:t>pH</w:t>
            </w:r>
            <w:r>
              <w:rPr>
                <w:rFonts w:ascii="Times New Roman" w:hAnsi="Times New Roman" w:eastAsia="Times New Roman" w:cs="Times New Roman"/>
                <w:spacing w:val="7"/>
              </w:rPr>
              <w:t xml:space="preserve"> </w:t>
            </w:r>
            <w:r>
              <w:rPr>
                <w:spacing w:val="1"/>
              </w:rPr>
              <w:t>值</w:t>
            </w:r>
          </w:p>
        </w:tc>
        <w:tc>
          <w:tcPr>
            <w:tcW w:w="1831" w:type="dxa"/>
            <w:vAlign w:val="top"/>
            <w:tcBorders>
              <w:top w:val="single" w:color="000000" w:sz="10" w:space="0"/>
            </w:tcBorders>
          </w:tcPr>
          <w:p>
            <w:pPr>
              <w:ind w:left="736"/>
              <w:spacing w:before="11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1443" w:type="dxa"/>
            <w:vAlign w:val="top"/>
            <w:tcBorders>
              <w:top w:val="single" w:color="000000" w:sz="10" w:space="0"/>
            </w:tcBorders>
          </w:tcPr>
          <w:p>
            <w:pPr>
              <w:ind w:left="543"/>
              <w:spacing w:before="11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1524" w:type="dxa"/>
            <w:vAlign w:val="top"/>
            <w:tcBorders>
              <w:right w:val="nil"/>
              <w:top w:val="single" w:color="000000" w:sz="10" w:space="0"/>
            </w:tcBorders>
          </w:tcPr>
          <w:p>
            <w:pPr>
              <w:ind w:left="583"/>
              <w:spacing w:before="11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0.07</w:t>
            </w:r>
          </w:p>
        </w:tc>
      </w:tr>
      <w:tr>
        <w:trPr>
          <w:trHeight w:val="315" w:hRule="atLeast"/>
        </w:trPr>
        <w:tc>
          <w:tcPr>
            <w:tcW w:w="1126" w:type="dxa"/>
            <w:vAlign w:val="top"/>
            <w:tcBorders>
              <w:left w:val="nil"/>
            </w:tcBorders>
          </w:tcPr>
          <w:p>
            <w:pPr>
              <w:ind w:left="520"/>
              <w:spacing w:before="80"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809" w:type="dxa"/>
            <w:vAlign w:val="top"/>
          </w:tcPr>
          <w:p>
            <w:pPr>
              <w:pStyle w:val="TableText"/>
              <w:ind w:left="1196"/>
              <w:spacing w:before="52" w:line="220" w:lineRule="auto"/>
              <w:rPr/>
            </w:pPr>
            <w:r>
              <w:rPr>
                <w:spacing w:val="-2"/>
              </w:rPr>
              <w:t>氨氮</w:t>
            </w:r>
          </w:p>
        </w:tc>
        <w:tc>
          <w:tcPr>
            <w:tcW w:w="1831" w:type="dxa"/>
            <w:vAlign w:val="top"/>
          </w:tcPr>
          <w:p>
            <w:pPr>
              <w:pStyle w:val="TableText"/>
              <w:ind w:left="608"/>
              <w:spacing w:before="52" w:line="221" w:lineRule="auto"/>
              <w:rPr/>
            </w:pPr>
            <w:r>
              <w:rPr>
                <w:spacing w:val="-2"/>
              </w:rPr>
              <w:t>未检出</w:t>
            </w:r>
          </w:p>
        </w:tc>
        <w:tc>
          <w:tcPr>
            <w:tcW w:w="1443" w:type="dxa"/>
            <w:vAlign w:val="top"/>
          </w:tcPr>
          <w:p>
            <w:pPr>
              <w:pStyle w:val="TableText"/>
              <w:ind w:left="415"/>
              <w:spacing w:before="52" w:line="221" w:lineRule="auto"/>
              <w:rPr/>
            </w:pPr>
            <w:r>
              <w:rPr>
                <w:spacing w:val="-2"/>
              </w:rPr>
              <w:t>未检出</w:t>
            </w:r>
          </w:p>
        </w:tc>
        <w:tc>
          <w:tcPr>
            <w:tcW w:w="1524" w:type="dxa"/>
            <w:vAlign w:val="top"/>
            <w:tcBorders>
              <w:right w:val="nil"/>
            </w:tcBorders>
          </w:tcPr>
          <w:p>
            <w:pPr>
              <w:pStyle w:val="TableText"/>
              <w:ind w:left="455"/>
              <w:spacing w:before="52" w:line="221" w:lineRule="auto"/>
              <w:rPr/>
            </w:pPr>
            <w:r>
              <w:rPr>
                <w:spacing w:val="-2"/>
              </w:rPr>
              <w:t>未检出</w:t>
            </w:r>
          </w:p>
        </w:tc>
      </w:tr>
      <w:tr>
        <w:trPr>
          <w:trHeight w:val="373" w:hRule="atLeast"/>
        </w:trPr>
        <w:tc>
          <w:tcPr>
            <w:tcW w:w="1126" w:type="dxa"/>
            <w:vAlign w:val="top"/>
            <w:tcBorders>
              <w:left w:val="nil"/>
            </w:tcBorders>
          </w:tcPr>
          <w:p>
            <w:pPr>
              <w:ind w:left="524"/>
              <w:spacing w:before="11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809" w:type="dxa"/>
            <w:vAlign w:val="top"/>
          </w:tcPr>
          <w:p>
            <w:pPr>
              <w:pStyle w:val="TableText"/>
              <w:ind w:left="781"/>
              <w:spacing w:before="82" w:line="221" w:lineRule="auto"/>
              <w:rPr/>
            </w:pPr>
            <w:r>
              <w:rPr>
                <w:spacing w:val="-2"/>
              </w:rPr>
              <w:t>高锰酸盐指数</w:t>
            </w:r>
          </w:p>
        </w:tc>
        <w:tc>
          <w:tcPr>
            <w:tcW w:w="1831" w:type="dxa"/>
            <w:vAlign w:val="top"/>
          </w:tcPr>
          <w:p>
            <w:pPr>
              <w:ind w:left="789"/>
              <w:spacing w:before="11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443" w:type="dxa"/>
            <w:vAlign w:val="top"/>
          </w:tcPr>
          <w:p>
            <w:pPr>
              <w:ind w:left="543"/>
              <w:spacing w:before="11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0.53</w:t>
            </w:r>
          </w:p>
        </w:tc>
        <w:tc>
          <w:tcPr>
            <w:tcW w:w="1524" w:type="dxa"/>
            <w:vAlign w:val="top"/>
            <w:tcBorders>
              <w:right w:val="nil"/>
            </w:tcBorders>
          </w:tcPr>
          <w:p>
            <w:pPr>
              <w:ind w:left="636"/>
              <w:spacing w:before="11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w:t>
            </w:r>
          </w:p>
        </w:tc>
      </w:tr>
      <w:tr>
        <w:trPr>
          <w:trHeight w:val="315" w:hRule="atLeast"/>
        </w:trPr>
        <w:tc>
          <w:tcPr>
            <w:tcW w:w="1126" w:type="dxa"/>
            <w:vAlign w:val="top"/>
            <w:tcBorders>
              <w:left w:val="nil"/>
            </w:tcBorders>
          </w:tcPr>
          <w:p>
            <w:pPr>
              <w:ind w:left="519"/>
              <w:spacing w:before="83"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809" w:type="dxa"/>
            <w:vAlign w:val="top"/>
          </w:tcPr>
          <w:p>
            <w:pPr>
              <w:pStyle w:val="TableText"/>
              <w:ind w:left="1096"/>
              <w:spacing w:before="55" w:line="219" w:lineRule="auto"/>
              <w:rPr/>
            </w:pPr>
            <w:r>
              <w:rPr>
                <w:spacing w:val="-3"/>
              </w:rPr>
              <w:t>总硬度</w:t>
            </w:r>
          </w:p>
        </w:tc>
        <w:tc>
          <w:tcPr>
            <w:tcW w:w="1831" w:type="dxa"/>
            <w:vAlign w:val="top"/>
          </w:tcPr>
          <w:p>
            <w:pPr>
              <w:ind w:left="736"/>
              <w:spacing w:before="87"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0.52</w:t>
            </w:r>
          </w:p>
        </w:tc>
        <w:tc>
          <w:tcPr>
            <w:tcW w:w="1443" w:type="dxa"/>
            <w:vAlign w:val="top"/>
          </w:tcPr>
          <w:p>
            <w:pPr>
              <w:ind w:left="543"/>
              <w:spacing w:before="87"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0.50</w:t>
            </w:r>
          </w:p>
        </w:tc>
        <w:tc>
          <w:tcPr>
            <w:tcW w:w="1524" w:type="dxa"/>
            <w:vAlign w:val="top"/>
            <w:tcBorders>
              <w:right w:val="nil"/>
            </w:tcBorders>
          </w:tcPr>
          <w:p>
            <w:pPr>
              <w:ind w:left="583"/>
              <w:spacing w:before="87"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0.47</w:t>
            </w:r>
          </w:p>
        </w:tc>
      </w:tr>
      <w:tr>
        <w:trPr>
          <w:trHeight w:val="318" w:hRule="atLeast"/>
        </w:trPr>
        <w:tc>
          <w:tcPr>
            <w:tcW w:w="1126" w:type="dxa"/>
            <w:vAlign w:val="top"/>
            <w:tcBorders>
              <w:left w:val="nil"/>
            </w:tcBorders>
          </w:tcPr>
          <w:p>
            <w:pPr>
              <w:ind w:left="526"/>
              <w:spacing w:before="84"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809" w:type="dxa"/>
            <w:vAlign w:val="top"/>
          </w:tcPr>
          <w:p>
            <w:pPr>
              <w:pStyle w:val="TableText"/>
              <w:ind w:left="1094"/>
              <w:spacing w:before="60" w:line="218" w:lineRule="auto"/>
              <w:rPr/>
            </w:pPr>
            <w:r>
              <w:rPr>
                <w:spacing w:val="-2"/>
              </w:rPr>
              <w:t>氯化物</w:t>
            </w:r>
          </w:p>
        </w:tc>
        <w:tc>
          <w:tcPr>
            <w:tcW w:w="1831" w:type="dxa"/>
            <w:vAlign w:val="top"/>
          </w:tcPr>
          <w:p>
            <w:pPr>
              <w:ind w:left="736"/>
              <w:spacing w:before="91"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0.69</w:t>
            </w:r>
          </w:p>
        </w:tc>
        <w:tc>
          <w:tcPr>
            <w:tcW w:w="1443" w:type="dxa"/>
            <w:vAlign w:val="top"/>
          </w:tcPr>
          <w:p>
            <w:pPr>
              <w:ind w:left="543"/>
              <w:spacing w:before="91"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w:t>
            </w:r>
          </w:p>
        </w:tc>
        <w:tc>
          <w:tcPr>
            <w:tcW w:w="1524" w:type="dxa"/>
            <w:vAlign w:val="top"/>
            <w:tcBorders>
              <w:right w:val="nil"/>
            </w:tcBorders>
          </w:tcPr>
          <w:p>
            <w:pPr>
              <w:ind w:left="583"/>
              <w:spacing w:before="91"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0.60</w:t>
            </w:r>
          </w:p>
        </w:tc>
      </w:tr>
      <w:tr>
        <w:trPr>
          <w:trHeight w:val="315" w:hRule="atLeast"/>
        </w:trPr>
        <w:tc>
          <w:tcPr>
            <w:tcW w:w="1126" w:type="dxa"/>
            <w:vAlign w:val="top"/>
            <w:tcBorders>
              <w:left w:val="nil"/>
            </w:tcBorders>
          </w:tcPr>
          <w:p>
            <w:pPr>
              <w:ind w:left="525"/>
              <w:spacing w:before="85"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809" w:type="dxa"/>
            <w:vAlign w:val="top"/>
          </w:tcPr>
          <w:p>
            <w:pPr>
              <w:pStyle w:val="TableText"/>
              <w:ind w:left="1089"/>
              <w:spacing w:before="58" w:line="217" w:lineRule="auto"/>
              <w:rPr/>
            </w:pPr>
            <w:r>
              <w:rPr>
                <w:spacing w:val="-1"/>
              </w:rPr>
              <w:t>挥发酚</w:t>
            </w:r>
          </w:p>
        </w:tc>
        <w:tc>
          <w:tcPr>
            <w:tcW w:w="1831" w:type="dxa"/>
            <w:vAlign w:val="top"/>
          </w:tcPr>
          <w:p>
            <w:pPr>
              <w:pStyle w:val="TableText"/>
              <w:ind w:left="608"/>
              <w:spacing w:before="58" w:line="217" w:lineRule="auto"/>
              <w:rPr/>
            </w:pPr>
            <w:r>
              <w:rPr>
                <w:spacing w:val="-2"/>
              </w:rPr>
              <w:t>未检出</w:t>
            </w:r>
          </w:p>
        </w:tc>
        <w:tc>
          <w:tcPr>
            <w:tcW w:w="1443" w:type="dxa"/>
            <w:vAlign w:val="top"/>
          </w:tcPr>
          <w:p>
            <w:pPr>
              <w:pStyle w:val="TableText"/>
              <w:ind w:left="415"/>
              <w:spacing w:before="58" w:line="217" w:lineRule="auto"/>
              <w:rPr/>
            </w:pPr>
            <w:r>
              <w:rPr>
                <w:spacing w:val="-2"/>
              </w:rPr>
              <w:t>未检出</w:t>
            </w:r>
          </w:p>
        </w:tc>
        <w:tc>
          <w:tcPr>
            <w:tcW w:w="1524" w:type="dxa"/>
            <w:vAlign w:val="top"/>
            <w:tcBorders>
              <w:right w:val="nil"/>
            </w:tcBorders>
          </w:tcPr>
          <w:p>
            <w:pPr>
              <w:pStyle w:val="TableText"/>
              <w:ind w:left="455"/>
              <w:spacing w:before="58" w:line="217" w:lineRule="auto"/>
              <w:rPr/>
            </w:pPr>
            <w:r>
              <w:rPr>
                <w:spacing w:val="-2"/>
              </w:rPr>
              <w:t>未检出</w:t>
            </w:r>
          </w:p>
        </w:tc>
      </w:tr>
      <w:tr>
        <w:trPr>
          <w:trHeight w:val="315" w:hRule="atLeast"/>
        </w:trPr>
        <w:tc>
          <w:tcPr>
            <w:tcW w:w="1126" w:type="dxa"/>
            <w:vAlign w:val="top"/>
            <w:tcBorders>
              <w:left w:val="nil"/>
            </w:tcBorders>
          </w:tcPr>
          <w:p>
            <w:pPr>
              <w:ind w:left="523"/>
              <w:spacing w:before="87"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809" w:type="dxa"/>
            <w:vAlign w:val="top"/>
          </w:tcPr>
          <w:p>
            <w:pPr>
              <w:pStyle w:val="TableText"/>
              <w:ind w:left="883"/>
              <w:spacing w:before="59" w:line="216" w:lineRule="auto"/>
              <w:rPr/>
            </w:pPr>
            <w:r>
              <w:rPr>
                <w:spacing w:val="-2"/>
              </w:rPr>
              <w:t>亚硝酸盐氮</w:t>
            </w:r>
          </w:p>
        </w:tc>
        <w:tc>
          <w:tcPr>
            <w:tcW w:w="1831" w:type="dxa"/>
            <w:vAlign w:val="top"/>
          </w:tcPr>
          <w:p>
            <w:pPr>
              <w:pStyle w:val="TableText"/>
              <w:ind w:left="608"/>
              <w:spacing w:before="59" w:line="216" w:lineRule="auto"/>
              <w:rPr/>
            </w:pPr>
            <w:r>
              <w:rPr>
                <w:spacing w:val="-2"/>
              </w:rPr>
              <w:t>未检出</w:t>
            </w:r>
          </w:p>
        </w:tc>
        <w:tc>
          <w:tcPr>
            <w:tcW w:w="1443" w:type="dxa"/>
            <w:vAlign w:val="top"/>
          </w:tcPr>
          <w:p>
            <w:pPr>
              <w:pStyle w:val="TableText"/>
              <w:ind w:left="415"/>
              <w:spacing w:before="59" w:line="216" w:lineRule="auto"/>
              <w:rPr/>
            </w:pPr>
            <w:r>
              <w:rPr>
                <w:spacing w:val="-2"/>
              </w:rPr>
              <w:t>未检出</w:t>
            </w:r>
          </w:p>
        </w:tc>
        <w:tc>
          <w:tcPr>
            <w:tcW w:w="1524" w:type="dxa"/>
            <w:vAlign w:val="top"/>
            <w:tcBorders>
              <w:right w:val="nil"/>
            </w:tcBorders>
          </w:tcPr>
          <w:p>
            <w:pPr>
              <w:pStyle w:val="TableText"/>
              <w:ind w:left="455"/>
              <w:spacing w:before="59" w:line="216" w:lineRule="auto"/>
              <w:rPr/>
            </w:pPr>
            <w:r>
              <w:rPr>
                <w:spacing w:val="-2"/>
              </w:rPr>
              <w:t>未检出</w:t>
            </w:r>
          </w:p>
        </w:tc>
      </w:tr>
      <w:tr>
        <w:trPr>
          <w:trHeight w:val="315" w:hRule="atLeast"/>
        </w:trPr>
        <w:tc>
          <w:tcPr>
            <w:tcW w:w="1126" w:type="dxa"/>
            <w:vAlign w:val="top"/>
            <w:tcBorders>
              <w:left w:val="nil"/>
            </w:tcBorders>
          </w:tcPr>
          <w:p>
            <w:pPr>
              <w:ind w:left="528"/>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809" w:type="dxa"/>
            <w:vAlign w:val="top"/>
          </w:tcPr>
          <w:p>
            <w:pPr>
              <w:pStyle w:val="TableText"/>
              <w:ind w:left="989"/>
              <w:spacing w:before="61" w:line="214" w:lineRule="auto"/>
              <w:rPr/>
            </w:pPr>
            <w:r>
              <w:rPr>
                <w:spacing w:val="-2"/>
              </w:rPr>
              <w:t>硝酸盐氮</w:t>
            </w:r>
          </w:p>
        </w:tc>
        <w:tc>
          <w:tcPr>
            <w:tcW w:w="1831" w:type="dxa"/>
            <w:vAlign w:val="top"/>
          </w:tcPr>
          <w:p>
            <w:pPr>
              <w:ind w:left="683"/>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0.014</w:t>
            </w:r>
          </w:p>
        </w:tc>
        <w:tc>
          <w:tcPr>
            <w:tcW w:w="1443" w:type="dxa"/>
            <w:vAlign w:val="top"/>
          </w:tcPr>
          <w:p>
            <w:pPr>
              <w:ind w:left="490"/>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0.131</w:t>
            </w:r>
          </w:p>
        </w:tc>
        <w:tc>
          <w:tcPr>
            <w:tcW w:w="1524" w:type="dxa"/>
            <w:vAlign w:val="top"/>
            <w:tcBorders>
              <w:right w:val="nil"/>
            </w:tcBorders>
          </w:tcPr>
          <w:p>
            <w:pPr>
              <w:ind w:left="530"/>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0.018</w:t>
            </w:r>
          </w:p>
        </w:tc>
      </w:tr>
      <w:tr>
        <w:trPr>
          <w:trHeight w:val="316" w:hRule="atLeast"/>
        </w:trPr>
        <w:tc>
          <w:tcPr>
            <w:tcW w:w="1126" w:type="dxa"/>
            <w:vAlign w:val="top"/>
            <w:tcBorders>
              <w:left w:val="nil"/>
            </w:tcBorders>
          </w:tcPr>
          <w:p>
            <w:pPr>
              <w:ind w:left="524"/>
              <w:spacing w:before="90"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809" w:type="dxa"/>
            <w:vAlign w:val="top"/>
          </w:tcPr>
          <w:p>
            <w:pPr>
              <w:pStyle w:val="TableText"/>
              <w:ind w:left="1089"/>
              <w:spacing w:before="62" w:line="214" w:lineRule="auto"/>
              <w:rPr/>
            </w:pPr>
            <w:r>
              <w:rPr>
                <w:spacing w:val="-1"/>
              </w:rPr>
              <w:t>硫酸盐</w:t>
            </w:r>
          </w:p>
        </w:tc>
        <w:tc>
          <w:tcPr>
            <w:tcW w:w="1831" w:type="dxa"/>
            <w:vAlign w:val="top"/>
          </w:tcPr>
          <w:p>
            <w:pPr>
              <w:ind w:left="736"/>
              <w:spacing w:before="95"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0.58</w:t>
            </w:r>
          </w:p>
        </w:tc>
        <w:tc>
          <w:tcPr>
            <w:tcW w:w="1443" w:type="dxa"/>
            <w:vAlign w:val="top"/>
          </w:tcPr>
          <w:p>
            <w:pPr>
              <w:ind w:left="490"/>
              <w:spacing w:before="95"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0.868</w:t>
            </w:r>
          </w:p>
        </w:tc>
        <w:tc>
          <w:tcPr>
            <w:tcW w:w="1524" w:type="dxa"/>
            <w:vAlign w:val="top"/>
            <w:tcBorders>
              <w:right w:val="nil"/>
            </w:tcBorders>
          </w:tcPr>
          <w:p>
            <w:pPr>
              <w:ind w:left="530"/>
              <w:spacing w:before="95"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0.856</w:t>
            </w:r>
          </w:p>
        </w:tc>
      </w:tr>
      <w:tr>
        <w:trPr>
          <w:trHeight w:val="315" w:hRule="atLeast"/>
        </w:trPr>
        <w:tc>
          <w:tcPr>
            <w:tcW w:w="1126" w:type="dxa"/>
            <w:vAlign w:val="top"/>
            <w:tcBorders>
              <w:left w:val="nil"/>
            </w:tcBorders>
          </w:tcPr>
          <w:p>
            <w:pPr>
              <w:ind w:left="487"/>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809" w:type="dxa"/>
            <w:vAlign w:val="top"/>
          </w:tcPr>
          <w:p>
            <w:pPr>
              <w:pStyle w:val="TableText"/>
              <w:ind w:left="1091"/>
              <w:spacing w:before="63" w:line="212" w:lineRule="auto"/>
              <w:rPr/>
            </w:pPr>
            <w:r>
              <w:rPr>
                <w:spacing w:val="-2"/>
              </w:rPr>
              <w:t>氟化物</w:t>
            </w:r>
          </w:p>
        </w:tc>
        <w:tc>
          <w:tcPr>
            <w:tcW w:w="1831" w:type="dxa"/>
            <w:vAlign w:val="top"/>
          </w:tcPr>
          <w:p>
            <w:pPr>
              <w:ind w:left="736"/>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0.63</w:t>
            </w:r>
          </w:p>
        </w:tc>
        <w:tc>
          <w:tcPr>
            <w:tcW w:w="1443" w:type="dxa"/>
            <w:vAlign w:val="top"/>
          </w:tcPr>
          <w:p>
            <w:pPr>
              <w:ind w:left="543"/>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0.63</w:t>
            </w:r>
          </w:p>
        </w:tc>
        <w:tc>
          <w:tcPr>
            <w:tcW w:w="1524" w:type="dxa"/>
            <w:vAlign w:val="top"/>
            <w:tcBorders>
              <w:right w:val="nil"/>
            </w:tcBorders>
          </w:tcPr>
          <w:p>
            <w:pPr>
              <w:ind w:left="583"/>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0.71</w:t>
            </w:r>
          </w:p>
        </w:tc>
      </w:tr>
      <w:tr>
        <w:trPr>
          <w:trHeight w:val="318" w:hRule="atLeast"/>
        </w:trPr>
        <w:tc>
          <w:tcPr>
            <w:tcW w:w="1126" w:type="dxa"/>
            <w:vAlign w:val="top"/>
            <w:tcBorders>
              <w:left w:val="nil"/>
            </w:tcBorders>
          </w:tcPr>
          <w:p>
            <w:pPr>
              <w:ind w:left="487"/>
              <w:spacing w:before="93"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2809" w:type="dxa"/>
            <w:vAlign w:val="top"/>
          </w:tcPr>
          <w:p>
            <w:pPr>
              <w:pStyle w:val="TableText"/>
              <w:ind w:left="1092"/>
              <w:spacing w:before="67" w:line="211" w:lineRule="auto"/>
              <w:rPr/>
            </w:pPr>
            <w:r>
              <w:rPr>
                <w:spacing w:val="-2"/>
              </w:rPr>
              <w:t>六价铬</w:t>
            </w:r>
          </w:p>
        </w:tc>
        <w:tc>
          <w:tcPr>
            <w:tcW w:w="1831" w:type="dxa"/>
            <w:vAlign w:val="top"/>
          </w:tcPr>
          <w:p>
            <w:pPr>
              <w:pStyle w:val="TableText"/>
              <w:ind w:left="608"/>
              <w:spacing w:before="67" w:line="211" w:lineRule="auto"/>
              <w:rPr/>
            </w:pPr>
            <w:r>
              <w:rPr>
                <w:spacing w:val="-2"/>
              </w:rPr>
              <w:t>未检出</w:t>
            </w:r>
          </w:p>
        </w:tc>
        <w:tc>
          <w:tcPr>
            <w:tcW w:w="1443" w:type="dxa"/>
            <w:vAlign w:val="top"/>
          </w:tcPr>
          <w:p>
            <w:pPr>
              <w:pStyle w:val="TableText"/>
              <w:ind w:left="415"/>
              <w:spacing w:before="67" w:line="211" w:lineRule="auto"/>
              <w:rPr/>
            </w:pPr>
            <w:r>
              <w:rPr>
                <w:spacing w:val="-2"/>
              </w:rPr>
              <w:t>未检出</w:t>
            </w:r>
          </w:p>
        </w:tc>
        <w:tc>
          <w:tcPr>
            <w:tcW w:w="1524" w:type="dxa"/>
            <w:vAlign w:val="top"/>
            <w:tcBorders>
              <w:right w:val="nil"/>
            </w:tcBorders>
          </w:tcPr>
          <w:p>
            <w:pPr>
              <w:pStyle w:val="TableText"/>
              <w:ind w:left="455"/>
              <w:spacing w:before="67" w:line="211" w:lineRule="auto"/>
              <w:rPr/>
            </w:pPr>
            <w:r>
              <w:rPr>
                <w:spacing w:val="-2"/>
              </w:rPr>
              <w:t>未检出</w:t>
            </w:r>
          </w:p>
        </w:tc>
      </w:tr>
      <w:tr>
        <w:trPr>
          <w:trHeight w:val="316" w:hRule="atLeast"/>
        </w:trPr>
        <w:tc>
          <w:tcPr>
            <w:tcW w:w="1126" w:type="dxa"/>
            <w:vAlign w:val="top"/>
            <w:tcBorders>
              <w:left w:val="nil"/>
            </w:tcBorders>
          </w:tcPr>
          <w:p>
            <w:pPr>
              <w:ind w:left="487"/>
              <w:spacing w:before="94"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809" w:type="dxa"/>
            <w:vAlign w:val="top"/>
          </w:tcPr>
          <w:p>
            <w:pPr>
              <w:pStyle w:val="TableText"/>
              <w:ind w:left="1301"/>
              <w:spacing w:before="67" w:line="210" w:lineRule="auto"/>
              <w:rPr/>
            </w:pPr>
            <w:r>
              <w:rPr/>
              <w:t>砷</w:t>
            </w:r>
          </w:p>
        </w:tc>
        <w:tc>
          <w:tcPr>
            <w:tcW w:w="1831" w:type="dxa"/>
            <w:vAlign w:val="top"/>
          </w:tcPr>
          <w:p>
            <w:pPr>
              <w:pStyle w:val="TableText"/>
              <w:ind w:left="608"/>
              <w:spacing w:before="67" w:line="210" w:lineRule="auto"/>
              <w:rPr/>
            </w:pPr>
            <w:r>
              <w:rPr>
                <w:spacing w:val="-2"/>
              </w:rPr>
              <w:t>未检出</w:t>
            </w:r>
          </w:p>
        </w:tc>
        <w:tc>
          <w:tcPr>
            <w:tcW w:w="1443" w:type="dxa"/>
            <w:vAlign w:val="top"/>
          </w:tcPr>
          <w:p>
            <w:pPr>
              <w:pStyle w:val="TableText"/>
              <w:ind w:left="415"/>
              <w:spacing w:before="67" w:line="210" w:lineRule="auto"/>
              <w:rPr/>
            </w:pPr>
            <w:r>
              <w:rPr>
                <w:spacing w:val="-2"/>
              </w:rPr>
              <w:t>未检出</w:t>
            </w:r>
          </w:p>
        </w:tc>
        <w:tc>
          <w:tcPr>
            <w:tcW w:w="1524" w:type="dxa"/>
            <w:vAlign w:val="top"/>
            <w:tcBorders>
              <w:right w:val="nil"/>
            </w:tcBorders>
          </w:tcPr>
          <w:p>
            <w:pPr>
              <w:pStyle w:val="TableText"/>
              <w:ind w:left="455"/>
              <w:spacing w:before="67" w:line="210" w:lineRule="auto"/>
              <w:rPr/>
            </w:pPr>
            <w:r>
              <w:rPr>
                <w:spacing w:val="-2"/>
              </w:rPr>
              <w:t>未检出</w:t>
            </w:r>
          </w:p>
        </w:tc>
      </w:tr>
      <w:tr>
        <w:trPr>
          <w:trHeight w:val="315" w:hRule="atLeast"/>
        </w:trPr>
        <w:tc>
          <w:tcPr>
            <w:tcW w:w="1126" w:type="dxa"/>
            <w:vAlign w:val="top"/>
            <w:tcBorders>
              <w:left w:val="nil"/>
            </w:tcBorders>
          </w:tcPr>
          <w:p>
            <w:pPr>
              <w:ind w:left="487"/>
              <w:spacing w:before="9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809" w:type="dxa"/>
            <w:vAlign w:val="top"/>
          </w:tcPr>
          <w:p>
            <w:pPr>
              <w:pStyle w:val="TableText"/>
              <w:ind w:left="1302"/>
              <w:spacing w:before="67" w:line="209" w:lineRule="auto"/>
              <w:rPr/>
            </w:pPr>
            <w:r>
              <w:rPr/>
              <w:t>汞</w:t>
            </w:r>
          </w:p>
        </w:tc>
        <w:tc>
          <w:tcPr>
            <w:tcW w:w="1831" w:type="dxa"/>
            <w:vAlign w:val="top"/>
          </w:tcPr>
          <w:p>
            <w:pPr>
              <w:pStyle w:val="TableText"/>
              <w:ind w:left="608"/>
              <w:spacing w:before="67" w:line="209" w:lineRule="auto"/>
              <w:rPr/>
            </w:pPr>
            <w:r>
              <w:rPr>
                <w:spacing w:val="-2"/>
              </w:rPr>
              <w:t>未检出</w:t>
            </w:r>
          </w:p>
        </w:tc>
        <w:tc>
          <w:tcPr>
            <w:tcW w:w="1443" w:type="dxa"/>
            <w:vAlign w:val="top"/>
          </w:tcPr>
          <w:p>
            <w:pPr>
              <w:pStyle w:val="TableText"/>
              <w:ind w:left="415"/>
              <w:spacing w:before="67" w:line="209" w:lineRule="auto"/>
              <w:rPr/>
            </w:pPr>
            <w:r>
              <w:rPr>
                <w:spacing w:val="-2"/>
              </w:rPr>
              <w:t>未检出</w:t>
            </w:r>
          </w:p>
        </w:tc>
        <w:tc>
          <w:tcPr>
            <w:tcW w:w="1524" w:type="dxa"/>
            <w:vAlign w:val="top"/>
            <w:tcBorders>
              <w:right w:val="nil"/>
            </w:tcBorders>
          </w:tcPr>
          <w:p>
            <w:pPr>
              <w:pStyle w:val="TableText"/>
              <w:ind w:left="455"/>
              <w:spacing w:before="67" w:line="209" w:lineRule="auto"/>
              <w:rPr/>
            </w:pPr>
            <w:r>
              <w:rPr>
                <w:spacing w:val="-2"/>
              </w:rPr>
              <w:t>未检出</w:t>
            </w:r>
          </w:p>
        </w:tc>
      </w:tr>
      <w:tr>
        <w:trPr>
          <w:trHeight w:val="315" w:hRule="atLeast"/>
        </w:trPr>
        <w:tc>
          <w:tcPr>
            <w:tcW w:w="1126" w:type="dxa"/>
            <w:vAlign w:val="top"/>
            <w:tcBorders>
              <w:left w:val="nil"/>
            </w:tcBorders>
          </w:tcPr>
          <w:p>
            <w:pPr>
              <w:ind w:left="487"/>
              <w:spacing w:before="96"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809" w:type="dxa"/>
            <w:vAlign w:val="top"/>
          </w:tcPr>
          <w:p>
            <w:pPr>
              <w:pStyle w:val="TableText"/>
              <w:ind w:left="1301"/>
              <w:spacing w:before="68" w:line="208" w:lineRule="auto"/>
              <w:rPr/>
            </w:pPr>
            <w:r>
              <w:rPr/>
              <w:t>锰</w:t>
            </w:r>
          </w:p>
        </w:tc>
        <w:tc>
          <w:tcPr>
            <w:tcW w:w="1831" w:type="dxa"/>
            <w:vAlign w:val="top"/>
          </w:tcPr>
          <w:p>
            <w:pPr>
              <w:ind w:left="789"/>
              <w:spacing w:before="10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w:t>
            </w:r>
          </w:p>
        </w:tc>
        <w:tc>
          <w:tcPr>
            <w:tcW w:w="1443" w:type="dxa"/>
            <w:vAlign w:val="top"/>
          </w:tcPr>
          <w:p>
            <w:pPr>
              <w:pStyle w:val="TableText"/>
              <w:ind w:left="415"/>
              <w:spacing w:before="68" w:line="208" w:lineRule="auto"/>
              <w:rPr/>
            </w:pPr>
            <w:r>
              <w:rPr>
                <w:spacing w:val="-2"/>
              </w:rPr>
              <w:t>未检出</w:t>
            </w:r>
          </w:p>
        </w:tc>
        <w:tc>
          <w:tcPr>
            <w:tcW w:w="1524" w:type="dxa"/>
            <w:vAlign w:val="top"/>
            <w:tcBorders>
              <w:right w:val="nil"/>
            </w:tcBorders>
          </w:tcPr>
          <w:p>
            <w:pPr>
              <w:ind w:left="636"/>
              <w:spacing w:before="10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w:t>
            </w:r>
          </w:p>
        </w:tc>
      </w:tr>
      <w:tr>
        <w:trPr>
          <w:trHeight w:val="316" w:hRule="atLeast"/>
        </w:trPr>
        <w:tc>
          <w:tcPr>
            <w:tcW w:w="1126" w:type="dxa"/>
            <w:vAlign w:val="top"/>
            <w:tcBorders>
              <w:left w:val="nil"/>
            </w:tcBorders>
          </w:tcPr>
          <w:p>
            <w:pPr>
              <w:ind w:left="487"/>
              <w:spacing w:before="98"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809" w:type="dxa"/>
            <w:vAlign w:val="top"/>
          </w:tcPr>
          <w:p>
            <w:pPr>
              <w:pStyle w:val="TableText"/>
              <w:ind w:left="1301"/>
              <w:spacing w:before="70" w:line="207" w:lineRule="auto"/>
              <w:rPr/>
            </w:pPr>
            <w:r>
              <w:rPr/>
              <w:t>铁</w:t>
            </w:r>
          </w:p>
        </w:tc>
        <w:tc>
          <w:tcPr>
            <w:tcW w:w="1831" w:type="dxa"/>
            <w:vAlign w:val="top"/>
          </w:tcPr>
          <w:p>
            <w:pPr>
              <w:ind w:left="736"/>
              <w:spacing w:before="10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0.57</w:t>
            </w:r>
          </w:p>
        </w:tc>
        <w:tc>
          <w:tcPr>
            <w:tcW w:w="1443" w:type="dxa"/>
            <w:vAlign w:val="top"/>
          </w:tcPr>
          <w:p>
            <w:pPr>
              <w:pStyle w:val="TableText"/>
              <w:ind w:left="415"/>
              <w:spacing w:before="70" w:line="207" w:lineRule="auto"/>
              <w:rPr/>
            </w:pPr>
            <w:r>
              <w:rPr>
                <w:spacing w:val="-2"/>
              </w:rPr>
              <w:t>未检出</w:t>
            </w:r>
          </w:p>
        </w:tc>
        <w:tc>
          <w:tcPr>
            <w:tcW w:w="1524" w:type="dxa"/>
            <w:vAlign w:val="top"/>
            <w:tcBorders>
              <w:right w:val="nil"/>
            </w:tcBorders>
          </w:tcPr>
          <w:p>
            <w:pPr>
              <w:ind w:left="583"/>
              <w:spacing w:before="10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0.77</w:t>
            </w:r>
          </w:p>
        </w:tc>
      </w:tr>
      <w:tr>
        <w:trPr>
          <w:trHeight w:val="315" w:hRule="atLeast"/>
        </w:trPr>
        <w:tc>
          <w:tcPr>
            <w:tcW w:w="1126" w:type="dxa"/>
            <w:vAlign w:val="top"/>
            <w:tcBorders>
              <w:left w:val="nil"/>
            </w:tcBorders>
          </w:tcPr>
          <w:p>
            <w:pPr>
              <w:ind w:left="487"/>
              <w:spacing w:before="9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809" w:type="dxa"/>
            <w:vAlign w:val="top"/>
          </w:tcPr>
          <w:p>
            <w:pPr>
              <w:pStyle w:val="TableText"/>
              <w:ind w:left="1301"/>
              <w:spacing w:before="70" w:line="206" w:lineRule="auto"/>
              <w:rPr/>
            </w:pPr>
            <w:r>
              <w:rPr/>
              <w:t>铅</w:t>
            </w:r>
          </w:p>
        </w:tc>
        <w:tc>
          <w:tcPr>
            <w:tcW w:w="1831" w:type="dxa"/>
            <w:vAlign w:val="top"/>
          </w:tcPr>
          <w:p>
            <w:pPr>
              <w:pStyle w:val="TableText"/>
              <w:ind w:left="608"/>
              <w:spacing w:before="70" w:line="206" w:lineRule="auto"/>
              <w:rPr/>
            </w:pPr>
            <w:r>
              <w:rPr>
                <w:spacing w:val="-2"/>
              </w:rPr>
              <w:t>未检出</w:t>
            </w:r>
          </w:p>
        </w:tc>
        <w:tc>
          <w:tcPr>
            <w:tcW w:w="1443" w:type="dxa"/>
            <w:vAlign w:val="top"/>
          </w:tcPr>
          <w:p>
            <w:pPr>
              <w:pStyle w:val="TableText"/>
              <w:ind w:left="415"/>
              <w:spacing w:before="70" w:line="206" w:lineRule="auto"/>
              <w:rPr/>
            </w:pPr>
            <w:r>
              <w:rPr>
                <w:spacing w:val="-2"/>
              </w:rPr>
              <w:t>未检出</w:t>
            </w:r>
          </w:p>
        </w:tc>
        <w:tc>
          <w:tcPr>
            <w:tcW w:w="1524" w:type="dxa"/>
            <w:vAlign w:val="top"/>
            <w:tcBorders>
              <w:right w:val="nil"/>
            </w:tcBorders>
          </w:tcPr>
          <w:p>
            <w:pPr>
              <w:pStyle w:val="TableText"/>
              <w:ind w:left="455"/>
              <w:spacing w:before="70" w:line="206" w:lineRule="auto"/>
              <w:rPr/>
            </w:pPr>
            <w:r>
              <w:rPr>
                <w:spacing w:val="-2"/>
              </w:rPr>
              <w:t>未检出</w:t>
            </w:r>
          </w:p>
        </w:tc>
      </w:tr>
      <w:tr>
        <w:trPr>
          <w:trHeight w:val="318" w:hRule="atLeast"/>
        </w:trPr>
        <w:tc>
          <w:tcPr>
            <w:tcW w:w="1126" w:type="dxa"/>
            <w:vAlign w:val="top"/>
            <w:tcBorders>
              <w:left w:val="nil"/>
            </w:tcBorders>
          </w:tcPr>
          <w:p>
            <w:pPr>
              <w:ind w:left="487"/>
              <w:spacing w:before="10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2809" w:type="dxa"/>
            <w:vAlign w:val="top"/>
          </w:tcPr>
          <w:p>
            <w:pPr>
              <w:pStyle w:val="TableText"/>
              <w:ind w:left="1300"/>
              <w:spacing w:before="74" w:line="205" w:lineRule="auto"/>
              <w:rPr/>
            </w:pPr>
            <w:r>
              <w:rPr/>
              <w:t>镉</w:t>
            </w:r>
          </w:p>
        </w:tc>
        <w:tc>
          <w:tcPr>
            <w:tcW w:w="1831" w:type="dxa"/>
            <w:vAlign w:val="top"/>
          </w:tcPr>
          <w:p>
            <w:pPr>
              <w:pStyle w:val="TableText"/>
              <w:ind w:left="608"/>
              <w:spacing w:before="74" w:line="205" w:lineRule="auto"/>
              <w:rPr/>
            </w:pPr>
            <w:r>
              <w:rPr>
                <w:spacing w:val="-2"/>
              </w:rPr>
              <w:t>未检出</w:t>
            </w:r>
          </w:p>
        </w:tc>
        <w:tc>
          <w:tcPr>
            <w:tcW w:w="1443" w:type="dxa"/>
            <w:vAlign w:val="top"/>
          </w:tcPr>
          <w:p>
            <w:pPr>
              <w:pStyle w:val="TableText"/>
              <w:ind w:left="415"/>
              <w:spacing w:before="74" w:line="205" w:lineRule="auto"/>
              <w:rPr/>
            </w:pPr>
            <w:r>
              <w:rPr>
                <w:spacing w:val="-2"/>
              </w:rPr>
              <w:t>未检出</w:t>
            </w:r>
          </w:p>
        </w:tc>
        <w:tc>
          <w:tcPr>
            <w:tcW w:w="1524" w:type="dxa"/>
            <w:vAlign w:val="top"/>
            <w:tcBorders>
              <w:right w:val="nil"/>
            </w:tcBorders>
          </w:tcPr>
          <w:p>
            <w:pPr>
              <w:pStyle w:val="TableText"/>
              <w:ind w:left="455"/>
              <w:spacing w:before="74" w:line="205" w:lineRule="auto"/>
              <w:rPr/>
            </w:pPr>
            <w:r>
              <w:rPr>
                <w:spacing w:val="-2"/>
              </w:rPr>
              <w:t>未检出</w:t>
            </w:r>
          </w:p>
        </w:tc>
      </w:tr>
      <w:tr>
        <w:trPr>
          <w:trHeight w:val="318" w:hRule="atLeast"/>
        </w:trPr>
        <w:tc>
          <w:tcPr>
            <w:tcW w:w="1126" w:type="dxa"/>
            <w:vAlign w:val="top"/>
            <w:tcBorders>
              <w:left w:val="nil"/>
            </w:tcBorders>
          </w:tcPr>
          <w:p>
            <w:pPr>
              <w:ind w:left="487"/>
              <w:spacing w:before="10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2809" w:type="dxa"/>
            <w:vAlign w:val="top"/>
          </w:tcPr>
          <w:p>
            <w:pPr>
              <w:pStyle w:val="TableText"/>
              <w:ind w:left="887"/>
              <w:spacing w:before="73" w:line="206" w:lineRule="auto"/>
              <w:rPr/>
            </w:pPr>
            <w:r>
              <w:rPr>
                <w:spacing w:val="-3"/>
              </w:rPr>
              <w:t>总大肠菌群</w:t>
            </w:r>
          </w:p>
        </w:tc>
        <w:tc>
          <w:tcPr>
            <w:tcW w:w="1831" w:type="dxa"/>
            <w:vAlign w:val="top"/>
          </w:tcPr>
          <w:p>
            <w:pPr>
              <w:pStyle w:val="TableText"/>
              <w:ind w:left="608"/>
              <w:spacing w:before="73" w:line="206" w:lineRule="auto"/>
              <w:rPr/>
            </w:pPr>
            <w:r>
              <w:rPr>
                <w:spacing w:val="-2"/>
              </w:rPr>
              <w:t>未检出</w:t>
            </w:r>
          </w:p>
        </w:tc>
        <w:tc>
          <w:tcPr>
            <w:tcW w:w="1443" w:type="dxa"/>
            <w:vAlign w:val="top"/>
          </w:tcPr>
          <w:p>
            <w:pPr>
              <w:pStyle w:val="TableText"/>
              <w:ind w:left="415"/>
              <w:spacing w:before="73" w:line="206" w:lineRule="auto"/>
              <w:rPr/>
            </w:pPr>
            <w:r>
              <w:rPr>
                <w:spacing w:val="-2"/>
              </w:rPr>
              <w:t>未检出</w:t>
            </w:r>
          </w:p>
        </w:tc>
        <w:tc>
          <w:tcPr>
            <w:tcW w:w="1524" w:type="dxa"/>
            <w:vAlign w:val="top"/>
            <w:tcBorders>
              <w:right w:val="nil"/>
            </w:tcBorders>
          </w:tcPr>
          <w:p>
            <w:pPr>
              <w:pStyle w:val="TableText"/>
              <w:ind w:left="455"/>
              <w:spacing w:before="73" w:line="206" w:lineRule="auto"/>
              <w:rPr/>
            </w:pPr>
            <w:r>
              <w:rPr>
                <w:spacing w:val="-2"/>
              </w:rPr>
              <w:t>未检出</w:t>
            </w:r>
          </w:p>
        </w:tc>
      </w:tr>
      <w:tr>
        <w:trPr>
          <w:trHeight w:val="316" w:hRule="atLeast"/>
        </w:trPr>
        <w:tc>
          <w:tcPr>
            <w:tcW w:w="1126" w:type="dxa"/>
            <w:vAlign w:val="top"/>
            <w:tcBorders>
              <w:left w:val="nil"/>
            </w:tcBorders>
          </w:tcPr>
          <w:p>
            <w:pPr>
              <w:ind w:left="487"/>
              <w:spacing w:before="102"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2809" w:type="dxa"/>
            <w:vAlign w:val="top"/>
          </w:tcPr>
          <w:p>
            <w:pPr>
              <w:pStyle w:val="TableText"/>
              <w:ind w:left="988"/>
              <w:spacing w:before="75" w:line="203" w:lineRule="auto"/>
              <w:rPr/>
            </w:pPr>
            <w:r>
              <w:rPr>
                <w:spacing w:val="-2"/>
              </w:rPr>
              <w:t>细菌总数</w:t>
            </w:r>
          </w:p>
        </w:tc>
        <w:tc>
          <w:tcPr>
            <w:tcW w:w="1831" w:type="dxa"/>
            <w:vAlign w:val="top"/>
          </w:tcPr>
          <w:p>
            <w:pPr>
              <w:ind w:left="736"/>
              <w:spacing w:before="10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0.71</w:t>
            </w:r>
          </w:p>
        </w:tc>
        <w:tc>
          <w:tcPr>
            <w:tcW w:w="1443" w:type="dxa"/>
            <w:vAlign w:val="top"/>
          </w:tcPr>
          <w:p>
            <w:pPr>
              <w:ind w:left="543"/>
              <w:spacing w:before="10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0.71</w:t>
            </w:r>
          </w:p>
        </w:tc>
        <w:tc>
          <w:tcPr>
            <w:tcW w:w="1524" w:type="dxa"/>
            <w:vAlign w:val="top"/>
            <w:tcBorders>
              <w:right w:val="nil"/>
            </w:tcBorders>
          </w:tcPr>
          <w:p>
            <w:pPr>
              <w:ind w:left="583"/>
              <w:spacing w:before="10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0.74</w:t>
            </w:r>
          </w:p>
        </w:tc>
      </w:tr>
      <w:tr>
        <w:trPr>
          <w:trHeight w:val="339" w:hRule="atLeast"/>
        </w:trPr>
        <w:tc>
          <w:tcPr>
            <w:tcW w:w="1126" w:type="dxa"/>
            <w:vAlign w:val="top"/>
            <w:tcBorders>
              <w:left w:val="nil"/>
              <w:bottom w:val="single" w:color="000000" w:sz="10" w:space="0"/>
            </w:tcBorders>
          </w:tcPr>
          <w:p>
            <w:pPr>
              <w:ind w:left="467"/>
              <w:spacing w:before="103" w:line="22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809" w:type="dxa"/>
            <w:vAlign w:val="top"/>
            <w:tcBorders>
              <w:bottom w:val="single" w:color="000000" w:sz="10" w:space="0"/>
            </w:tcBorders>
          </w:tcPr>
          <w:p>
            <w:pPr>
              <w:pStyle w:val="TableText"/>
              <w:ind w:left="778"/>
              <w:spacing w:before="75" w:line="221" w:lineRule="auto"/>
              <w:rPr/>
            </w:pPr>
            <w:r>
              <w:rPr>
                <w:spacing w:val="-2"/>
              </w:rPr>
              <w:t>溶解性总固体</w:t>
            </w:r>
          </w:p>
        </w:tc>
        <w:tc>
          <w:tcPr>
            <w:tcW w:w="1831" w:type="dxa"/>
            <w:vAlign w:val="top"/>
            <w:tcBorders>
              <w:bottom w:val="single" w:color="000000" w:sz="10" w:space="0"/>
            </w:tcBorders>
          </w:tcPr>
          <w:p>
            <w:pPr>
              <w:ind w:left="683"/>
              <w:spacing w:before="6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0.761</w:t>
            </w:r>
          </w:p>
        </w:tc>
        <w:tc>
          <w:tcPr>
            <w:tcW w:w="1443" w:type="dxa"/>
            <w:vAlign w:val="top"/>
            <w:tcBorders>
              <w:bottom w:val="single" w:color="000000" w:sz="10" w:space="0"/>
            </w:tcBorders>
          </w:tcPr>
          <w:p>
            <w:pPr>
              <w:ind w:left="490"/>
              <w:spacing w:before="6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0.806</w:t>
            </w:r>
          </w:p>
        </w:tc>
        <w:tc>
          <w:tcPr>
            <w:tcW w:w="1524" w:type="dxa"/>
            <w:vAlign w:val="top"/>
            <w:tcBorders>
              <w:right w:val="nil"/>
              <w:bottom w:val="single" w:color="000000" w:sz="10" w:space="0"/>
            </w:tcBorders>
          </w:tcPr>
          <w:p>
            <w:pPr>
              <w:ind w:left="530"/>
              <w:spacing w:before="6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0.855</w:t>
            </w:r>
          </w:p>
        </w:tc>
      </w:tr>
    </w:tbl>
    <w:p>
      <w:pPr>
        <w:ind w:left="130" w:right="112" w:firstLine="509"/>
        <w:spacing w:before="114" w:line="354" w:lineRule="auto"/>
        <w:jc w:val="both"/>
        <w:rPr>
          <w:rFonts w:ascii="SimSun" w:hAnsi="SimSun" w:eastAsia="SimSun" w:cs="SimSun"/>
          <w:sz w:val="24"/>
          <w:szCs w:val="24"/>
        </w:rPr>
      </w:pPr>
      <w:r>
        <w:rPr>
          <w:rFonts w:ascii="SimSun" w:hAnsi="SimSun" w:eastAsia="SimSun" w:cs="SimSun"/>
          <w:sz w:val="24"/>
          <w:szCs w:val="24"/>
          <w:spacing w:val="13"/>
        </w:rPr>
        <w:t>由表 </w:t>
      </w:r>
      <w:r>
        <w:rPr>
          <w:rFonts w:ascii="Times New Roman" w:hAnsi="Times New Roman" w:eastAsia="Times New Roman" w:cs="Times New Roman"/>
          <w:sz w:val="24"/>
          <w:szCs w:val="24"/>
          <w:spacing w:val="13"/>
        </w:rPr>
        <w:t>4-5  </w:t>
      </w:r>
      <w:r>
        <w:rPr>
          <w:rFonts w:ascii="SimSun" w:hAnsi="SimSun" w:eastAsia="SimSun" w:cs="SimSun"/>
          <w:sz w:val="24"/>
          <w:szCs w:val="24"/>
          <w:spacing w:val="13"/>
        </w:rPr>
        <w:t>可知，</w:t>
      </w:r>
      <w:r>
        <w:rPr>
          <w:rFonts w:ascii="SimSun" w:hAnsi="SimSun" w:eastAsia="SimSun" w:cs="SimSun"/>
          <w:sz w:val="24"/>
          <w:szCs w:val="24"/>
          <w:spacing w:val="-36"/>
        </w:rPr>
        <w:t xml:space="preserve"> </w:t>
      </w:r>
      <w:r>
        <w:rPr>
          <w:rFonts w:ascii="SimSun" w:hAnsi="SimSun" w:eastAsia="SimSun" w:cs="SimSun"/>
          <w:sz w:val="24"/>
          <w:szCs w:val="24"/>
          <w:spacing w:val="13"/>
        </w:rPr>
        <w:t>评价</w:t>
      </w:r>
      <w:r>
        <w:rPr>
          <w:rFonts w:ascii="SimSun" w:hAnsi="SimSun" w:eastAsia="SimSun" w:cs="SimSun"/>
          <w:sz w:val="24"/>
          <w:szCs w:val="24"/>
          <w:spacing w:val="-65"/>
        </w:rPr>
        <w:t xml:space="preserve"> </w:t>
      </w:r>
      <w:r>
        <w:rPr>
          <w:rFonts w:ascii="SimSun" w:hAnsi="SimSun" w:eastAsia="SimSun" w:cs="SimSun"/>
          <w:sz w:val="24"/>
          <w:szCs w:val="24"/>
          <w:spacing w:val="13"/>
        </w:rPr>
        <w:t>区域</w:t>
      </w:r>
      <w:r>
        <w:rPr>
          <w:rFonts w:ascii="SimSun" w:hAnsi="SimSun" w:eastAsia="SimSun" w:cs="SimSun"/>
          <w:sz w:val="24"/>
          <w:szCs w:val="24"/>
          <w:spacing w:val="-55"/>
        </w:rPr>
        <w:t xml:space="preserve"> </w:t>
      </w:r>
      <w:r>
        <w:rPr>
          <w:rFonts w:ascii="SimSun" w:hAnsi="SimSun" w:eastAsia="SimSun" w:cs="SimSun"/>
          <w:sz w:val="24"/>
          <w:szCs w:val="24"/>
          <w:spacing w:val="13"/>
        </w:rPr>
        <w:t>内地下水现状监测点</w:t>
      </w:r>
      <w:r>
        <w:rPr>
          <w:rFonts w:ascii="SimSun" w:hAnsi="SimSun" w:eastAsia="SimSun" w:cs="SimSun"/>
          <w:sz w:val="24"/>
          <w:szCs w:val="24"/>
          <w:spacing w:val="-65"/>
        </w:rPr>
        <w:t xml:space="preserve"> </w:t>
      </w:r>
      <w:r>
        <w:rPr>
          <w:rFonts w:ascii="SimSun" w:hAnsi="SimSun" w:eastAsia="SimSun" w:cs="SimSun"/>
          <w:sz w:val="24"/>
          <w:szCs w:val="24"/>
          <w:spacing w:val="13"/>
        </w:rPr>
        <w:t>的各项监测指标均满足</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/T14848-2017</w:t>
      </w:r>
      <w:r>
        <w:rPr>
          <w:rFonts w:ascii="SimSun" w:hAnsi="SimSun" w:eastAsia="SimSun" w:cs="SimSun"/>
          <w:sz w:val="24"/>
          <w:szCs w:val="24"/>
          <w:spacing w:val="2"/>
        </w:rPr>
        <w:t>《地下水质量标准》中</w:t>
      </w:r>
      <w:r>
        <w:rPr>
          <w:rFonts w:ascii="Times New Roman" w:hAnsi="Times New Roman" w:eastAsia="Times New Roman" w:cs="Times New Roman"/>
          <w:sz w:val="24"/>
          <w:szCs w:val="24"/>
          <w:spacing w:val="2"/>
        </w:rPr>
        <w:t>Ⅲ</w:t>
      </w:r>
      <w:r>
        <w:rPr>
          <w:rFonts w:ascii="SimSun" w:hAnsi="SimSun" w:eastAsia="SimSun" w:cs="SimSun"/>
          <w:sz w:val="24"/>
          <w:szCs w:val="24"/>
          <w:spacing w:val="2"/>
        </w:rPr>
        <w:t>类标准要求，</w:t>
      </w:r>
      <w:r>
        <w:rPr>
          <w:rFonts w:ascii="SimSun" w:hAnsi="SimSun" w:eastAsia="SimSun" w:cs="SimSun"/>
          <w:sz w:val="24"/>
          <w:szCs w:val="24"/>
          <w:spacing w:val="1"/>
        </w:rPr>
        <w:t>说明地下水未受到污染，</w:t>
      </w:r>
      <w:r>
        <w:rPr>
          <w:rFonts w:ascii="SimSun" w:hAnsi="SimSun" w:eastAsia="SimSun" w:cs="SimSun"/>
          <w:sz w:val="24"/>
          <w:szCs w:val="24"/>
          <w:spacing w:val="-7"/>
        </w:rPr>
        <w:t>水质较好。</w:t>
      </w:r>
    </w:p>
    <w:p>
      <w:pPr>
        <w:ind w:left="609"/>
        <w:spacing w:before="23" w:line="217" w:lineRule="auto"/>
        <w:rPr>
          <w:rFonts w:ascii="SimSun" w:hAnsi="SimSun" w:eastAsia="SimSun" w:cs="SimSun"/>
          <w:sz w:val="24"/>
          <w:szCs w:val="24"/>
        </w:rPr>
      </w:pPr>
      <w:r>
        <w:rPr>
          <w:rFonts w:ascii="SimSun" w:hAnsi="SimSun" w:eastAsia="SimSun" w:cs="SimSun"/>
          <w:sz w:val="24"/>
          <w:szCs w:val="24"/>
          <w:spacing w:val="-1"/>
        </w:rPr>
        <w:t>②地下水化学类型</w:t>
      </w:r>
    </w:p>
    <w:p>
      <w:pPr>
        <w:ind w:left="615"/>
        <w:spacing w:before="106" w:line="233" w:lineRule="auto"/>
        <w:rPr>
          <w:rFonts w:ascii="SimSun" w:hAnsi="SimSun" w:eastAsia="SimSun" w:cs="SimSun"/>
          <w:sz w:val="24"/>
          <w:szCs w:val="24"/>
        </w:rPr>
      </w:pPr>
      <w:r>
        <w:rPr>
          <w:rFonts w:ascii="SimSun" w:hAnsi="SimSun" w:eastAsia="SimSun" w:cs="SimSun"/>
          <w:sz w:val="24"/>
          <w:szCs w:val="24"/>
          <w:spacing w:val="-3"/>
        </w:rPr>
        <w:t>项目区域地下水</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8 </w:t>
      </w:r>
      <w:r>
        <w:rPr>
          <w:rFonts w:ascii="SimSun" w:hAnsi="SimSun" w:eastAsia="SimSun" w:cs="SimSun"/>
          <w:sz w:val="24"/>
          <w:szCs w:val="24"/>
          <w:spacing w:val="-3"/>
        </w:rPr>
        <w:t>大离子现状监测统计结果详见下表。</w:t>
      </w:r>
    </w:p>
    <w:p>
      <w:pPr>
        <w:ind w:left="2264"/>
        <w:spacing w:before="165"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2"/>
        </w:rPr>
        <w:t xml:space="preserve"> </w:t>
      </w:r>
      <w:r>
        <w:rPr>
          <w:rFonts w:ascii="Times New Roman" w:hAnsi="Times New Roman" w:eastAsia="Times New Roman" w:cs="Times New Roman"/>
          <w:sz w:val="24"/>
          <w:szCs w:val="24"/>
          <w:b/>
          <w:bCs/>
          <w:spacing w:val="-2"/>
        </w:rPr>
        <w:t>4-6    </w:t>
      </w:r>
      <w:r>
        <w:rPr>
          <w:rFonts w:ascii="SimSun" w:hAnsi="SimSun" w:eastAsia="SimSun" w:cs="SimSun"/>
          <w:sz w:val="24"/>
          <w:szCs w:val="24"/>
          <w:b/>
          <w:bCs/>
          <w:spacing w:val="-2"/>
        </w:rPr>
        <w:t>地下水</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8 </w:t>
      </w:r>
      <w:r>
        <w:rPr>
          <w:rFonts w:ascii="SimSun" w:hAnsi="SimSun" w:eastAsia="SimSun" w:cs="SimSun"/>
          <w:sz w:val="24"/>
          <w:szCs w:val="24"/>
          <w:b/>
          <w:bCs/>
          <w:spacing w:val="-2"/>
        </w:rPr>
        <w:t>大离子现状监测统</w:t>
      </w:r>
      <w:r>
        <w:rPr>
          <w:rFonts w:ascii="SimSun" w:hAnsi="SimSun" w:eastAsia="SimSun" w:cs="SimSun"/>
          <w:sz w:val="24"/>
          <w:szCs w:val="24"/>
          <w:b/>
          <w:bCs/>
          <w:spacing w:val="-3"/>
        </w:rPr>
        <w:t>计结果表</w:t>
      </w:r>
    </w:p>
    <w:p>
      <w:pPr>
        <w:spacing w:line="130"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23"/>
        <w:gridCol w:w="2587"/>
        <w:gridCol w:w="1961"/>
        <w:gridCol w:w="1964"/>
      </w:tblGrid>
      <w:tr>
        <w:trPr>
          <w:trHeight w:val="240" w:hRule="atLeast"/>
        </w:trPr>
        <w:tc>
          <w:tcPr>
            <w:tcW w:w="2223" w:type="dxa"/>
            <w:vAlign w:val="top"/>
            <w:tcBorders>
              <w:left w:val="nil"/>
              <w:top w:val="single" w:color="000000" w:sz="10" w:space="0"/>
            </w:tcBorders>
          </w:tcPr>
          <w:p>
            <w:pPr>
              <w:pStyle w:val="TableText"/>
              <w:ind w:left="762"/>
              <w:spacing w:before="29" w:line="206" w:lineRule="auto"/>
              <w:rPr>
                <w:sz w:val="18"/>
                <w:szCs w:val="18"/>
              </w:rPr>
            </w:pPr>
            <w:r>
              <w:rPr>
                <w:sz w:val="18"/>
                <w:szCs w:val="18"/>
                <w:spacing w:val="-2"/>
              </w:rPr>
              <w:t>检测项目</w:t>
            </w:r>
          </w:p>
        </w:tc>
        <w:tc>
          <w:tcPr>
            <w:tcW w:w="2587" w:type="dxa"/>
            <w:vAlign w:val="top"/>
            <w:tcBorders>
              <w:top w:val="single" w:color="000000" w:sz="10" w:space="0"/>
            </w:tcBorders>
          </w:tcPr>
          <w:p>
            <w:pPr>
              <w:ind w:left="1220"/>
              <w:spacing w:before="56" w:line="20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w:t>
            </w:r>
          </w:p>
        </w:tc>
        <w:tc>
          <w:tcPr>
            <w:tcW w:w="1961" w:type="dxa"/>
            <w:vAlign w:val="top"/>
            <w:tcBorders>
              <w:top w:val="single" w:color="000000" w:sz="10" w:space="0"/>
            </w:tcBorders>
          </w:tcPr>
          <w:p>
            <w:pPr>
              <w:ind w:left="895"/>
              <w:spacing w:before="56" w:line="20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3#</w:t>
            </w:r>
          </w:p>
        </w:tc>
        <w:tc>
          <w:tcPr>
            <w:tcW w:w="1964" w:type="dxa"/>
            <w:vAlign w:val="top"/>
            <w:tcBorders>
              <w:right w:val="nil"/>
              <w:top w:val="single" w:color="000000" w:sz="10" w:space="0"/>
            </w:tcBorders>
          </w:tcPr>
          <w:p>
            <w:pPr>
              <w:ind w:left="896"/>
              <w:spacing w:before="56" w:line="20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6#</w:t>
            </w:r>
          </w:p>
        </w:tc>
      </w:tr>
      <w:tr>
        <w:trPr>
          <w:trHeight w:val="315" w:hRule="atLeast"/>
        </w:trPr>
        <w:tc>
          <w:tcPr>
            <w:tcW w:w="2223" w:type="dxa"/>
            <w:vAlign w:val="top"/>
            <w:tcBorders>
              <w:left w:val="nil"/>
            </w:tcBorders>
          </w:tcPr>
          <w:p>
            <w:pPr>
              <w:ind w:left="1004"/>
              <w:spacing w:before="34"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position w:val="-4"/>
              </w:rPr>
              <w:t>K</w:t>
            </w:r>
            <w:r>
              <w:rPr>
                <w:rFonts w:ascii="Times New Roman" w:hAnsi="Times New Roman" w:eastAsia="Times New Roman" w:cs="Times New Roman"/>
                <w:sz w:val="13"/>
                <w:szCs w:val="13"/>
                <w:spacing w:val="-1"/>
                <w:position w:val="5"/>
              </w:rPr>
              <w:t>+</w:t>
            </w:r>
          </w:p>
        </w:tc>
        <w:tc>
          <w:tcPr>
            <w:tcW w:w="2587" w:type="dxa"/>
            <w:vAlign w:val="top"/>
          </w:tcPr>
          <w:p>
            <w:pPr>
              <w:ind w:left="1093"/>
              <w:spacing w:before="9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0.006</w:t>
            </w:r>
          </w:p>
        </w:tc>
        <w:tc>
          <w:tcPr>
            <w:tcW w:w="1961" w:type="dxa"/>
            <w:vAlign w:val="top"/>
          </w:tcPr>
          <w:p>
            <w:pPr>
              <w:ind w:left="782"/>
              <w:spacing w:before="9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0.005</w:t>
            </w:r>
          </w:p>
        </w:tc>
        <w:tc>
          <w:tcPr>
            <w:tcW w:w="1964" w:type="dxa"/>
            <w:vAlign w:val="top"/>
            <w:tcBorders>
              <w:right w:val="nil"/>
            </w:tcBorders>
          </w:tcPr>
          <w:p>
            <w:pPr>
              <w:ind w:left="782"/>
              <w:spacing w:before="9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0.322</w:t>
            </w:r>
          </w:p>
        </w:tc>
      </w:tr>
      <w:tr>
        <w:trPr>
          <w:trHeight w:val="317" w:hRule="atLeast"/>
        </w:trPr>
        <w:tc>
          <w:tcPr>
            <w:tcW w:w="2223" w:type="dxa"/>
            <w:vAlign w:val="top"/>
            <w:tcBorders>
              <w:left w:val="nil"/>
            </w:tcBorders>
          </w:tcPr>
          <w:p>
            <w:pPr>
              <w:ind w:left="952"/>
              <w:spacing w:before="38"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2"/>
              </w:rPr>
              <w:t>Na</w:t>
            </w:r>
            <w:r>
              <w:rPr>
                <w:rFonts w:ascii="Times New Roman" w:hAnsi="Times New Roman" w:eastAsia="Times New Roman" w:cs="Times New Roman"/>
                <w:sz w:val="13"/>
                <w:szCs w:val="13"/>
                <w:spacing w:val="10"/>
                <w:position w:val="7"/>
              </w:rPr>
              <w:t>+</w:t>
            </w:r>
          </w:p>
        </w:tc>
        <w:tc>
          <w:tcPr>
            <w:tcW w:w="2587" w:type="dxa"/>
            <w:vAlign w:val="top"/>
          </w:tcPr>
          <w:p>
            <w:pPr>
              <w:ind w:left="1093"/>
              <w:spacing w:before="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0.616</w:t>
            </w:r>
          </w:p>
        </w:tc>
        <w:tc>
          <w:tcPr>
            <w:tcW w:w="1961" w:type="dxa"/>
            <w:vAlign w:val="top"/>
          </w:tcPr>
          <w:p>
            <w:pPr>
              <w:ind w:left="782"/>
              <w:spacing w:before="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0.519</w:t>
            </w:r>
          </w:p>
        </w:tc>
        <w:tc>
          <w:tcPr>
            <w:tcW w:w="1964" w:type="dxa"/>
            <w:vAlign w:val="top"/>
            <w:tcBorders>
              <w:right w:val="nil"/>
            </w:tcBorders>
          </w:tcPr>
          <w:p>
            <w:pPr>
              <w:ind w:left="782"/>
              <w:spacing w:before="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0.440</w:t>
            </w:r>
          </w:p>
        </w:tc>
      </w:tr>
      <w:tr>
        <w:trPr>
          <w:trHeight w:val="315" w:hRule="atLeast"/>
        </w:trPr>
        <w:tc>
          <w:tcPr>
            <w:tcW w:w="2223" w:type="dxa"/>
            <w:vAlign w:val="top"/>
            <w:tcBorders>
              <w:left w:val="nil"/>
            </w:tcBorders>
          </w:tcPr>
          <w:p>
            <w:pPr>
              <w:ind w:left="933"/>
              <w:spacing w:before="38"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4"/>
              </w:rPr>
              <w:t>Ca</w:t>
            </w:r>
            <w:r>
              <w:rPr>
                <w:rFonts w:ascii="Times New Roman" w:hAnsi="Times New Roman" w:eastAsia="Times New Roman" w:cs="Times New Roman"/>
                <w:sz w:val="13"/>
                <w:szCs w:val="13"/>
                <w:spacing w:val="2"/>
                <w:position w:val="5"/>
              </w:rPr>
              <w:t>2+</w:t>
            </w:r>
          </w:p>
        </w:tc>
        <w:tc>
          <w:tcPr>
            <w:tcW w:w="2587" w:type="dxa"/>
            <w:vAlign w:val="top"/>
          </w:tcPr>
          <w:p>
            <w:pPr>
              <w:ind w:left="1093"/>
              <w:spacing w:before="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0.130</w:t>
            </w:r>
          </w:p>
        </w:tc>
        <w:tc>
          <w:tcPr>
            <w:tcW w:w="1961" w:type="dxa"/>
            <w:vAlign w:val="top"/>
          </w:tcPr>
          <w:p>
            <w:pPr>
              <w:ind w:left="782"/>
              <w:spacing w:before="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0.129</w:t>
            </w:r>
          </w:p>
        </w:tc>
        <w:tc>
          <w:tcPr>
            <w:tcW w:w="1964" w:type="dxa"/>
            <w:vAlign w:val="top"/>
            <w:tcBorders>
              <w:right w:val="nil"/>
            </w:tcBorders>
          </w:tcPr>
          <w:p>
            <w:pPr>
              <w:ind w:left="782"/>
              <w:spacing w:before="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0.130</w:t>
            </w:r>
          </w:p>
        </w:tc>
      </w:tr>
      <w:tr>
        <w:trPr>
          <w:trHeight w:val="314" w:hRule="atLeast"/>
        </w:trPr>
        <w:tc>
          <w:tcPr>
            <w:tcW w:w="2223" w:type="dxa"/>
            <w:vAlign w:val="top"/>
            <w:tcBorders>
              <w:left w:val="nil"/>
            </w:tcBorders>
          </w:tcPr>
          <w:p>
            <w:pPr>
              <w:ind w:left="898"/>
              <w:spacing w:before="40" w:line="21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3"/>
              </w:rPr>
              <w:t>Mg</w:t>
            </w:r>
            <w:r>
              <w:rPr>
                <w:rFonts w:ascii="Times New Roman" w:hAnsi="Times New Roman" w:eastAsia="Times New Roman" w:cs="Times New Roman"/>
                <w:sz w:val="13"/>
                <w:szCs w:val="13"/>
                <w:spacing w:val="3"/>
                <w:position w:val="7"/>
              </w:rPr>
              <w:t>2+</w:t>
            </w:r>
          </w:p>
        </w:tc>
        <w:tc>
          <w:tcPr>
            <w:tcW w:w="2587" w:type="dxa"/>
            <w:vAlign w:val="top"/>
          </w:tcPr>
          <w:p>
            <w:pPr>
              <w:ind w:left="1093"/>
              <w:spacing w:before="98"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0.247</w:t>
            </w:r>
          </w:p>
        </w:tc>
        <w:tc>
          <w:tcPr>
            <w:tcW w:w="1961" w:type="dxa"/>
            <w:vAlign w:val="top"/>
          </w:tcPr>
          <w:p>
            <w:pPr>
              <w:ind w:left="782"/>
              <w:spacing w:before="98"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0.347</w:t>
            </w:r>
          </w:p>
        </w:tc>
        <w:tc>
          <w:tcPr>
            <w:tcW w:w="1964" w:type="dxa"/>
            <w:vAlign w:val="top"/>
            <w:tcBorders>
              <w:right w:val="nil"/>
            </w:tcBorders>
          </w:tcPr>
          <w:p>
            <w:pPr>
              <w:ind w:left="782"/>
              <w:spacing w:before="98"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0.422</w:t>
            </w:r>
          </w:p>
        </w:tc>
      </w:tr>
      <w:tr>
        <w:trPr>
          <w:trHeight w:val="315" w:hRule="atLeast"/>
        </w:trPr>
        <w:tc>
          <w:tcPr>
            <w:tcW w:w="2223" w:type="dxa"/>
            <w:vAlign w:val="top"/>
            <w:tcBorders>
              <w:left w:val="nil"/>
            </w:tcBorders>
          </w:tcPr>
          <w:p>
            <w:pPr>
              <w:ind w:left="1001"/>
              <w:spacing w:before="93" w:line="165"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2"/>
              </w:rPr>
              <w:t>Cl</w:t>
            </w:r>
            <w:r>
              <w:rPr>
                <w:rFonts w:ascii="Times New Roman" w:hAnsi="Times New Roman" w:eastAsia="Times New Roman" w:cs="Times New Roman"/>
                <w:sz w:val="13"/>
                <w:szCs w:val="13"/>
                <w:spacing w:val="-2"/>
                <w:position w:val="10"/>
              </w:rPr>
              <w:t>-</w:t>
            </w:r>
          </w:p>
        </w:tc>
        <w:tc>
          <w:tcPr>
            <w:tcW w:w="2587" w:type="dxa"/>
            <w:vAlign w:val="top"/>
          </w:tcPr>
          <w:p>
            <w:pPr>
              <w:ind w:left="1093"/>
              <w:spacing w:before="10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0.267</w:t>
            </w:r>
          </w:p>
        </w:tc>
        <w:tc>
          <w:tcPr>
            <w:tcW w:w="1961" w:type="dxa"/>
            <w:vAlign w:val="top"/>
          </w:tcPr>
          <w:p>
            <w:pPr>
              <w:ind w:left="782"/>
              <w:spacing w:before="10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0.159</w:t>
            </w:r>
          </w:p>
        </w:tc>
        <w:tc>
          <w:tcPr>
            <w:tcW w:w="1964" w:type="dxa"/>
            <w:vAlign w:val="top"/>
            <w:tcBorders>
              <w:right w:val="nil"/>
            </w:tcBorders>
          </w:tcPr>
          <w:p>
            <w:pPr>
              <w:ind w:left="782"/>
              <w:spacing w:before="10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0.259</w:t>
            </w:r>
          </w:p>
        </w:tc>
      </w:tr>
      <w:tr>
        <w:trPr>
          <w:trHeight w:val="315" w:hRule="atLeast"/>
        </w:trPr>
        <w:tc>
          <w:tcPr>
            <w:tcW w:w="2223" w:type="dxa"/>
            <w:vAlign w:val="top"/>
            <w:tcBorders>
              <w:left w:val="nil"/>
            </w:tcBorders>
          </w:tcPr>
          <w:p>
            <w:pPr>
              <w:ind w:left="841"/>
              <w:spacing w:before="98" w:line="177"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HCO</w:t>
            </w:r>
            <w:r>
              <w:rPr>
                <w:rFonts w:ascii="Times New Roman" w:hAnsi="Times New Roman" w:eastAsia="Times New Roman" w:cs="Times New Roman"/>
                <w:sz w:val="13"/>
                <w:szCs w:val="13"/>
                <w:spacing w:val="3"/>
                <w:position w:val="-2"/>
              </w:rPr>
              <w:t>3</w:t>
            </w:r>
            <w:r>
              <w:rPr>
                <w:rFonts w:ascii="Times New Roman" w:hAnsi="Times New Roman" w:eastAsia="Times New Roman" w:cs="Times New Roman"/>
                <w:sz w:val="13"/>
                <w:szCs w:val="13"/>
                <w:spacing w:val="3"/>
                <w:position w:val="10"/>
              </w:rPr>
              <w:t>-</w:t>
            </w:r>
          </w:p>
        </w:tc>
        <w:tc>
          <w:tcPr>
            <w:tcW w:w="2587" w:type="dxa"/>
            <w:vAlign w:val="top"/>
          </w:tcPr>
          <w:p>
            <w:pPr>
              <w:ind w:left="1093"/>
              <w:spacing w:before="10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0.535</w:t>
            </w:r>
          </w:p>
        </w:tc>
        <w:tc>
          <w:tcPr>
            <w:tcW w:w="1961" w:type="dxa"/>
            <w:vAlign w:val="top"/>
          </w:tcPr>
          <w:p>
            <w:pPr>
              <w:ind w:left="782"/>
              <w:spacing w:before="10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0.561</w:t>
            </w:r>
          </w:p>
        </w:tc>
        <w:tc>
          <w:tcPr>
            <w:tcW w:w="1964" w:type="dxa"/>
            <w:vAlign w:val="top"/>
            <w:tcBorders>
              <w:right w:val="nil"/>
            </w:tcBorders>
          </w:tcPr>
          <w:p>
            <w:pPr>
              <w:ind w:left="782"/>
              <w:spacing w:before="10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0.490</w:t>
            </w:r>
          </w:p>
        </w:tc>
      </w:tr>
      <w:tr>
        <w:trPr>
          <w:trHeight w:val="314" w:hRule="atLeast"/>
        </w:trPr>
        <w:tc>
          <w:tcPr>
            <w:tcW w:w="2223" w:type="dxa"/>
            <w:vAlign w:val="top"/>
            <w:tcBorders>
              <w:left w:val="nil"/>
            </w:tcBorders>
          </w:tcPr>
          <w:p>
            <w:pPr>
              <w:ind w:left="885"/>
              <w:spacing w:before="45" w:line="229"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CO</w:t>
            </w:r>
            <w:r>
              <w:rPr>
                <w:rFonts w:ascii="Times New Roman" w:hAnsi="Times New Roman" w:eastAsia="Times New Roman" w:cs="Times New Roman"/>
                <w:sz w:val="13"/>
                <w:szCs w:val="13"/>
                <w:spacing w:val="2"/>
                <w:position w:val="-4"/>
              </w:rPr>
              <w:t>3</w:t>
            </w:r>
            <w:r>
              <w:rPr>
                <w:rFonts w:ascii="Times New Roman" w:hAnsi="Times New Roman" w:eastAsia="Times New Roman" w:cs="Times New Roman"/>
                <w:sz w:val="13"/>
                <w:szCs w:val="13"/>
                <w:spacing w:val="2"/>
                <w:position w:val="8"/>
              </w:rPr>
              <w:t>2-</w:t>
            </w:r>
          </w:p>
        </w:tc>
        <w:tc>
          <w:tcPr>
            <w:tcW w:w="2587" w:type="dxa"/>
            <w:vAlign w:val="top"/>
          </w:tcPr>
          <w:p>
            <w:pPr>
              <w:ind w:left="1249"/>
              <w:spacing w:before="10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961" w:type="dxa"/>
            <w:vAlign w:val="top"/>
          </w:tcPr>
          <w:p>
            <w:pPr>
              <w:ind w:left="938"/>
              <w:spacing w:before="10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964" w:type="dxa"/>
            <w:vAlign w:val="top"/>
            <w:tcBorders>
              <w:right w:val="nil"/>
            </w:tcBorders>
          </w:tcPr>
          <w:p>
            <w:pPr>
              <w:ind w:left="938"/>
              <w:spacing w:before="103"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rPr>
          <w:trHeight w:val="245" w:hRule="atLeast"/>
        </w:trPr>
        <w:tc>
          <w:tcPr>
            <w:tcW w:w="2223" w:type="dxa"/>
            <w:vAlign w:val="top"/>
            <w:tcBorders>
              <w:left w:val="nil"/>
            </w:tcBorders>
          </w:tcPr>
          <w:p>
            <w:pPr>
              <w:ind w:left="901"/>
              <w:spacing w:before="9" w:line="19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position w:val="-1"/>
              </w:rPr>
              <w:t>SO</w:t>
            </w:r>
            <w:r>
              <w:rPr>
                <w:rFonts w:ascii="Times New Roman" w:hAnsi="Times New Roman" w:eastAsia="Times New Roman" w:cs="Times New Roman"/>
                <w:sz w:val="13"/>
                <w:szCs w:val="13"/>
                <w:position w:val="-4"/>
              </w:rPr>
              <w:t>4</w:t>
            </w:r>
            <w:r>
              <w:rPr>
                <w:rFonts w:ascii="Times New Roman" w:hAnsi="Times New Roman" w:eastAsia="Times New Roman" w:cs="Times New Roman"/>
                <w:sz w:val="13"/>
                <w:szCs w:val="13"/>
                <w:position w:val="8"/>
              </w:rPr>
              <w:t>2-</w:t>
            </w:r>
          </w:p>
        </w:tc>
        <w:tc>
          <w:tcPr>
            <w:tcW w:w="2587" w:type="dxa"/>
            <w:vAlign w:val="top"/>
          </w:tcPr>
          <w:p>
            <w:pPr>
              <w:ind w:left="1093"/>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0.198</w:t>
            </w:r>
          </w:p>
        </w:tc>
        <w:tc>
          <w:tcPr>
            <w:tcW w:w="1961" w:type="dxa"/>
            <w:vAlign w:val="top"/>
          </w:tcPr>
          <w:p>
            <w:pPr>
              <w:ind w:left="782"/>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0.280</w:t>
            </w:r>
          </w:p>
        </w:tc>
        <w:tc>
          <w:tcPr>
            <w:tcW w:w="1964" w:type="dxa"/>
            <w:vAlign w:val="top"/>
            <w:tcBorders>
              <w:right w:val="nil"/>
            </w:tcBorders>
          </w:tcPr>
          <w:p>
            <w:pPr>
              <w:ind w:left="782"/>
              <w:spacing w:before="7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0.251</w:t>
            </w:r>
          </w:p>
        </w:tc>
      </w:tr>
      <w:tr>
        <w:trPr>
          <w:trHeight w:val="276" w:hRule="atLeast"/>
        </w:trPr>
        <w:tc>
          <w:tcPr>
            <w:tcW w:w="2223" w:type="dxa"/>
            <w:vAlign w:val="top"/>
            <w:tcBorders>
              <w:left w:val="nil"/>
            </w:tcBorders>
          </w:tcPr>
          <w:p>
            <w:pPr>
              <w:pStyle w:val="TableText"/>
              <w:ind w:left="825"/>
              <w:spacing w:before="47" w:line="192" w:lineRule="auto"/>
              <w:rPr/>
            </w:pPr>
            <w:r>
              <w:rPr>
                <w:spacing w:val="-5"/>
              </w:rPr>
              <w:t>阳离子</w:t>
            </w:r>
          </w:p>
        </w:tc>
        <w:tc>
          <w:tcPr>
            <w:tcW w:w="2587" w:type="dxa"/>
            <w:vAlign w:val="top"/>
          </w:tcPr>
          <w:p>
            <w:pPr>
              <w:ind w:left="1094"/>
              <w:spacing w:before="89" w:line="20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9.738</w:t>
            </w:r>
          </w:p>
        </w:tc>
        <w:tc>
          <w:tcPr>
            <w:tcW w:w="1961" w:type="dxa"/>
            <w:vAlign w:val="top"/>
          </w:tcPr>
          <w:p>
            <w:pPr>
              <w:ind w:left="782"/>
              <w:spacing w:before="89" w:line="20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9.388</w:t>
            </w:r>
          </w:p>
        </w:tc>
        <w:tc>
          <w:tcPr>
            <w:tcW w:w="1964" w:type="dxa"/>
            <w:vAlign w:val="top"/>
            <w:tcBorders>
              <w:right w:val="nil"/>
            </w:tcBorders>
          </w:tcPr>
          <w:p>
            <w:pPr>
              <w:ind w:left="751"/>
              <w:spacing w:before="89" w:line="20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10.280</w:t>
            </w:r>
          </w:p>
        </w:tc>
      </w:tr>
      <w:tr>
        <w:trPr>
          <w:trHeight w:val="276" w:hRule="atLeast"/>
        </w:trPr>
        <w:tc>
          <w:tcPr>
            <w:tcW w:w="2223" w:type="dxa"/>
            <w:vAlign w:val="top"/>
            <w:tcBorders>
              <w:left w:val="nil"/>
            </w:tcBorders>
          </w:tcPr>
          <w:p>
            <w:pPr>
              <w:pStyle w:val="TableText"/>
              <w:ind w:left="826"/>
              <w:spacing w:before="49" w:line="190" w:lineRule="auto"/>
              <w:rPr/>
            </w:pPr>
            <w:r>
              <w:rPr>
                <w:spacing w:val="-5"/>
              </w:rPr>
              <w:t>阴离子</w:t>
            </w:r>
          </w:p>
        </w:tc>
        <w:tc>
          <w:tcPr>
            <w:tcW w:w="2587" w:type="dxa"/>
            <w:vAlign w:val="top"/>
          </w:tcPr>
          <w:p>
            <w:pPr>
              <w:ind w:left="1062"/>
              <w:spacing w:before="91" w:line="20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10.140</w:t>
            </w:r>
          </w:p>
        </w:tc>
        <w:tc>
          <w:tcPr>
            <w:tcW w:w="1961" w:type="dxa"/>
            <w:vAlign w:val="top"/>
          </w:tcPr>
          <w:p>
            <w:pPr>
              <w:ind w:left="782"/>
              <w:spacing w:before="91" w:line="20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9.375</w:t>
            </w:r>
          </w:p>
        </w:tc>
        <w:tc>
          <w:tcPr>
            <w:tcW w:w="1964" w:type="dxa"/>
            <w:vAlign w:val="top"/>
            <w:tcBorders>
              <w:right w:val="nil"/>
            </w:tcBorders>
          </w:tcPr>
          <w:p>
            <w:pPr>
              <w:ind w:left="783"/>
              <w:spacing w:before="91" w:line="20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9.732</w:t>
            </w:r>
          </w:p>
        </w:tc>
      </w:tr>
      <w:tr>
        <w:trPr>
          <w:trHeight w:val="274" w:hRule="atLeast"/>
        </w:trPr>
        <w:tc>
          <w:tcPr>
            <w:tcW w:w="2223" w:type="dxa"/>
            <w:vAlign w:val="top"/>
            <w:tcBorders>
              <w:left w:val="nil"/>
            </w:tcBorders>
          </w:tcPr>
          <w:p>
            <w:pPr>
              <w:pStyle w:val="TableText"/>
              <w:ind w:left="704"/>
              <w:spacing w:before="51" w:line="187" w:lineRule="auto"/>
              <w:rPr/>
            </w:pPr>
            <w:r>
              <w:rPr>
                <w:spacing w:val="-2"/>
              </w:rPr>
              <w:t>相对误差</w:t>
            </w:r>
          </w:p>
        </w:tc>
        <w:tc>
          <w:tcPr>
            <w:tcW w:w="2587" w:type="dxa"/>
            <w:vAlign w:val="top"/>
          </w:tcPr>
          <w:p>
            <w:pPr>
              <w:ind w:left="1063"/>
              <w:spacing w:before="91" w:line="20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-2.026</w:t>
            </w:r>
          </w:p>
        </w:tc>
        <w:tc>
          <w:tcPr>
            <w:tcW w:w="1961" w:type="dxa"/>
            <w:vAlign w:val="top"/>
          </w:tcPr>
          <w:p>
            <w:pPr>
              <w:ind w:left="782"/>
              <w:spacing w:before="91" w:line="20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0.072</w:t>
            </w:r>
          </w:p>
        </w:tc>
        <w:tc>
          <w:tcPr>
            <w:tcW w:w="1964" w:type="dxa"/>
            <w:vAlign w:val="top"/>
            <w:tcBorders>
              <w:right w:val="nil"/>
            </w:tcBorders>
          </w:tcPr>
          <w:p>
            <w:pPr>
              <w:ind w:left="779"/>
              <w:spacing w:before="91" w:line="20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2.738</w:t>
            </w:r>
          </w:p>
        </w:tc>
      </w:tr>
      <w:tr>
        <w:trPr>
          <w:trHeight w:val="300" w:hRule="atLeast"/>
        </w:trPr>
        <w:tc>
          <w:tcPr>
            <w:tcW w:w="2223" w:type="dxa"/>
            <w:vAlign w:val="top"/>
            <w:tcBorders>
              <w:left w:val="nil"/>
              <w:bottom w:val="single" w:color="000000" w:sz="10" w:space="0"/>
            </w:tcBorders>
          </w:tcPr>
          <w:p>
            <w:pPr>
              <w:pStyle w:val="TableText"/>
              <w:ind w:left="824"/>
              <w:spacing w:before="53" w:line="208" w:lineRule="auto"/>
              <w:rPr>
                <w:rFonts w:ascii="Times New Roman" w:hAnsi="Times New Roman" w:eastAsia="Times New Roman" w:cs="Times New Roman"/>
              </w:rPr>
            </w:pPr>
            <w:r>
              <w:rPr>
                <w:spacing w:val="-2"/>
              </w:rPr>
              <w:t>类型</w:t>
            </w:r>
            <w:r>
              <w:rPr>
                <w:spacing w:val="-51"/>
              </w:rPr>
              <w:t xml:space="preserve"> </w:t>
            </w:r>
            <w:r>
              <w:rPr>
                <w:rFonts w:ascii="Times New Roman" w:hAnsi="Times New Roman" w:eastAsia="Times New Roman" w:cs="Times New Roman"/>
                <w:spacing w:val="-2"/>
              </w:rPr>
              <w:t>E</w:t>
            </w:r>
          </w:p>
        </w:tc>
        <w:tc>
          <w:tcPr>
            <w:tcW w:w="2587" w:type="dxa"/>
            <w:vAlign w:val="top"/>
            <w:tcBorders>
              <w:bottom w:val="single" w:color="000000" w:sz="10" w:space="0"/>
            </w:tcBorders>
          </w:tcPr>
          <w:p>
            <w:pPr>
              <w:pStyle w:val="TableText"/>
              <w:ind w:left="627"/>
              <w:spacing w:before="53" w:line="208" w:lineRule="auto"/>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z w:val="13"/>
                <w:szCs w:val="13"/>
                <w:spacing w:val="1"/>
                <w:position w:val="-2"/>
              </w:rPr>
              <w:t>3</w:t>
            </w:r>
            <w:r>
              <w:rPr>
                <w:rFonts w:ascii="Times New Roman" w:hAnsi="Times New Roman" w:eastAsia="Times New Roman" w:cs="Times New Roman"/>
                <w:spacing w:val="1"/>
              </w:rPr>
              <w:t>-</w:t>
            </w:r>
            <w:r>
              <w:rPr>
                <w:rFonts w:ascii="Times New Roman" w:hAnsi="Times New Roman" w:eastAsia="Times New Roman" w:cs="Times New Roman"/>
              </w:rPr>
              <w:t>Na</w:t>
            </w:r>
            <w:r>
              <w:rPr>
                <w:rFonts w:ascii="Times New Roman" w:hAnsi="Times New Roman" w:eastAsia="Times New Roman" w:cs="Times New Roman"/>
                <w:spacing w:val="29"/>
                <w:w w:val="101"/>
              </w:rPr>
              <w:t xml:space="preserve"> </w:t>
            </w:r>
            <w:r>
              <w:rPr>
                <w:spacing w:val="-27"/>
              </w:rPr>
              <w:t>·</w:t>
            </w:r>
            <w:r>
              <w:rPr>
                <w:rFonts w:ascii="Times New Roman" w:hAnsi="Times New Roman" w:eastAsia="Times New Roman" w:cs="Times New Roman"/>
                <w:spacing w:val="-27"/>
              </w:rPr>
              <w:t>Mg</w:t>
            </w:r>
          </w:p>
        </w:tc>
        <w:tc>
          <w:tcPr>
            <w:tcW w:w="1961" w:type="dxa"/>
            <w:vAlign w:val="top"/>
            <w:tcBorders>
              <w:bottom w:val="single" w:color="000000" w:sz="10" w:space="0"/>
            </w:tcBorders>
          </w:tcPr>
          <w:p>
            <w:pPr>
              <w:pStyle w:val="TableText"/>
              <w:ind w:left="316"/>
              <w:spacing w:before="53" w:line="208" w:lineRule="auto"/>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z w:val="13"/>
                <w:szCs w:val="13"/>
                <w:spacing w:val="1"/>
                <w:position w:val="-2"/>
              </w:rPr>
              <w:t>3</w:t>
            </w:r>
            <w:r>
              <w:rPr>
                <w:rFonts w:ascii="Times New Roman" w:hAnsi="Times New Roman" w:eastAsia="Times New Roman" w:cs="Times New Roman"/>
                <w:spacing w:val="1"/>
              </w:rPr>
              <w:t>-</w:t>
            </w:r>
            <w:r>
              <w:rPr>
                <w:rFonts w:ascii="Times New Roman" w:hAnsi="Times New Roman" w:eastAsia="Times New Roman" w:cs="Times New Roman"/>
              </w:rPr>
              <w:t>Na</w:t>
            </w:r>
            <w:r>
              <w:rPr>
                <w:rFonts w:ascii="Times New Roman" w:hAnsi="Times New Roman" w:eastAsia="Times New Roman" w:cs="Times New Roman"/>
                <w:spacing w:val="29"/>
                <w:w w:val="101"/>
              </w:rPr>
              <w:t xml:space="preserve"> </w:t>
            </w:r>
            <w:r>
              <w:rPr>
                <w:spacing w:val="-27"/>
              </w:rPr>
              <w:t>·</w:t>
            </w:r>
            <w:r>
              <w:rPr>
                <w:rFonts w:ascii="Times New Roman" w:hAnsi="Times New Roman" w:eastAsia="Times New Roman" w:cs="Times New Roman"/>
                <w:spacing w:val="-27"/>
              </w:rPr>
              <w:t>Mg</w:t>
            </w:r>
          </w:p>
        </w:tc>
        <w:tc>
          <w:tcPr>
            <w:tcW w:w="1964" w:type="dxa"/>
            <w:vAlign w:val="top"/>
            <w:tcBorders>
              <w:right w:val="nil"/>
              <w:bottom w:val="single" w:color="000000" w:sz="10" w:space="0"/>
            </w:tcBorders>
          </w:tcPr>
          <w:p>
            <w:pPr>
              <w:pStyle w:val="TableText"/>
              <w:ind w:left="316"/>
              <w:spacing w:before="53" w:line="208" w:lineRule="auto"/>
              <w:rPr>
                <w:rFonts w:ascii="Times New Roman" w:hAnsi="Times New Roman" w:eastAsia="Times New Roman" w:cs="Times New Roman"/>
              </w:rPr>
            </w:pPr>
            <w:r>
              <w:rPr>
                <w:rFonts w:ascii="Times New Roman" w:hAnsi="Times New Roman" w:eastAsia="Times New Roman" w:cs="Times New Roman"/>
              </w:rPr>
              <w:t>HCO</w:t>
            </w:r>
            <w:r>
              <w:rPr>
                <w:rFonts w:ascii="Times New Roman" w:hAnsi="Times New Roman" w:eastAsia="Times New Roman" w:cs="Times New Roman"/>
                <w:sz w:val="13"/>
                <w:szCs w:val="13"/>
                <w:spacing w:val="1"/>
                <w:position w:val="-2"/>
              </w:rPr>
              <w:t>3</w:t>
            </w:r>
            <w:r>
              <w:rPr>
                <w:rFonts w:ascii="Times New Roman" w:hAnsi="Times New Roman" w:eastAsia="Times New Roman" w:cs="Times New Roman"/>
                <w:spacing w:val="1"/>
              </w:rPr>
              <w:t>-</w:t>
            </w:r>
            <w:r>
              <w:rPr>
                <w:rFonts w:ascii="Times New Roman" w:hAnsi="Times New Roman" w:eastAsia="Times New Roman" w:cs="Times New Roman"/>
              </w:rPr>
              <w:t>Na</w:t>
            </w:r>
            <w:r>
              <w:rPr>
                <w:rFonts w:ascii="Times New Roman" w:hAnsi="Times New Roman" w:eastAsia="Times New Roman" w:cs="Times New Roman"/>
                <w:spacing w:val="29"/>
              </w:rPr>
              <w:t xml:space="preserve"> </w:t>
            </w:r>
            <w:r>
              <w:rPr>
                <w:spacing w:val="-27"/>
              </w:rPr>
              <w:t>·</w:t>
            </w:r>
            <w:r>
              <w:rPr>
                <w:rFonts w:ascii="Times New Roman" w:hAnsi="Times New Roman" w:eastAsia="Times New Roman" w:cs="Times New Roman"/>
                <w:spacing w:val="-27"/>
              </w:rPr>
              <w:t>Mg</w:t>
            </w:r>
          </w:p>
        </w:tc>
      </w:tr>
    </w:tbl>
    <w:p>
      <w:pPr>
        <w:pStyle w:val="BodyText"/>
        <w:rPr/>
      </w:pPr>
      <w:r/>
    </w:p>
    <w:p>
      <w:pPr>
        <w:sectPr>
          <w:footerReference w:type="default" r:id="rId105"/>
          <w:pgSz w:w="11907" w:h="16839"/>
          <w:pgMar w:top="1582" w:right="1591" w:bottom="1235" w:left="1579" w:header="1241" w:footer="992" w:gutter="0"/>
        </w:sectPr>
        <w:rPr/>
      </w:pPr>
    </w:p>
    <w:p>
      <w:pPr>
        <w:ind w:left="117" w:right="2" w:firstLine="479"/>
        <w:spacing w:before="152" w:line="362" w:lineRule="auto"/>
        <w:jc w:val="both"/>
        <w:rPr>
          <w:rFonts w:ascii="SimSun" w:hAnsi="SimSun" w:eastAsia="SimSun" w:cs="SimSun"/>
          <w:sz w:val="24"/>
          <w:szCs w:val="24"/>
        </w:rPr>
      </w:pPr>
      <w:r>
        <w:rPr>
          <w:rFonts w:ascii="SimSun" w:hAnsi="SimSun" w:eastAsia="SimSun" w:cs="SimSun"/>
          <w:sz w:val="24"/>
          <w:szCs w:val="24"/>
          <w:spacing w:val="-1"/>
        </w:rPr>
        <w:t>根据统计结果，水中阴阳离子毫克当量总数彼此大致相等（阴离</w:t>
      </w:r>
      <w:r>
        <w:rPr>
          <w:rFonts w:ascii="SimSun" w:hAnsi="SimSun" w:eastAsia="SimSun" w:cs="SimSun"/>
          <w:sz w:val="24"/>
          <w:szCs w:val="24"/>
          <w:spacing w:val="-2"/>
        </w:rPr>
        <w:t>子电荷总数）</w:t>
      </w:r>
      <w:r>
        <w:rPr>
          <w:rFonts w:ascii="SimSun" w:hAnsi="SimSun" w:eastAsia="SimSun" w:cs="SimSun"/>
          <w:sz w:val="24"/>
          <w:szCs w:val="24"/>
          <w:spacing w:val="1"/>
        </w:rPr>
        <w:t>与阳离子电荷总数之间平衡误差小于±</w:t>
      </w:r>
      <w:r>
        <w:rPr>
          <w:rFonts w:ascii="Times New Roman" w:hAnsi="Times New Roman" w:eastAsia="Times New Roman" w:cs="Times New Roman"/>
          <w:sz w:val="24"/>
          <w:szCs w:val="24"/>
          <w:spacing w:val="1"/>
        </w:rPr>
        <w:t>5%</w:t>
      </w:r>
      <w:r>
        <w:rPr>
          <w:rFonts w:ascii="SimSun" w:hAnsi="SimSun" w:eastAsia="SimSun" w:cs="SimSun"/>
          <w:sz w:val="24"/>
          <w:szCs w:val="24"/>
          <w:spacing w:val="-4"/>
        </w:rPr>
        <w:t>），</w:t>
      </w:r>
      <w:r>
        <w:rPr>
          <w:rFonts w:ascii="SimSun" w:hAnsi="SimSun" w:eastAsia="SimSun" w:cs="SimSun"/>
          <w:sz w:val="24"/>
          <w:szCs w:val="24"/>
        </w:rPr>
        <w:t>水中阴阳离子基本平衡；评价区范</w:t>
      </w:r>
      <w:r>
        <w:rPr>
          <w:rFonts w:ascii="SimSun" w:hAnsi="SimSun" w:eastAsia="SimSun" w:cs="SimSun"/>
          <w:sz w:val="24"/>
          <w:szCs w:val="24"/>
          <w:spacing w:val="2"/>
        </w:rPr>
        <w:t>围内地下水阴离子以重碳酸根离子为主，阳离子以钠镁离子为主。按舒卡列夫分</w:t>
      </w:r>
      <w:r>
        <w:rPr>
          <w:rFonts w:ascii="SimSun" w:hAnsi="SimSun" w:eastAsia="SimSun" w:cs="SimSun"/>
          <w:sz w:val="24"/>
          <w:szCs w:val="24"/>
          <w:spacing w:val="-1"/>
        </w:rPr>
        <w:t>类，地下水化学类型主要为</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HCO</w:t>
      </w:r>
      <w:r>
        <w:rPr>
          <w:rFonts w:ascii="Times New Roman" w:hAnsi="Times New Roman" w:eastAsia="Times New Roman" w:cs="Times New Roman"/>
          <w:sz w:val="16"/>
          <w:szCs w:val="16"/>
          <w:spacing w:val="-1"/>
          <w:position w:val="-3"/>
        </w:rPr>
        <w:t>3</w:t>
      </w:r>
      <w:r>
        <w:rPr>
          <w:rFonts w:ascii="Times New Roman" w:hAnsi="Times New Roman" w:eastAsia="Times New Roman" w:cs="Times New Roman"/>
          <w:sz w:val="24"/>
          <w:szCs w:val="24"/>
          <w:spacing w:val="-1"/>
        </w:rPr>
        <w:t>-Na</w:t>
      </w:r>
      <w:r>
        <w:rPr>
          <w:rFonts w:ascii="SimSun" w:hAnsi="SimSun" w:eastAsia="SimSun" w:cs="SimSun"/>
          <w:sz w:val="24"/>
          <w:szCs w:val="24"/>
          <w:spacing w:val="-1"/>
        </w:rPr>
        <w:t>·</w:t>
      </w:r>
      <w:r>
        <w:rPr>
          <w:rFonts w:ascii="Times New Roman" w:hAnsi="Times New Roman" w:eastAsia="Times New Roman" w:cs="Times New Roman"/>
          <w:sz w:val="24"/>
          <w:szCs w:val="24"/>
          <w:spacing w:val="-1"/>
        </w:rPr>
        <w:t>Mg </w:t>
      </w:r>
      <w:r>
        <w:rPr>
          <w:rFonts w:ascii="SimSun" w:hAnsi="SimSun" w:eastAsia="SimSun" w:cs="SimSun"/>
          <w:sz w:val="24"/>
          <w:szCs w:val="24"/>
          <w:spacing w:val="-1"/>
        </w:rPr>
        <w:t>型。</w:t>
      </w:r>
    </w:p>
    <w:p>
      <w:pPr>
        <w:pStyle w:val="BodyText"/>
        <w:spacing w:line="247" w:lineRule="auto"/>
        <w:rPr/>
      </w:pPr>
      <w:r/>
    </w:p>
    <w:p>
      <w:pPr>
        <w:ind w:left="114"/>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4.2.2 </w:t>
      </w:r>
      <w:r>
        <w:rPr>
          <w:rFonts w:ascii="SimSun" w:hAnsi="SimSun" w:eastAsia="SimSun" w:cs="SimSun"/>
          <w:sz w:val="24"/>
          <w:szCs w:val="24"/>
          <w:b/>
          <w:bCs/>
          <w:spacing w:val="-2"/>
        </w:rPr>
        <w:t>环境空气质量现状评价</w:t>
      </w:r>
    </w:p>
    <w:p>
      <w:pPr>
        <w:pStyle w:val="BodyText"/>
        <w:spacing w:line="266" w:lineRule="auto"/>
        <w:rPr/>
      </w:pPr>
      <w:r/>
    </w:p>
    <w:p>
      <w:pPr>
        <w:ind w:left="603"/>
        <w:spacing w:before="78"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）基本污染物</w:t>
      </w:r>
    </w:p>
    <w:p>
      <w:pPr>
        <w:ind w:left="118" w:right="108" w:firstLine="478"/>
        <w:spacing w:before="241" w:line="345" w:lineRule="auto"/>
        <w:jc w:val="both"/>
        <w:rPr>
          <w:rFonts w:ascii="SimSun" w:hAnsi="SimSun" w:eastAsia="SimSun" w:cs="SimSun"/>
          <w:sz w:val="24"/>
          <w:szCs w:val="24"/>
        </w:rPr>
      </w:pPr>
      <w:r>
        <w:rPr>
          <w:rFonts w:ascii="SimSun" w:hAnsi="SimSun" w:eastAsia="SimSun" w:cs="SimSun"/>
          <w:sz w:val="24"/>
          <w:szCs w:val="24"/>
          <w:spacing w:val="-2"/>
        </w:rPr>
        <w:t>根据《环境影响评价技术导则  大气环境》（</w:t>
      </w:r>
      <w:r>
        <w:rPr>
          <w:rFonts w:ascii="Times New Roman" w:hAnsi="Times New Roman" w:eastAsia="Times New Roman" w:cs="Times New Roman"/>
          <w:sz w:val="24"/>
          <w:szCs w:val="24"/>
          <w:spacing w:val="-2"/>
        </w:rPr>
        <w:t>HJ2.2-2018</w:t>
      </w:r>
      <w:r>
        <w:rPr>
          <w:rFonts w:ascii="SimSun" w:hAnsi="SimSun" w:eastAsia="SimSun" w:cs="SimSun"/>
          <w:sz w:val="24"/>
          <w:szCs w:val="24"/>
          <w:spacing w:val="1"/>
        </w:rPr>
        <w:t>），</w:t>
      </w:r>
      <w:r>
        <w:rPr>
          <w:rFonts w:ascii="SimSun" w:hAnsi="SimSun" w:eastAsia="SimSun" w:cs="SimSun"/>
          <w:sz w:val="24"/>
          <w:szCs w:val="24"/>
          <w:spacing w:val="-2"/>
        </w:rPr>
        <w:t>项目所在区域达</w:t>
      </w:r>
      <w:r>
        <w:rPr>
          <w:rFonts w:ascii="SimSun" w:hAnsi="SimSun" w:eastAsia="SimSun" w:cs="SimSun"/>
          <w:sz w:val="24"/>
          <w:szCs w:val="24"/>
          <w:spacing w:val="2"/>
        </w:rPr>
        <w:t>标判定，优先采用国家或地方生态环境主管部门公开发布的评价基准年环境质量</w:t>
      </w:r>
      <w:r>
        <w:rPr>
          <w:rFonts w:ascii="SimSun" w:hAnsi="SimSun" w:eastAsia="SimSun" w:cs="SimSun"/>
          <w:sz w:val="24"/>
          <w:szCs w:val="24"/>
          <w:spacing w:val="-1"/>
        </w:rPr>
        <w:t>公告或环境质量报告中的数据或结论。其中评价基准年为近 </w:t>
      </w:r>
      <w:r>
        <w:rPr>
          <w:rFonts w:ascii="Times New Roman" w:hAnsi="Times New Roman" w:eastAsia="Times New Roman" w:cs="Times New Roman"/>
          <w:sz w:val="24"/>
          <w:szCs w:val="24"/>
          <w:spacing w:val="-1"/>
        </w:rPr>
        <w:t>3  </w:t>
      </w:r>
      <w:r>
        <w:rPr>
          <w:rFonts w:ascii="SimSun" w:hAnsi="SimSun" w:eastAsia="SimSun" w:cs="SimSun"/>
          <w:sz w:val="24"/>
          <w:szCs w:val="24"/>
          <w:spacing w:val="-1"/>
        </w:rPr>
        <w:t>年中数据相对完整</w:t>
      </w:r>
      <w:r>
        <w:rPr>
          <w:rFonts w:ascii="SimSun" w:hAnsi="SimSun" w:eastAsia="SimSun" w:cs="SimSun"/>
          <w:sz w:val="24"/>
          <w:szCs w:val="24"/>
          <w:spacing w:val="-3"/>
        </w:rPr>
        <w:t>的</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个日历年作为评价基准年。</w:t>
      </w:r>
    </w:p>
    <w:p>
      <w:pPr>
        <w:ind w:left="118" w:right="105" w:firstLine="479"/>
        <w:spacing w:line="356" w:lineRule="auto"/>
        <w:jc w:val="both"/>
        <w:rPr>
          <w:rFonts w:ascii="SimSun" w:hAnsi="SimSun" w:eastAsia="SimSun" w:cs="SimSun"/>
          <w:sz w:val="24"/>
          <w:szCs w:val="24"/>
        </w:rPr>
      </w:pPr>
      <w:r>
        <w:rPr>
          <w:rFonts w:ascii="SimSun" w:hAnsi="SimSun" w:eastAsia="SimSun" w:cs="SimSun"/>
          <w:sz w:val="24"/>
          <w:szCs w:val="24"/>
          <w:spacing w:val="-1"/>
        </w:rPr>
        <w:t>本项目设定的评价基准年为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2024 </w:t>
      </w:r>
      <w:r>
        <w:rPr>
          <w:rFonts w:ascii="SimSun" w:hAnsi="SimSun" w:eastAsia="SimSun" w:cs="SimSun"/>
          <w:sz w:val="24"/>
          <w:szCs w:val="24"/>
          <w:spacing w:val="-1"/>
        </w:rPr>
        <w:t>年，根据《环境影响评价技术导则  大气环</w:t>
      </w:r>
      <w:r>
        <w:rPr>
          <w:rFonts w:ascii="SimSun" w:hAnsi="SimSun" w:eastAsia="SimSun" w:cs="SimSun"/>
          <w:sz w:val="24"/>
          <w:szCs w:val="24"/>
          <w:spacing w:val="-4"/>
        </w:rPr>
        <w:t>境》（</w:t>
      </w:r>
      <w:r>
        <w:rPr>
          <w:rFonts w:ascii="Times New Roman" w:hAnsi="Times New Roman" w:eastAsia="Times New Roman" w:cs="Times New Roman"/>
          <w:sz w:val="24"/>
          <w:szCs w:val="24"/>
          <w:spacing w:val="-4"/>
        </w:rPr>
        <w:t>HJ2.2-2018</w:t>
      </w:r>
      <w:r>
        <w:rPr>
          <w:rFonts w:ascii="SimSun" w:hAnsi="SimSun" w:eastAsia="SimSun" w:cs="SimSun"/>
          <w:sz w:val="24"/>
          <w:szCs w:val="24"/>
          <w:spacing w:val="-24"/>
        </w:rPr>
        <w:t>），</w:t>
      </w:r>
      <w:r>
        <w:rPr>
          <w:rFonts w:ascii="SimSun" w:hAnsi="SimSun" w:eastAsia="SimSun" w:cs="SimSun"/>
          <w:sz w:val="24"/>
          <w:szCs w:val="24"/>
          <w:spacing w:val="-4"/>
        </w:rPr>
        <w:t>本项目环境空气质量现状数据引用</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4"/>
        </w:rPr>
        <w:t>2025 </w:t>
      </w:r>
      <w:r>
        <w:rPr>
          <w:rFonts w:ascii="SimSun" w:hAnsi="SimSun" w:eastAsia="SimSun" w:cs="SimSun"/>
          <w:sz w:val="24"/>
          <w:szCs w:val="24"/>
          <w:spacing w:val="-4"/>
        </w:rPr>
        <w:t>年</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5</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月发布的《</w:t>
      </w:r>
      <w:r>
        <w:rPr>
          <w:rFonts w:ascii="Times New Roman" w:hAnsi="Times New Roman" w:eastAsia="Times New Roman" w:cs="Times New Roman"/>
          <w:sz w:val="24"/>
          <w:szCs w:val="24"/>
          <w:spacing w:val="-4"/>
        </w:rPr>
        <w:t>2024</w:t>
      </w:r>
      <w:r>
        <w:rPr>
          <w:rFonts w:ascii="SimSun" w:hAnsi="SimSun" w:eastAsia="SimSun" w:cs="SimSun"/>
          <w:sz w:val="24"/>
          <w:szCs w:val="24"/>
          <w:spacing w:val="-1"/>
        </w:rPr>
        <w:t>年内蒙古自治区生态环境状况公报》全区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12</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盟市环境空气质量均达标。其中锡林</w:t>
      </w:r>
      <w:r>
        <w:rPr>
          <w:rFonts w:ascii="SimSun" w:hAnsi="SimSun" w:eastAsia="SimSun" w:cs="SimSun"/>
          <w:sz w:val="24"/>
          <w:szCs w:val="24"/>
          <w:spacing w:val="-4"/>
        </w:rPr>
        <w:t>郭勒盟</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4"/>
        </w:rPr>
        <w:t>2024</w:t>
      </w:r>
      <w:r>
        <w:rPr>
          <w:rFonts w:ascii="Times New Roman" w:hAnsi="Times New Roman" w:eastAsia="Times New Roman" w:cs="Times New Roman"/>
          <w:sz w:val="24"/>
          <w:szCs w:val="24"/>
          <w:spacing w:val="22"/>
          <w:w w:val="101"/>
        </w:rPr>
        <w:t xml:space="preserve"> </w:t>
      </w:r>
      <w:r>
        <w:rPr>
          <w:rFonts w:ascii="SimSun" w:hAnsi="SimSun" w:eastAsia="SimSun" w:cs="SimSun"/>
          <w:sz w:val="24"/>
          <w:szCs w:val="24"/>
          <w:spacing w:val="-4"/>
        </w:rPr>
        <w:t>年</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4"/>
        </w:rPr>
        <w:t>SO</w:t>
      </w:r>
      <w:r>
        <w:rPr>
          <w:rFonts w:ascii="Times New Roman" w:hAnsi="Times New Roman" w:eastAsia="Times New Roman" w:cs="Times New Roman"/>
          <w:sz w:val="16"/>
          <w:szCs w:val="16"/>
          <w:spacing w:val="-4"/>
          <w:position w:val="-2"/>
        </w:rPr>
        <w:t>2</w:t>
      </w:r>
      <w:r>
        <w:rPr>
          <w:rFonts w:ascii="Times New Roman" w:hAnsi="Times New Roman" w:eastAsia="Times New Roman" w:cs="Times New Roman"/>
          <w:sz w:val="16"/>
          <w:szCs w:val="16"/>
          <w:spacing w:val="-12"/>
          <w:position w:val="-2"/>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NO</w:t>
      </w:r>
      <w:r>
        <w:rPr>
          <w:rFonts w:ascii="Times New Roman" w:hAnsi="Times New Roman" w:eastAsia="Times New Roman" w:cs="Times New Roman"/>
          <w:sz w:val="16"/>
          <w:szCs w:val="16"/>
          <w:spacing w:val="-4"/>
          <w:position w:val="-2"/>
        </w:rPr>
        <w:t>2</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PM</w:t>
      </w:r>
      <w:r>
        <w:rPr>
          <w:rFonts w:ascii="Times New Roman" w:hAnsi="Times New Roman" w:eastAsia="Times New Roman" w:cs="Times New Roman"/>
          <w:sz w:val="16"/>
          <w:szCs w:val="16"/>
          <w:spacing w:val="-4"/>
          <w:position w:val="-2"/>
        </w:rPr>
        <w:t>10</w:t>
      </w:r>
      <w:r>
        <w:rPr>
          <w:rFonts w:ascii="Times New Roman" w:hAnsi="Times New Roman" w:eastAsia="Times New Roman" w:cs="Times New Roman"/>
          <w:sz w:val="16"/>
          <w:szCs w:val="16"/>
          <w:spacing w:val="-12"/>
          <w:position w:val="-2"/>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PM</w:t>
      </w:r>
      <w:r>
        <w:rPr>
          <w:rFonts w:ascii="Times New Roman" w:hAnsi="Times New Roman" w:eastAsia="Times New Roman" w:cs="Times New Roman"/>
          <w:sz w:val="16"/>
          <w:szCs w:val="16"/>
          <w:spacing w:val="-4"/>
          <w:position w:val="-2"/>
        </w:rPr>
        <w:t>2.5</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O</w:t>
      </w:r>
      <w:r>
        <w:rPr>
          <w:rFonts w:ascii="Times New Roman" w:hAnsi="Times New Roman" w:eastAsia="Times New Roman" w:cs="Times New Roman"/>
          <w:sz w:val="16"/>
          <w:szCs w:val="16"/>
          <w:spacing w:val="-4"/>
          <w:position w:val="-2"/>
        </w:rPr>
        <w:t>3</w:t>
      </w:r>
      <w:r>
        <w:rPr>
          <w:rFonts w:ascii="Times New Roman" w:hAnsi="Times New Roman" w:eastAsia="Times New Roman" w:cs="Times New Roman"/>
          <w:sz w:val="16"/>
          <w:szCs w:val="16"/>
          <w:spacing w:val="-15"/>
          <w:position w:val="-2"/>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CO</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4"/>
        </w:rPr>
        <w:t>各基本污染物</w:t>
      </w:r>
      <w:r>
        <w:rPr>
          <w:rFonts w:ascii="SimSun" w:hAnsi="SimSun" w:eastAsia="SimSun" w:cs="SimSun"/>
          <w:sz w:val="24"/>
          <w:szCs w:val="24"/>
          <w:spacing w:val="-5"/>
        </w:rPr>
        <w:t>平均浓度均优于</w:t>
      </w:r>
      <w:r>
        <w:rPr>
          <w:rFonts w:ascii="SimSun" w:hAnsi="SimSun" w:eastAsia="SimSun" w:cs="SimSun"/>
          <w:sz w:val="24"/>
          <w:szCs w:val="24"/>
          <w:spacing w:val="-2"/>
        </w:rPr>
        <w:t>《环境空气质量标准》（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）及修改单中二级标</w:t>
      </w:r>
      <w:r>
        <w:rPr>
          <w:rFonts w:ascii="SimSun" w:hAnsi="SimSun" w:eastAsia="SimSun" w:cs="SimSun"/>
          <w:sz w:val="24"/>
          <w:szCs w:val="24"/>
          <w:spacing w:val="-3"/>
        </w:rPr>
        <w:t>准限值，根据《环境影</w:t>
      </w:r>
      <w:r>
        <w:rPr>
          <w:rFonts w:ascii="SimSun" w:hAnsi="SimSun" w:eastAsia="SimSun" w:cs="SimSun"/>
          <w:sz w:val="24"/>
          <w:szCs w:val="24"/>
          <w:spacing w:val="-2"/>
        </w:rPr>
        <w:t>响评价技术导则  大气环境》（</w:t>
      </w:r>
      <w:r>
        <w:rPr>
          <w:rFonts w:ascii="Times New Roman" w:hAnsi="Times New Roman" w:eastAsia="Times New Roman" w:cs="Times New Roman"/>
          <w:sz w:val="24"/>
          <w:szCs w:val="24"/>
          <w:spacing w:val="-2"/>
        </w:rPr>
        <w:t>HJ2.2-2018</w:t>
      </w:r>
      <w:r>
        <w:rPr>
          <w:rFonts w:ascii="SimSun" w:hAnsi="SimSun" w:eastAsia="SimSun" w:cs="SimSun"/>
          <w:sz w:val="24"/>
          <w:szCs w:val="24"/>
          <w:spacing w:val="-2"/>
        </w:rPr>
        <w:t>）的要求，六项污染物全部达标即为城</w:t>
      </w:r>
      <w:r>
        <w:rPr>
          <w:rFonts w:ascii="SimSun" w:hAnsi="SimSun" w:eastAsia="SimSun" w:cs="SimSun"/>
          <w:sz w:val="24"/>
          <w:szCs w:val="24"/>
          <w:spacing w:val="-1"/>
        </w:rPr>
        <w:t>市空气质量达标。因此，项目所在区域为达标区域。</w:t>
      </w:r>
    </w:p>
    <w:p>
      <w:pPr>
        <w:ind w:left="603"/>
        <w:spacing w:before="108"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）补充监测</w:t>
      </w:r>
    </w:p>
    <w:p>
      <w:pPr>
        <w:ind w:left="596"/>
        <w:spacing w:before="164" w:line="217" w:lineRule="auto"/>
        <w:rPr>
          <w:rFonts w:ascii="SimSun" w:hAnsi="SimSun" w:eastAsia="SimSun" w:cs="SimSun"/>
          <w:sz w:val="24"/>
          <w:szCs w:val="24"/>
        </w:rPr>
      </w:pPr>
      <w:r>
        <w:rPr>
          <w:rFonts w:ascii="SimSun" w:hAnsi="SimSun" w:eastAsia="SimSun" w:cs="SimSun"/>
          <w:sz w:val="24"/>
          <w:szCs w:val="24"/>
          <w:spacing w:val="-2"/>
        </w:rPr>
        <w:t>①监测点位布设</w:t>
      </w:r>
    </w:p>
    <w:p>
      <w:pPr>
        <w:ind w:left="116" w:right="41" w:firstLine="481"/>
        <w:spacing w:before="185" w:line="357" w:lineRule="auto"/>
        <w:jc w:val="both"/>
        <w:rPr>
          <w:rFonts w:ascii="SimSun" w:hAnsi="SimSun" w:eastAsia="SimSun" w:cs="SimSun"/>
          <w:sz w:val="24"/>
          <w:szCs w:val="24"/>
        </w:rPr>
      </w:pPr>
      <w:r>
        <w:rPr>
          <w:rFonts w:ascii="SimSun" w:hAnsi="SimSun" w:eastAsia="SimSun" w:cs="SimSun"/>
          <w:sz w:val="24"/>
          <w:szCs w:val="24"/>
          <w:spacing w:val="3"/>
        </w:rPr>
        <w:t>本项目环境空气监测数据引用《锡林浩特市金</w:t>
      </w:r>
      <w:r>
        <w:rPr>
          <w:rFonts w:ascii="SimSun" w:hAnsi="SimSun" w:eastAsia="SimSun" w:cs="SimSun"/>
          <w:sz w:val="24"/>
          <w:szCs w:val="24"/>
          <w:spacing w:val="2"/>
        </w:rPr>
        <w:t>顺吉牛农牧业有限公司肉牛育</w:t>
      </w:r>
      <w:r>
        <w:rPr>
          <w:rFonts w:ascii="SimSun" w:hAnsi="SimSun" w:eastAsia="SimSun" w:cs="SimSun"/>
          <w:sz w:val="24"/>
          <w:szCs w:val="24"/>
          <w:spacing w:val="-9"/>
        </w:rPr>
        <w:t>肥基地建设项目环境影响报告书》环境现状监测数据，时间为</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9"/>
        </w:rPr>
        <w:t>2024 </w:t>
      </w:r>
      <w:r>
        <w:rPr>
          <w:rFonts w:ascii="SimSun" w:hAnsi="SimSun" w:eastAsia="SimSun" w:cs="SimSun"/>
          <w:sz w:val="24"/>
          <w:szCs w:val="24"/>
          <w:spacing w:val="-9"/>
        </w:rPr>
        <w:t>年</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9"/>
        </w:rPr>
        <w:t>7</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9"/>
        </w:rPr>
        <w:t>月</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9"/>
        </w:rPr>
        <w:t>5-11  </w:t>
      </w:r>
      <w:r>
        <w:rPr>
          <w:rFonts w:ascii="SimSun" w:hAnsi="SimSun" w:eastAsia="SimSun" w:cs="SimSun"/>
          <w:sz w:val="24"/>
          <w:szCs w:val="24"/>
          <w:spacing w:val="-9"/>
        </w:rPr>
        <w:t>日，</w:t>
      </w:r>
      <w:r>
        <w:rPr>
          <w:rFonts w:ascii="SimSun" w:hAnsi="SimSun" w:eastAsia="SimSun" w:cs="SimSun"/>
          <w:sz w:val="24"/>
          <w:szCs w:val="24"/>
          <w:spacing w:val="-3"/>
        </w:rPr>
        <w:t>距离本项目约 </w:t>
      </w:r>
      <w:r>
        <w:rPr>
          <w:rFonts w:ascii="Times New Roman" w:hAnsi="Times New Roman" w:eastAsia="Times New Roman" w:cs="Times New Roman"/>
          <w:sz w:val="24"/>
          <w:szCs w:val="24"/>
          <w:spacing w:val="-3"/>
        </w:rPr>
        <w:t>3km</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3"/>
        </w:rPr>
        <w:t>。引用监测数据布设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43"/>
        </w:rPr>
        <w:t xml:space="preserve"> </w:t>
      </w:r>
      <w:r>
        <w:rPr>
          <w:rFonts w:ascii="SimSun" w:hAnsi="SimSun" w:eastAsia="SimSun" w:cs="SimSun"/>
          <w:sz w:val="24"/>
          <w:szCs w:val="24"/>
          <w:spacing w:val="-3"/>
        </w:rPr>
        <w:t>个环境空气监测点位，点位布设情况见</w:t>
      </w:r>
      <w:r>
        <w:rPr>
          <w:rFonts w:ascii="SimSun" w:hAnsi="SimSun" w:eastAsia="SimSun" w:cs="SimSun"/>
          <w:sz w:val="24"/>
          <w:szCs w:val="24"/>
          <w:spacing w:val="-1"/>
        </w:rPr>
        <w:t>引用数据监测布点图。</w:t>
      </w:r>
    </w:p>
    <w:p>
      <w:pPr>
        <w:ind w:left="2248"/>
        <w:spacing w:before="17"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36"/>
        </w:rPr>
        <w:t xml:space="preserve"> </w:t>
      </w:r>
      <w:r>
        <w:rPr>
          <w:rFonts w:ascii="Times New Roman" w:hAnsi="Times New Roman" w:eastAsia="Times New Roman" w:cs="Times New Roman"/>
          <w:sz w:val="24"/>
          <w:szCs w:val="24"/>
          <w:b/>
          <w:bCs/>
          <w:spacing w:val="-2"/>
        </w:rPr>
        <w:t>4-8          </w:t>
      </w:r>
      <w:r>
        <w:rPr>
          <w:rFonts w:ascii="SimSun" w:hAnsi="SimSun" w:eastAsia="SimSun" w:cs="SimSun"/>
          <w:sz w:val="24"/>
          <w:szCs w:val="24"/>
          <w:b/>
          <w:bCs/>
          <w:spacing w:val="-2"/>
        </w:rPr>
        <w:t>环境空气质量现状监测布点</w:t>
      </w:r>
    </w:p>
    <w:p>
      <w:pPr>
        <w:spacing w:line="52" w:lineRule="exact"/>
        <w:rPr/>
      </w:pPr>
      <w:r/>
    </w:p>
    <w:tbl>
      <w:tblPr>
        <w:tblStyle w:val="TableNormal"/>
        <w:tblW w:w="87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4"/>
        <w:gridCol w:w="1388"/>
        <w:gridCol w:w="621"/>
        <w:gridCol w:w="396"/>
        <w:gridCol w:w="905"/>
        <w:gridCol w:w="473"/>
        <w:gridCol w:w="411"/>
        <w:gridCol w:w="869"/>
        <w:gridCol w:w="1062"/>
        <w:gridCol w:w="1023"/>
        <w:gridCol w:w="1129"/>
      </w:tblGrid>
      <w:tr>
        <w:trPr>
          <w:trHeight w:val="278" w:hRule="atLeast"/>
        </w:trPr>
        <w:tc>
          <w:tcPr>
            <w:tcW w:w="444" w:type="dxa"/>
            <w:vAlign w:val="top"/>
            <w:vMerge w:val="restart"/>
            <w:textDirection w:val="tbRlV"/>
            <w:tcBorders>
              <w:left w:val="nil"/>
              <w:top w:val="single" w:color="000000" w:sz="10" w:space="0"/>
              <w:bottom w:val="nil"/>
            </w:tcBorders>
          </w:tcPr>
          <w:p>
            <w:pPr>
              <w:pStyle w:val="TableText"/>
              <w:ind w:left="38"/>
              <w:spacing w:before="122" w:line="211" w:lineRule="auto"/>
              <w:rPr/>
            </w:pPr>
            <w:r>
              <w:rPr>
                <w:b/>
                <w:bCs/>
                <w:spacing w:val="-2"/>
              </w:rPr>
              <w:t>序</w:t>
            </w:r>
            <w:r>
              <w:rPr>
                <w:spacing w:val="-42"/>
              </w:rPr>
              <w:t xml:space="preserve"> </w:t>
            </w:r>
            <w:r>
              <w:rPr>
                <w:b/>
                <w:bCs/>
                <w:spacing w:val="-2"/>
              </w:rPr>
              <w:t>号</w:t>
            </w:r>
          </w:p>
        </w:tc>
        <w:tc>
          <w:tcPr>
            <w:tcW w:w="1388" w:type="dxa"/>
            <w:vAlign w:val="top"/>
            <w:vMerge w:val="restart"/>
            <w:tcBorders>
              <w:top w:val="single" w:color="000000" w:sz="10" w:space="0"/>
              <w:bottom w:val="nil"/>
            </w:tcBorders>
          </w:tcPr>
          <w:p>
            <w:pPr>
              <w:pStyle w:val="TableText"/>
              <w:ind w:left="140"/>
              <w:spacing w:before="175" w:line="221" w:lineRule="auto"/>
              <w:rPr/>
            </w:pPr>
            <w:r>
              <w:rPr>
                <w:b/>
                <w:bCs/>
                <w:spacing w:val="6"/>
              </w:rPr>
              <w:t>监测点名称</w:t>
            </w:r>
          </w:p>
        </w:tc>
        <w:tc>
          <w:tcPr>
            <w:tcW w:w="3675" w:type="dxa"/>
            <w:vAlign w:val="top"/>
            <w:gridSpan w:val="6"/>
            <w:tcBorders>
              <w:top w:val="single" w:color="000000" w:sz="10" w:space="0"/>
            </w:tcBorders>
          </w:tcPr>
          <w:p>
            <w:pPr>
              <w:pStyle w:val="TableText"/>
              <w:ind w:left="1175"/>
              <w:spacing w:before="33" w:line="206" w:lineRule="auto"/>
              <w:rPr/>
            </w:pPr>
            <w:r>
              <w:rPr>
                <w:b/>
                <w:bCs/>
                <w:spacing w:val="7"/>
              </w:rPr>
              <w:t>监测点位坐标</w:t>
            </w:r>
          </w:p>
        </w:tc>
        <w:tc>
          <w:tcPr>
            <w:tcW w:w="1062" w:type="dxa"/>
            <w:vAlign w:val="top"/>
            <w:vMerge w:val="restart"/>
            <w:tcBorders>
              <w:top w:val="single" w:color="000000" w:sz="10" w:space="0"/>
              <w:bottom w:val="nil"/>
            </w:tcBorders>
          </w:tcPr>
          <w:p>
            <w:pPr>
              <w:pStyle w:val="TableText"/>
              <w:ind w:left="425" w:right="205" w:hanging="223"/>
              <w:spacing w:before="38" w:line="222" w:lineRule="auto"/>
              <w:rPr/>
            </w:pPr>
            <w:r>
              <w:rPr>
                <w:b/>
                <w:bCs/>
                <w:spacing w:val="3"/>
              </w:rPr>
              <w:t>监测因</w:t>
            </w:r>
            <w:r>
              <w:rPr>
                <w:b/>
                <w:bCs/>
                <w:spacing w:val="-3"/>
              </w:rPr>
              <w:t>子</w:t>
            </w:r>
          </w:p>
        </w:tc>
        <w:tc>
          <w:tcPr>
            <w:tcW w:w="1023" w:type="dxa"/>
            <w:vAlign w:val="top"/>
            <w:vMerge w:val="restart"/>
            <w:tcBorders>
              <w:top w:val="single" w:color="000000" w:sz="10" w:space="0"/>
              <w:bottom w:val="nil"/>
            </w:tcBorders>
          </w:tcPr>
          <w:p>
            <w:pPr>
              <w:pStyle w:val="TableText"/>
              <w:ind w:left="182"/>
              <w:spacing w:before="38" w:line="221" w:lineRule="auto"/>
              <w:rPr/>
            </w:pPr>
            <w:r>
              <w:rPr>
                <w:b/>
                <w:bCs/>
                <w:spacing w:val="4"/>
              </w:rPr>
              <w:t>相对场</w:t>
            </w:r>
          </w:p>
          <w:p>
            <w:pPr>
              <w:pStyle w:val="TableText"/>
              <w:ind w:left="183"/>
              <w:spacing w:before="21" w:line="204" w:lineRule="auto"/>
              <w:rPr/>
            </w:pPr>
            <w:r>
              <w:rPr>
                <w:b/>
                <w:bCs/>
                <w:spacing w:val="3"/>
              </w:rPr>
              <w:t>址方位</w:t>
            </w:r>
          </w:p>
        </w:tc>
        <w:tc>
          <w:tcPr>
            <w:tcW w:w="1129" w:type="dxa"/>
            <w:vAlign w:val="top"/>
            <w:vMerge w:val="restart"/>
            <w:tcBorders>
              <w:right w:val="nil"/>
              <w:top w:val="single" w:color="000000" w:sz="10" w:space="0"/>
              <w:bottom w:val="nil"/>
            </w:tcBorders>
          </w:tcPr>
          <w:p>
            <w:pPr>
              <w:pStyle w:val="TableText"/>
              <w:ind w:left="124"/>
              <w:spacing w:before="38" w:line="221" w:lineRule="auto"/>
              <w:rPr/>
            </w:pPr>
            <w:r>
              <w:rPr>
                <w:b/>
                <w:bCs/>
                <w:spacing w:val="5"/>
              </w:rPr>
              <w:t>相对厂界</w:t>
            </w:r>
          </w:p>
          <w:p>
            <w:pPr>
              <w:pStyle w:val="TableText"/>
              <w:ind w:left="221"/>
              <w:spacing w:before="21" w:line="204" w:lineRule="auto"/>
              <w:rPr>
                <w:rFonts w:ascii="Times New Roman" w:hAnsi="Times New Roman" w:eastAsia="Times New Roman" w:cs="Times New Roman"/>
              </w:rPr>
            </w:pPr>
            <w:r>
              <w:rPr>
                <w:b/>
                <w:bCs/>
                <w:spacing w:val="6"/>
              </w:rPr>
              <w:t>距离</w:t>
            </w:r>
            <w:r>
              <w:rPr>
                <w:rFonts w:ascii="Times New Roman" w:hAnsi="Times New Roman" w:eastAsia="Times New Roman" w:cs="Times New Roman"/>
                <w:b/>
                <w:bCs/>
                <w:spacing w:val="6"/>
              </w:rPr>
              <w:t>/m</w:t>
            </w:r>
          </w:p>
        </w:tc>
      </w:tr>
      <w:tr>
        <w:trPr>
          <w:trHeight w:val="271" w:hRule="atLeast"/>
        </w:trPr>
        <w:tc>
          <w:tcPr>
            <w:tcW w:w="444" w:type="dxa"/>
            <w:vAlign w:val="top"/>
            <w:vMerge w:val="continue"/>
            <w:textDirection w:val="tbRlV"/>
            <w:tcBorders>
              <w:left w:val="nil"/>
              <w:top w:val="nil"/>
            </w:tcBorders>
          </w:tcPr>
          <w:p>
            <w:pPr>
              <w:rPr>
                <w:rFonts w:ascii="Arial"/>
                <w:sz w:val="21"/>
              </w:rPr>
            </w:pPr>
            <w:r/>
          </w:p>
        </w:tc>
        <w:tc>
          <w:tcPr>
            <w:tcW w:w="1388" w:type="dxa"/>
            <w:vAlign w:val="top"/>
            <w:vMerge w:val="continue"/>
            <w:tcBorders>
              <w:top w:val="nil"/>
            </w:tcBorders>
          </w:tcPr>
          <w:p>
            <w:pPr>
              <w:rPr>
                <w:rFonts w:ascii="Arial"/>
                <w:sz w:val="21"/>
              </w:rPr>
            </w:pPr>
            <w:r/>
          </w:p>
        </w:tc>
        <w:tc>
          <w:tcPr>
            <w:tcW w:w="1922" w:type="dxa"/>
            <w:vAlign w:val="top"/>
            <w:gridSpan w:val="3"/>
          </w:tcPr>
          <w:p>
            <w:pPr>
              <w:pStyle w:val="TableText"/>
              <w:ind w:left="752"/>
              <w:spacing w:before="33" w:line="200" w:lineRule="auto"/>
              <w:rPr/>
            </w:pPr>
            <w:r>
              <w:rPr>
                <w:b/>
                <w:bCs/>
                <w:spacing w:val="-3"/>
              </w:rPr>
              <w:t>东经</w:t>
            </w:r>
          </w:p>
        </w:tc>
        <w:tc>
          <w:tcPr>
            <w:tcW w:w="1753" w:type="dxa"/>
            <w:vAlign w:val="top"/>
            <w:gridSpan w:val="3"/>
          </w:tcPr>
          <w:p>
            <w:pPr>
              <w:pStyle w:val="TableText"/>
              <w:ind w:left="662"/>
              <w:spacing w:before="33" w:line="200" w:lineRule="auto"/>
              <w:rPr/>
            </w:pPr>
            <w:r>
              <w:rPr>
                <w:b/>
                <w:bCs/>
                <w:spacing w:val="-1"/>
              </w:rPr>
              <w:t>北纬</w:t>
            </w:r>
          </w:p>
        </w:tc>
        <w:tc>
          <w:tcPr>
            <w:tcW w:w="1062" w:type="dxa"/>
            <w:vAlign w:val="top"/>
            <w:vMerge w:val="continue"/>
            <w:tcBorders>
              <w:top w:val="nil"/>
            </w:tcBorders>
          </w:tcPr>
          <w:p>
            <w:pPr>
              <w:rPr>
                <w:rFonts w:ascii="Arial"/>
                <w:sz w:val="21"/>
              </w:rPr>
            </w:pPr>
            <w:r/>
          </w:p>
        </w:tc>
        <w:tc>
          <w:tcPr>
            <w:tcW w:w="1023" w:type="dxa"/>
            <w:vAlign w:val="top"/>
            <w:vMerge w:val="continue"/>
            <w:tcBorders>
              <w:top w:val="nil"/>
            </w:tcBorders>
          </w:tcPr>
          <w:p>
            <w:pPr>
              <w:rPr>
                <w:rFonts w:ascii="Arial"/>
                <w:sz w:val="21"/>
              </w:rPr>
            </w:pPr>
            <w:r/>
          </w:p>
        </w:tc>
        <w:tc>
          <w:tcPr>
            <w:tcW w:w="1129" w:type="dxa"/>
            <w:vAlign w:val="top"/>
            <w:vMerge w:val="continue"/>
            <w:tcBorders>
              <w:right w:val="nil"/>
              <w:top w:val="nil"/>
            </w:tcBorders>
          </w:tcPr>
          <w:p>
            <w:pPr>
              <w:rPr>
                <w:rFonts w:ascii="Arial"/>
                <w:sz w:val="21"/>
              </w:rPr>
            </w:pPr>
            <w:r/>
          </w:p>
        </w:tc>
      </w:tr>
      <w:tr>
        <w:trPr>
          <w:trHeight w:val="541" w:hRule="atLeast"/>
        </w:trPr>
        <w:tc>
          <w:tcPr>
            <w:tcW w:w="444" w:type="dxa"/>
            <w:vAlign w:val="top"/>
            <w:tcBorders>
              <w:left w:val="nil"/>
            </w:tcBorders>
          </w:tcPr>
          <w:p>
            <w:pPr>
              <w:ind w:left="132"/>
              <w:spacing w:before="20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w:t>
            </w:r>
          </w:p>
        </w:tc>
        <w:tc>
          <w:tcPr>
            <w:tcW w:w="1388" w:type="dxa"/>
            <w:vAlign w:val="top"/>
          </w:tcPr>
          <w:p>
            <w:pPr>
              <w:pStyle w:val="TableText"/>
              <w:ind w:left="172"/>
              <w:spacing w:before="41" w:line="221" w:lineRule="auto"/>
              <w:rPr/>
            </w:pPr>
            <w:r>
              <w:rPr>
                <w:spacing w:val="-2"/>
              </w:rPr>
              <w:t>金顺吉牛项</w:t>
            </w:r>
          </w:p>
          <w:p>
            <w:pPr>
              <w:pStyle w:val="TableText"/>
              <w:ind w:left="211"/>
              <w:spacing w:before="19" w:line="192" w:lineRule="auto"/>
              <w:rPr/>
            </w:pPr>
            <w:r>
              <w:rPr>
                <w:spacing w:val="-9"/>
              </w:rPr>
              <w:t>目养殖区内</w:t>
            </w:r>
          </w:p>
        </w:tc>
        <w:tc>
          <w:tcPr>
            <w:tcW w:w="621" w:type="dxa"/>
            <w:vAlign w:val="top"/>
            <w:tcBorders>
              <w:right w:val="nil"/>
            </w:tcBorders>
          </w:tcPr>
          <w:p>
            <w:pPr>
              <w:pStyle w:val="TableText"/>
              <w:spacing w:before="199" w:line="230" w:lineRule="auto"/>
              <w:jc w:val="right"/>
              <w:rPr/>
            </w:pPr>
            <w:r>
              <w:rPr>
                <w:rFonts w:ascii="Times New Roman" w:hAnsi="Times New Roman" w:eastAsia="Times New Roman" w:cs="Times New Roman"/>
                <w:spacing w:val="-28"/>
              </w:rPr>
              <w:t>116</w:t>
            </w:r>
            <w:r>
              <w:rPr>
                <w:rFonts w:ascii="Times New Roman" w:hAnsi="Times New Roman" w:eastAsia="Times New Roman" w:cs="Times New Roman"/>
                <w:spacing w:val="-26"/>
              </w:rPr>
              <w:t xml:space="preserve"> </w:t>
            </w:r>
            <w:r>
              <w:rPr>
                <w:spacing w:val="-28"/>
              </w:rPr>
              <w:t>°</w:t>
            </w:r>
          </w:p>
        </w:tc>
        <w:tc>
          <w:tcPr>
            <w:tcW w:w="396" w:type="dxa"/>
            <w:vAlign w:val="top"/>
            <w:tcBorders>
              <w:left w:val="nil"/>
              <w:right w:val="nil"/>
            </w:tcBorders>
          </w:tcPr>
          <w:p>
            <w:pPr>
              <w:pStyle w:val="TableText"/>
              <w:spacing w:before="190"/>
              <w:jc w:val="right"/>
              <w:rPr/>
            </w:pPr>
            <w:r>
              <w:rPr>
                <w:rFonts w:ascii="Times New Roman" w:hAnsi="Times New Roman" w:eastAsia="Times New Roman" w:cs="Times New Roman"/>
                <w:spacing w:val="-44"/>
              </w:rPr>
              <w:t>11</w:t>
            </w:r>
            <w:r>
              <w:rPr>
                <w:rFonts w:ascii="Times New Roman" w:hAnsi="Times New Roman" w:eastAsia="Times New Roman" w:cs="Times New Roman"/>
                <w:spacing w:val="-24"/>
              </w:rPr>
              <w:t xml:space="preserve"> </w:t>
            </w:r>
            <w:r>
              <w:rPr>
                <w:spacing w:val="-44"/>
              </w:rPr>
              <w:t>′</w:t>
            </w:r>
          </w:p>
        </w:tc>
        <w:tc>
          <w:tcPr>
            <w:tcW w:w="905" w:type="dxa"/>
            <w:vAlign w:val="top"/>
            <w:tcBorders>
              <w:left w:val="nil"/>
            </w:tcBorders>
          </w:tcPr>
          <w:p>
            <w:pPr>
              <w:pStyle w:val="TableText"/>
              <w:ind w:left="74"/>
              <w:spacing w:before="189" w:line="238" w:lineRule="auto"/>
              <w:rPr/>
            </w:pPr>
            <w:r>
              <w:rPr>
                <w:rFonts w:ascii="Times New Roman" w:hAnsi="Times New Roman" w:eastAsia="Times New Roman" w:cs="Times New Roman"/>
                <w:spacing w:val="-1"/>
              </w:rPr>
              <w:t>20.28</w:t>
            </w:r>
            <w:r>
              <w:rPr>
                <w:rFonts w:ascii="Times New Roman" w:hAnsi="Times New Roman" w:eastAsia="Times New Roman" w:cs="Times New Roman"/>
                <w:spacing w:val="-13"/>
              </w:rPr>
              <w:t xml:space="preserve"> </w:t>
            </w:r>
            <w:r>
              <w:rPr>
                <w:spacing w:val="-1"/>
              </w:rPr>
              <w:t>″</w:t>
            </w:r>
          </w:p>
        </w:tc>
        <w:tc>
          <w:tcPr>
            <w:tcW w:w="473" w:type="dxa"/>
            <w:vAlign w:val="top"/>
            <w:tcBorders>
              <w:right w:val="nil"/>
            </w:tcBorders>
          </w:tcPr>
          <w:p>
            <w:pPr>
              <w:pStyle w:val="TableText"/>
              <w:spacing w:before="199" w:line="230" w:lineRule="auto"/>
              <w:jc w:val="right"/>
              <w:rPr/>
            </w:pPr>
            <w:r>
              <w:rPr>
                <w:rFonts w:ascii="Times New Roman" w:hAnsi="Times New Roman" w:eastAsia="Times New Roman" w:cs="Times New Roman"/>
                <w:spacing w:val="-25"/>
                <w:w w:val="96"/>
              </w:rPr>
              <w:t>43</w:t>
            </w:r>
            <w:r>
              <w:rPr>
                <w:rFonts w:ascii="Times New Roman" w:hAnsi="Times New Roman" w:eastAsia="Times New Roman" w:cs="Times New Roman"/>
                <w:spacing w:val="-28"/>
              </w:rPr>
              <w:t xml:space="preserve"> </w:t>
            </w:r>
            <w:r>
              <w:rPr>
                <w:spacing w:val="-25"/>
                <w:w w:val="96"/>
              </w:rPr>
              <w:t>°</w:t>
            </w:r>
          </w:p>
        </w:tc>
        <w:tc>
          <w:tcPr>
            <w:tcW w:w="411" w:type="dxa"/>
            <w:vAlign w:val="top"/>
            <w:tcBorders>
              <w:left w:val="nil"/>
              <w:right w:val="nil"/>
            </w:tcBorders>
          </w:tcPr>
          <w:p>
            <w:pPr>
              <w:pStyle w:val="TableText"/>
              <w:spacing w:before="190" w:line="238" w:lineRule="auto"/>
              <w:jc w:val="right"/>
              <w:rPr/>
            </w:pPr>
            <w:r>
              <w:rPr>
                <w:rFonts w:ascii="Times New Roman" w:hAnsi="Times New Roman" w:eastAsia="Times New Roman" w:cs="Times New Roman"/>
                <w:spacing w:val="-38"/>
              </w:rPr>
              <w:t>58</w:t>
            </w:r>
            <w:r>
              <w:rPr>
                <w:rFonts w:ascii="Times New Roman" w:hAnsi="Times New Roman" w:eastAsia="Times New Roman" w:cs="Times New Roman"/>
                <w:spacing w:val="-24"/>
              </w:rPr>
              <w:t xml:space="preserve"> </w:t>
            </w:r>
            <w:r>
              <w:rPr>
                <w:spacing w:val="-38"/>
              </w:rPr>
              <w:t>′</w:t>
            </w:r>
          </w:p>
        </w:tc>
        <w:tc>
          <w:tcPr>
            <w:tcW w:w="869" w:type="dxa"/>
            <w:vAlign w:val="top"/>
            <w:tcBorders>
              <w:left w:val="nil"/>
            </w:tcBorders>
          </w:tcPr>
          <w:p>
            <w:pPr>
              <w:pStyle w:val="TableText"/>
              <w:ind w:left="78"/>
              <w:spacing w:before="189" w:line="238" w:lineRule="auto"/>
              <w:rPr/>
            </w:pPr>
            <w:r>
              <w:rPr>
                <w:rFonts w:ascii="Times New Roman" w:hAnsi="Times New Roman" w:eastAsia="Times New Roman" w:cs="Times New Roman"/>
                <w:spacing w:val="-1"/>
              </w:rPr>
              <w:t>24.24</w:t>
            </w:r>
            <w:r>
              <w:rPr>
                <w:rFonts w:ascii="Times New Roman" w:hAnsi="Times New Roman" w:eastAsia="Times New Roman" w:cs="Times New Roman"/>
                <w:spacing w:val="-16"/>
              </w:rPr>
              <w:t xml:space="preserve"> </w:t>
            </w:r>
            <w:r>
              <w:rPr>
                <w:spacing w:val="-1"/>
              </w:rPr>
              <w:t>″</w:t>
            </w:r>
          </w:p>
        </w:tc>
        <w:tc>
          <w:tcPr>
            <w:tcW w:w="1062" w:type="dxa"/>
            <w:vAlign w:val="top"/>
            <w:vMerge w:val="restart"/>
            <w:tcBorders>
              <w:bottom w:val="nil"/>
            </w:tcBorders>
          </w:tcPr>
          <w:p>
            <w:pPr>
              <w:pStyle w:val="TableText"/>
              <w:ind w:left="257"/>
              <w:spacing w:before="203" w:line="205" w:lineRule="auto"/>
              <w:rPr/>
            </w:pPr>
            <w:r>
              <w:rPr>
                <w:rFonts w:ascii="Times New Roman" w:hAnsi="Times New Roman" w:eastAsia="Times New Roman" w:cs="Times New Roman"/>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pacing w:val="1"/>
              </w:rPr>
              <w:t>S</w:t>
            </w:r>
            <w:r>
              <w:rPr>
                <w:spacing w:val="1"/>
              </w:rPr>
              <w:t>、</w:t>
            </w:r>
          </w:p>
          <w:p>
            <w:pPr>
              <w:pStyle w:val="TableText"/>
              <w:ind w:left="221" w:right="135" w:hanging="93"/>
              <w:spacing w:before="1" w:line="231" w:lineRule="auto"/>
              <w:rPr/>
            </w:pPr>
            <w:r>
              <w:rPr>
                <w:rFonts w:ascii="Times New Roman" w:hAnsi="Times New Roman" w:eastAsia="Times New Roman" w:cs="Times New Roman"/>
                <w:spacing w:val="-4"/>
              </w:rPr>
              <w:t>NH</w:t>
            </w:r>
            <w:r>
              <w:rPr>
                <w:rFonts w:ascii="Times New Roman" w:hAnsi="Times New Roman" w:eastAsia="Times New Roman" w:cs="Times New Roman"/>
                <w:sz w:val="13"/>
                <w:szCs w:val="13"/>
                <w:spacing w:val="-4"/>
                <w:position w:val="-2"/>
              </w:rPr>
              <w:t>3</w:t>
            </w:r>
            <w:r>
              <w:rPr>
                <w:rFonts w:ascii="Times New Roman" w:hAnsi="Times New Roman" w:eastAsia="Times New Roman" w:cs="Times New Roman"/>
                <w:sz w:val="13"/>
                <w:szCs w:val="13"/>
                <w:spacing w:val="-9"/>
                <w:position w:val="-2"/>
              </w:rPr>
              <w:t xml:space="preserve"> </w:t>
            </w:r>
            <w:r>
              <w:rPr>
                <w:spacing w:val="-4"/>
              </w:rPr>
              <w:t>、臭</w:t>
            </w:r>
            <w:r>
              <w:rPr>
                <w:spacing w:val="-2"/>
              </w:rPr>
              <w:t>气浓度</w:t>
            </w:r>
          </w:p>
        </w:tc>
        <w:tc>
          <w:tcPr>
            <w:tcW w:w="1023" w:type="dxa"/>
            <w:vAlign w:val="top"/>
          </w:tcPr>
          <w:p>
            <w:pPr>
              <w:ind w:left="481"/>
              <w:spacing w:before="20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29" w:type="dxa"/>
            <w:vAlign w:val="top"/>
            <w:tcBorders>
              <w:right w:val="nil"/>
            </w:tcBorders>
          </w:tcPr>
          <w:p>
            <w:pPr>
              <w:pStyle w:val="TableText"/>
              <w:ind w:left="252"/>
              <w:spacing w:before="174" w:line="221" w:lineRule="auto"/>
              <w:rPr/>
            </w:pPr>
            <w:r>
              <w:rPr>
                <w:spacing w:val="-1"/>
              </w:rPr>
              <w:t>场区内</w:t>
            </w:r>
          </w:p>
        </w:tc>
      </w:tr>
      <w:tr>
        <w:trPr>
          <w:trHeight w:val="536" w:hRule="atLeast"/>
        </w:trPr>
        <w:tc>
          <w:tcPr>
            <w:tcW w:w="444" w:type="dxa"/>
            <w:vAlign w:val="top"/>
            <w:tcBorders>
              <w:left w:val="nil"/>
              <w:bottom w:val="single" w:color="000000" w:sz="10" w:space="0"/>
            </w:tcBorders>
          </w:tcPr>
          <w:p>
            <w:pPr>
              <w:ind w:left="112"/>
              <w:spacing w:before="19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p>
        </w:tc>
        <w:tc>
          <w:tcPr>
            <w:tcW w:w="1388" w:type="dxa"/>
            <w:vAlign w:val="top"/>
            <w:tcBorders>
              <w:bottom w:val="single" w:color="000000" w:sz="10" w:space="0"/>
            </w:tcBorders>
          </w:tcPr>
          <w:p>
            <w:pPr>
              <w:pStyle w:val="TableText"/>
              <w:ind w:left="172"/>
              <w:spacing w:before="169" w:line="221" w:lineRule="auto"/>
              <w:rPr/>
            </w:pPr>
            <w:r>
              <w:rPr>
                <w:spacing w:val="-2"/>
              </w:rPr>
              <w:t>金顺吉牛项</w:t>
            </w:r>
          </w:p>
        </w:tc>
        <w:tc>
          <w:tcPr>
            <w:tcW w:w="621" w:type="dxa"/>
            <w:vAlign w:val="top"/>
            <w:tcBorders>
              <w:right w:val="nil"/>
              <w:bottom w:val="single" w:color="000000" w:sz="10" w:space="0"/>
            </w:tcBorders>
          </w:tcPr>
          <w:p>
            <w:pPr>
              <w:pStyle w:val="TableText"/>
              <w:spacing w:before="193" w:line="230" w:lineRule="auto"/>
              <w:jc w:val="right"/>
              <w:rPr/>
            </w:pPr>
            <w:r>
              <w:rPr>
                <w:rFonts w:ascii="Times New Roman" w:hAnsi="Times New Roman" w:eastAsia="Times New Roman" w:cs="Times New Roman"/>
                <w:spacing w:val="-28"/>
              </w:rPr>
              <w:t>116</w:t>
            </w:r>
            <w:r>
              <w:rPr>
                <w:rFonts w:ascii="Times New Roman" w:hAnsi="Times New Roman" w:eastAsia="Times New Roman" w:cs="Times New Roman"/>
                <w:spacing w:val="-26"/>
              </w:rPr>
              <w:t xml:space="preserve"> </w:t>
            </w:r>
            <w:r>
              <w:rPr>
                <w:spacing w:val="-28"/>
              </w:rPr>
              <w:t>°</w:t>
            </w:r>
          </w:p>
        </w:tc>
        <w:tc>
          <w:tcPr>
            <w:tcW w:w="396" w:type="dxa"/>
            <w:vAlign w:val="top"/>
            <w:tcBorders>
              <w:left w:val="nil"/>
              <w:right w:val="nil"/>
              <w:bottom w:val="single" w:color="000000" w:sz="10" w:space="0"/>
            </w:tcBorders>
          </w:tcPr>
          <w:p>
            <w:pPr>
              <w:pStyle w:val="TableText"/>
              <w:spacing w:before="184"/>
              <w:jc w:val="right"/>
              <w:rPr/>
            </w:pPr>
            <w:r>
              <w:rPr>
                <w:rFonts w:ascii="Times New Roman" w:hAnsi="Times New Roman" w:eastAsia="Times New Roman" w:cs="Times New Roman"/>
                <w:spacing w:val="-44"/>
              </w:rPr>
              <w:t>11</w:t>
            </w:r>
            <w:r>
              <w:rPr>
                <w:rFonts w:ascii="Times New Roman" w:hAnsi="Times New Roman" w:eastAsia="Times New Roman" w:cs="Times New Roman"/>
                <w:spacing w:val="-24"/>
              </w:rPr>
              <w:t xml:space="preserve"> </w:t>
            </w:r>
            <w:r>
              <w:rPr>
                <w:spacing w:val="-44"/>
              </w:rPr>
              <w:t>′</w:t>
            </w:r>
          </w:p>
        </w:tc>
        <w:tc>
          <w:tcPr>
            <w:tcW w:w="905" w:type="dxa"/>
            <w:vAlign w:val="top"/>
            <w:tcBorders>
              <w:left w:val="nil"/>
              <w:bottom w:val="single" w:color="000000" w:sz="10" w:space="0"/>
            </w:tcBorders>
          </w:tcPr>
          <w:p>
            <w:pPr>
              <w:pStyle w:val="TableText"/>
              <w:ind w:left="80"/>
              <w:spacing w:before="183" w:line="238" w:lineRule="auto"/>
              <w:rPr/>
            </w:pPr>
            <w:r>
              <w:rPr>
                <w:rFonts w:ascii="Times New Roman" w:hAnsi="Times New Roman" w:eastAsia="Times New Roman" w:cs="Times New Roman"/>
                <w:spacing w:val="-2"/>
              </w:rPr>
              <w:t>55.89</w:t>
            </w:r>
            <w:r>
              <w:rPr>
                <w:rFonts w:ascii="Times New Roman" w:hAnsi="Times New Roman" w:eastAsia="Times New Roman" w:cs="Times New Roman"/>
                <w:spacing w:val="-13"/>
              </w:rPr>
              <w:t xml:space="preserve"> </w:t>
            </w:r>
            <w:r>
              <w:rPr>
                <w:spacing w:val="-2"/>
              </w:rPr>
              <w:t>″</w:t>
            </w:r>
          </w:p>
        </w:tc>
        <w:tc>
          <w:tcPr>
            <w:tcW w:w="473" w:type="dxa"/>
            <w:vAlign w:val="top"/>
            <w:tcBorders>
              <w:right w:val="nil"/>
              <w:bottom w:val="single" w:color="000000" w:sz="10" w:space="0"/>
            </w:tcBorders>
          </w:tcPr>
          <w:p>
            <w:pPr>
              <w:pStyle w:val="TableText"/>
              <w:spacing w:before="193" w:line="230" w:lineRule="auto"/>
              <w:jc w:val="right"/>
              <w:rPr/>
            </w:pPr>
            <w:r>
              <w:rPr>
                <w:rFonts w:ascii="Times New Roman" w:hAnsi="Times New Roman" w:eastAsia="Times New Roman" w:cs="Times New Roman"/>
                <w:spacing w:val="-25"/>
                <w:w w:val="96"/>
              </w:rPr>
              <w:t>43</w:t>
            </w:r>
            <w:r>
              <w:rPr>
                <w:rFonts w:ascii="Times New Roman" w:hAnsi="Times New Roman" w:eastAsia="Times New Roman" w:cs="Times New Roman"/>
                <w:spacing w:val="-28"/>
              </w:rPr>
              <w:t xml:space="preserve"> </w:t>
            </w:r>
            <w:r>
              <w:rPr>
                <w:spacing w:val="-25"/>
                <w:w w:val="96"/>
              </w:rPr>
              <w:t>°</w:t>
            </w:r>
          </w:p>
        </w:tc>
        <w:tc>
          <w:tcPr>
            <w:tcW w:w="411" w:type="dxa"/>
            <w:vAlign w:val="top"/>
            <w:tcBorders>
              <w:left w:val="nil"/>
              <w:right w:val="nil"/>
              <w:bottom w:val="single" w:color="000000" w:sz="10" w:space="0"/>
            </w:tcBorders>
          </w:tcPr>
          <w:p>
            <w:pPr>
              <w:pStyle w:val="TableText"/>
              <w:spacing w:before="184" w:line="238" w:lineRule="auto"/>
              <w:jc w:val="right"/>
              <w:rPr/>
            </w:pPr>
            <w:r>
              <w:rPr>
                <w:rFonts w:ascii="Times New Roman" w:hAnsi="Times New Roman" w:eastAsia="Times New Roman" w:cs="Times New Roman"/>
                <w:spacing w:val="-38"/>
              </w:rPr>
              <w:t>58</w:t>
            </w:r>
            <w:r>
              <w:rPr>
                <w:rFonts w:ascii="Times New Roman" w:hAnsi="Times New Roman" w:eastAsia="Times New Roman" w:cs="Times New Roman"/>
                <w:spacing w:val="-24"/>
              </w:rPr>
              <w:t xml:space="preserve"> </w:t>
            </w:r>
            <w:r>
              <w:rPr>
                <w:spacing w:val="-38"/>
              </w:rPr>
              <w:t>′</w:t>
            </w:r>
          </w:p>
        </w:tc>
        <w:tc>
          <w:tcPr>
            <w:tcW w:w="869" w:type="dxa"/>
            <w:vAlign w:val="top"/>
            <w:tcBorders>
              <w:left w:val="nil"/>
              <w:bottom w:val="single" w:color="000000" w:sz="10" w:space="0"/>
            </w:tcBorders>
          </w:tcPr>
          <w:p>
            <w:pPr>
              <w:pStyle w:val="TableText"/>
              <w:ind w:left="84"/>
              <w:spacing w:before="183" w:line="238" w:lineRule="auto"/>
              <w:rPr/>
            </w:pPr>
            <w:r>
              <w:rPr>
                <w:rFonts w:ascii="Times New Roman" w:hAnsi="Times New Roman" w:eastAsia="Times New Roman" w:cs="Times New Roman"/>
                <w:spacing w:val="-2"/>
              </w:rPr>
              <w:t>54.06</w:t>
            </w:r>
            <w:r>
              <w:rPr>
                <w:rFonts w:ascii="Times New Roman" w:hAnsi="Times New Roman" w:eastAsia="Times New Roman" w:cs="Times New Roman"/>
                <w:spacing w:val="-15"/>
              </w:rPr>
              <w:t xml:space="preserve"> </w:t>
            </w:r>
            <w:r>
              <w:rPr>
                <w:spacing w:val="-2"/>
              </w:rPr>
              <w:t>″</w:t>
            </w:r>
          </w:p>
        </w:tc>
        <w:tc>
          <w:tcPr>
            <w:tcW w:w="1062" w:type="dxa"/>
            <w:vAlign w:val="top"/>
            <w:vMerge w:val="continue"/>
            <w:tcBorders>
              <w:bottom w:val="single" w:color="000000" w:sz="10" w:space="0"/>
              <w:top w:val="nil"/>
            </w:tcBorders>
          </w:tcPr>
          <w:p>
            <w:pPr>
              <w:rPr>
                <w:rFonts w:ascii="Arial"/>
                <w:sz w:val="21"/>
              </w:rPr>
            </w:pPr>
            <w:r/>
          </w:p>
        </w:tc>
        <w:tc>
          <w:tcPr>
            <w:tcW w:w="1023" w:type="dxa"/>
            <w:vAlign w:val="top"/>
            <w:tcBorders>
              <w:bottom w:val="single" w:color="000000" w:sz="10" w:space="0"/>
            </w:tcBorders>
          </w:tcPr>
          <w:p>
            <w:pPr>
              <w:pStyle w:val="TableText"/>
              <w:ind w:left="208"/>
              <w:spacing w:before="168" w:line="221" w:lineRule="auto"/>
              <w:rPr/>
            </w:pPr>
            <w:r>
              <w:rPr>
                <w:spacing w:val="-3"/>
              </w:rPr>
              <w:t>东北侧</w:t>
            </w:r>
          </w:p>
        </w:tc>
        <w:tc>
          <w:tcPr>
            <w:tcW w:w="1129" w:type="dxa"/>
            <w:vAlign w:val="top"/>
            <w:tcBorders>
              <w:right w:val="nil"/>
              <w:bottom w:val="single" w:color="000000" w:sz="10" w:space="0"/>
            </w:tcBorders>
          </w:tcPr>
          <w:p>
            <w:pPr>
              <w:pStyle w:val="TableText"/>
              <w:ind w:left="293" w:right="247" w:hanging="33"/>
              <w:spacing w:before="50" w:line="222" w:lineRule="auto"/>
              <w:rPr>
                <w:rFonts w:ascii="Times New Roman" w:hAnsi="Times New Roman" w:eastAsia="Times New Roman" w:cs="Times New Roman"/>
              </w:rPr>
            </w:pPr>
            <w:r>
              <w:rPr>
                <w:spacing w:val="-4"/>
              </w:rPr>
              <w:t>下风向</w:t>
            </w:r>
            <w:r>
              <w:rPr>
                <w:rFonts w:ascii="Times New Roman" w:hAnsi="Times New Roman" w:eastAsia="Times New Roman" w:cs="Times New Roman"/>
                <w:spacing w:val="-5"/>
              </w:rPr>
              <w:t>1200m</w:t>
            </w:r>
          </w:p>
        </w:tc>
      </w:tr>
    </w:tbl>
    <w:p>
      <w:pPr>
        <w:pStyle w:val="BodyText"/>
        <w:rPr/>
      </w:pPr>
      <w:r/>
    </w:p>
    <w:p>
      <w:pPr>
        <w:sectPr>
          <w:headerReference w:type="default" r:id="rId106"/>
          <w:footerReference w:type="default" r:id="rId107"/>
          <w:pgSz w:w="11907" w:h="16839"/>
          <w:pgMar w:top="1582" w:right="1591" w:bottom="1235" w:left="1594" w:header="1241" w:footer="992" w:gutter="0"/>
        </w:sectPr>
        <w:rPr/>
      </w:pPr>
    </w:p>
    <w:p>
      <w:pPr>
        <w:spacing w:line="119" w:lineRule="exact"/>
        <w:rPr/>
      </w:pPr>
      <w:r/>
    </w:p>
    <w:tbl>
      <w:tblPr>
        <w:tblStyle w:val="TableNormal"/>
        <w:tblW w:w="8721" w:type="dxa"/>
        <w:tblInd w:w="14"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444"/>
        <w:gridCol w:w="1388"/>
        <w:gridCol w:w="1925"/>
        <w:gridCol w:w="1752"/>
        <w:gridCol w:w="1061"/>
        <w:gridCol w:w="1022"/>
        <w:gridCol w:w="1129"/>
      </w:tblGrid>
      <w:tr>
        <w:trPr>
          <w:trHeight w:val="524" w:hRule="atLeast"/>
        </w:trPr>
        <w:tc>
          <w:tcPr>
            <w:tcW w:w="444" w:type="dxa"/>
            <w:vAlign w:val="top"/>
            <w:tcBorders>
              <w:right w:val="single" w:color="000000" w:sz="2" w:space="0"/>
              <w:left w:val="nil"/>
            </w:tcBorders>
          </w:tcPr>
          <w:p>
            <w:pPr>
              <w:rPr>
                <w:rFonts w:ascii="Arial"/>
                <w:sz w:val="21"/>
              </w:rPr>
            </w:pPr>
            <w:r/>
          </w:p>
        </w:tc>
        <w:tc>
          <w:tcPr>
            <w:tcW w:w="1388" w:type="dxa"/>
            <w:vAlign w:val="top"/>
            <w:tcBorders>
              <w:left w:val="single" w:color="000000" w:sz="2" w:space="0"/>
              <w:right w:val="single" w:color="000000" w:sz="2" w:space="0"/>
            </w:tcBorders>
          </w:tcPr>
          <w:p>
            <w:pPr>
              <w:pStyle w:val="TableText"/>
              <w:ind w:left="211"/>
              <w:spacing w:before="34" w:line="221" w:lineRule="auto"/>
              <w:rPr/>
            </w:pPr>
            <w:r>
              <w:rPr>
                <w:spacing w:val="-9"/>
              </w:rPr>
              <w:t>目区下风向</w:t>
            </w:r>
          </w:p>
          <w:p>
            <w:pPr>
              <w:ind w:left="420"/>
              <w:spacing w:before="3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1200m</w:t>
            </w:r>
          </w:p>
        </w:tc>
        <w:tc>
          <w:tcPr>
            <w:tcW w:w="1925" w:type="dxa"/>
            <w:vAlign w:val="top"/>
            <w:tcBorders>
              <w:left w:val="single" w:color="000000" w:sz="2" w:space="0"/>
              <w:right w:val="single" w:color="000000" w:sz="2" w:space="0"/>
            </w:tcBorders>
          </w:tcPr>
          <w:p>
            <w:pPr>
              <w:rPr>
                <w:rFonts w:ascii="Arial"/>
                <w:sz w:val="21"/>
              </w:rPr>
            </w:pPr>
            <w:r/>
          </w:p>
        </w:tc>
        <w:tc>
          <w:tcPr>
            <w:tcW w:w="1752" w:type="dxa"/>
            <w:vAlign w:val="top"/>
            <w:tcBorders>
              <w:left w:val="single" w:color="000000" w:sz="2" w:space="0"/>
              <w:right w:val="single" w:color="000000" w:sz="2" w:space="0"/>
            </w:tcBorders>
          </w:tcPr>
          <w:p>
            <w:pPr>
              <w:rPr>
                <w:rFonts w:ascii="Arial"/>
                <w:sz w:val="21"/>
              </w:rPr>
            </w:pPr>
            <w:r/>
          </w:p>
        </w:tc>
        <w:tc>
          <w:tcPr>
            <w:tcW w:w="1061" w:type="dxa"/>
            <w:vAlign w:val="top"/>
            <w:tcBorders>
              <w:left w:val="single" w:color="000000" w:sz="2" w:space="0"/>
              <w:right w:val="single" w:color="000000" w:sz="2" w:space="0"/>
            </w:tcBorders>
          </w:tcPr>
          <w:p>
            <w:pPr>
              <w:rPr>
                <w:rFonts w:ascii="Arial"/>
                <w:sz w:val="21"/>
              </w:rPr>
            </w:pPr>
            <w:r/>
          </w:p>
        </w:tc>
        <w:tc>
          <w:tcPr>
            <w:tcW w:w="1022" w:type="dxa"/>
            <w:vAlign w:val="top"/>
            <w:tcBorders>
              <w:left w:val="single" w:color="000000" w:sz="2" w:space="0"/>
              <w:right w:val="single" w:color="000000" w:sz="2" w:space="0"/>
            </w:tcBorders>
          </w:tcPr>
          <w:p>
            <w:pPr>
              <w:rPr>
                <w:rFonts w:ascii="Arial"/>
                <w:sz w:val="21"/>
              </w:rPr>
            </w:pPr>
            <w:r/>
          </w:p>
        </w:tc>
        <w:tc>
          <w:tcPr>
            <w:tcW w:w="1129" w:type="dxa"/>
            <w:vAlign w:val="top"/>
            <w:tcBorders>
              <w:left w:val="single" w:color="000000" w:sz="2" w:space="0"/>
              <w:right w:val="nil"/>
            </w:tcBorders>
          </w:tcPr>
          <w:p>
            <w:pPr>
              <w:rPr>
                <w:rFonts w:ascii="Arial"/>
                <w:sz w:val="21"/>
              </w:rPr>
            </w:pPr>
            <w:r/>
          </w:p>
        </w:tc>
      </w:tr>
    </w:tbl>
    <w:p>
      <w:pPr>
        <w:ind w:left="609"/>
        <w:spacing w:before="34" w:line="217" w:lineRule="auto"/>
        <w:rPr>
          <w:rFonts w:ascii="SimSun" w:hAnsi="SimSun" w:eastAsia="SimSun" w:cs="SimSun"/>
          <w:sz w:val="24"/>
          <w:szCs w:val="24"/>
        </w:rPr>
      </w:pPr>
      <w:r>
        <w:rPr>
          <w:rFonts w:ascii="SimSun" w:hAnsi="SimSun" w:eastAsia="SimSun" w:cs="SimSun"/>
          <w:sz w:val="24"/>
          <w:szCs w:val="24"/>
          <w:spacing w:val="-2"/>
        </w:rPr>
        <w:t>②监测项目</w:t>
      </w:r>
    </w:p>
    <w:p>
      <w:pPr>
        <w:ind w:left="606"/>
        <w:spacing w:before="183" w:line="317" w:lineRule="exact"/>
        <w:rPr>
          <w:rFonts w:ascii="SimSun" w:hAnsi="SimSun" w:eastAsia="SimSun" w:cs="SimSun"/>
          <w:sz w:val="24"/>
          <w:szCs w:val="24"/>
        </w:rPr>
      </w:pPr>
      <w:r>
        <w:rPr>
          <w:rFonts w:ascii="Times New Roman" w:hAnsi="Times New Roman" w:eastAsia="Times New Roman" w:cs="Times New Roman"/>
          <w:sz w:val="24"/>
          <w:szCs w:val="24"/>
          <w:spacing w:val="-5"/>
          <w:position w:val="1"/>
        </w:rPr>
        <w:t>H</w:t>
      </w:r>
      <w:r>
        <w:rPr>
          <w:rFonts w:ascii="Times New Roman" w:hAnsi="Times New Roman" w:eastAsia="Times New Roman" w:cs="Times New Roman"/>
          <w:sz w:val="16"/>
          <w:szCs w:val="16"/>
          <w:spacing w:val="-5"/>
          <w:position w:val="-1"/>
        </w:rPr>
        <w:t>2</w:t>
      </w:r>
      <w:r>
        <w:rPr>
          <w:rFonts w:ascii="Times New Roman" w:hAnsi="Times New Roman" w:eastAsia="Times New Roman" w:cs="Times New Roman"/>
          <w:sz w:val="16"/>
          <w:szCs w:val="16"/>
          <w:spacing w:val="-15"/>
          <w:position w:val="-1"/>
        </w:rPr>
        <w:t xml:space="preserve"> </w:t>
      </w:r>
      <w:r>
        <w:rPr>
          <w:rFonts w:ascii="Times New Roman" w:hAnsi="Times New Roman" w:eastAsia="Times New Roman" w:cs="Times New Roman"/>
          <w:sz w:val="24"/>
          <w:szCs w:val="24"/>
          <w:spacing w:val="-5"/>
          <w:position w:val="1"/>
        </w:rPr>
        <w:t>S</w:t>
      </w:r>
      <w:r>
        <w:rPr>
          <w:rFonts w:ascii="Times New Roman" w:hAnsi="Times New Roman" w:eastAsia="Times New Roman" w:cs="Times New Roman"/>
          <w:sz w:val="24"/>
          <w:szCs w:val="24"/>
          <w:spacing w:val="-33"/>
          <w:position w:val="1"/>
        </w:rPr>
        <w:t xml:space="preserve"> </w:t>
      </w:r>
      <w:r>
        <w:rPr>
          <w:rFonts w:ascii="SimSun" w:hAnsi="SimSun" w:eastAsia="SimSun" w:cs="SimSun"/>
          <w:sz w:val="24"/>
          <w:szCs w:val="24"/>
          <w:spacing w:val="-5"/>
          <w:position w:val="1"/>
        </w:rPr>
        <w:t>、</w:t>
      </w:r>
      <w:r>
        <w:rPr>
          <w:rFonts w:ascii="Times New Roman" w:hAnsi="Times New Roman" w:eastAsia="Times New Roman" w:cs="Times New Roman"/>
          <w:sz w:val="24"/>
          <w:szCs w:val="24"/>
          <w:spacing w:val="-5"/>
          <w:position w:val="1"/>
        </w:rPr>
        <w:t>NH</w:t>
      </w:r>
      <w:r>
        <w:rPr>
          <w:rFonts w:ascii="Times New Roman" w:hAnsi="Times New Roman" w:eastAsia="Times New Roman" w:cs="Times New Roman"/>
          <w:sz w:val="16"/>
          <w:szCs w:val="16"/>
          <w:spacing w:val="-5"/>
          <w:position w:val="-1"/>
        </w:rPr>
        <w:t>3</w:t>
      </w:r>
      <w:r>
        <w:rPr>
          <w:rFonts w:ascii="Times New Roman" w:hAnsi="Times New Roman" w:eastAsia="Times New Roman" w:cs="Times New Roman"/>
          <w:sz w:val="16"/>
          <w:szCs w:val="16"/>
          <w:spacing w:val="11"/>
          <w:w w:val="102"/>
          <w:position w:val="-1"/>
        </w:rPr>
        <w:t xml:space="preserve"> </w:t>
      </w:r>
      <w:r>
        <w:rPr>
          <w:rFonts w:ascii="SimSun" w:hAnsi="SimSun" w:eastAsia="SimSun" w:cs="SimSun"/>
          <w:sz w:val="24"/>
          <w:szCs w:val="24"/>
          <w:spacing w:val="-5"/>
          <w:position w:val="1"/>
        </w:rPr>
        <w:t>及臭气浓度。</w:t>
      </w:r>
    </w:p>
    <w:p>
      <w:pPr>
        <w:ind w:left="609"/>
        <w:spacing w:before="150" w:line="217" w:lineRule="auto"/>
        <w:rPr>
          <w:rFonts w:ascii="SimSun" w:hAnsi="SimSun" w:eastAsia="SimSun" w:cs="SimSun"/>
          <w:sz w:val="24"/>
          <w:szCs w:val="24"/>
        </w:rPr>
      </w:pPr>
      <w:r>
        <w:rPr>
          <w:rFonts w:ascii="SimSun" w:hAnsi="SimSun" w:eastAsia="SimSun" w:cs="SimSun"/>
          <w:sz w:val="24"/>
          <w:szCs w:val="24"/>
          <w:spacing w:val="-1"/>
        </w:rPr>
        <w:t>④采样及分析方法</w:t>
      </w:r>
    </w:p>
    <w:p>
      <w:pPr>
        <w:ind w:left="613"/>
        <w:spacing w:before="183" w:line="233" w:lineRule="auto"/>
        <w:rPr>
          <w:rFonts w:ascii="SimSun" w:hAnsi="SimSun" w:eastAsia="SimSun" w:cs="SimSun"/>
          <w:sz w:val="24"/>
          <w:szCs w:val="24"/>
        </w:rPr>
      </w:pPr>
      <w:r>
        <w:rPr>
          <w:rFonts w:ascii="SimSun" w:hAnsi="SimSun" w:eastAsia="SimSun" w:cs="SimSun"/>
          <w:sz w:val="24"/>
          <w:szCs w:val="24"/>
          <w:spacing w:val="-1"/>
        </w:rPr>
        <w:t>按国家有关标准及生态环境部有关规范执行，监测方法详见表</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4-9</w:t>
      </w:r>
      <w:r>
        <w:rPr>
          <w:rFonts w:ascii="SimSun" w:hAnsi="SimSun" w:eastAsia="SimSun" w:cs="SimSun"/>
          <w:sz w:val="24"/>
          <w:szCs w:val="24"/>
          <w:spacing w:val="-1"/>
        </w:rPr>
        <w:t>。</w:t>
      </w:r>
    </w:p>
    <w:p>
      <w:pPr>
        <w:ind w:left="2322"/>
        <w:spacing w:before="165"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spacing w:val="-2"/>
        </w:rPr>
        <w:t>4-9      </w:t>
      </w:r>
      <w:r>
        <w:rPr>
          <w:rFonts w:ascii="SimSun" w:hAnsi="SimSun" w:eastAsia="SimSun" w:cs="SimSun"/>
          <w:sz w:val="24"/>
          <w:szCs w:val="24"/>
          <w:b/>
          <w:bCs/>
          <w:spacing w:val="-2"/>
        </w:rPr>
        <w:t>评价区环境空气现状监测分析方法</w:t>
      </w:r>
    </w:p>
    <w:p>
      <w:pPr>
        <w:spacing w:line="130"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51"/>
        <w:gridCol w:w="3444"/>
        <w:gridCol w:w="3440"/>
      </w:tblGrid>
      <w:tr>
        <w:trPr>
          <w:trHeight w:val="279" w:hRule="atLeast"/>
        </w:trPr>
        <w:tc>
          <w:tcPr>
            <w:tcW w:w="1851" w:type="dxa"/>
            <w:vAlign w:val="top"/>
            <w:tcBorders>
              <w:left w:val="nil"/>
              <w:top w:val="single" w:color="000000" w:sz="10" w:space="0"/>
            </w:tcBorders>
          </w:tcPr>
          <w:p>
            <w:pPr>
              <w:pStyle w:val="TableText"/>
              <w:ind w:left="309"/>
              <w:spacing w:before="35" w:line="205" w:lineRule="auto"/>
              <w:rPr/>
            </w:pPr>
            <w:r>
              <w:rPr>
                <w:b/>
                <w:bCs/>
                <w:spacing w:val="-3"/>
              </w:rPr>
              <w:t>现状监测因子</w:t>
            </w:r>
          </w:p>
        </w:tc>
        <w:tc>
          <w:tcPr>
            <w:tcW w:w="3444" w:type="dxa"/>
            <w:vAlign w:val="top"/>
            <w:tcBorders>
              <w:top w:val="single" w:color="000000" w:sz="10" w:space="0"/>
            </w:tcBorders>
          </w:tcPr>
          <w:p>
            <w:pPr>
              <w:pStyle w:val="TableText"/>
              <w:ind w:left="1308"/>
              <w:spacing w:before="35" w:line="205" w:lineRule="auto"/>
              <w:rPr/>
            </w:pPr>
            <w:r>
              <w:rPr>
                <w:b/>
                <w:bCs/>
                <w:spacing w:val="-4"/>
              </w:rPr>
              <w:t>分析方法</w:t>
            </w:r>
          </w:p>
        </w:tc>
        <w:tc>
          <w:tcPr>
            <w:tcW w:w="3440" w:type="dxa"/>
            <w:vAlign w:val="top"/>
            <w:tcBorders>
              <w:right w:val="nil"/>
              <w:top w:val="single" w:color="000000" w:sz="10" w:space="0"/>
            </w:tcBorders>
          </w:tcPr>
          <w:p>
            <w:pPr>
              <w:pStyle w:val="TableText"/>
              <w:ind w:left="1303"/>
              <w:spacing w:before="35" w:line="205" w:lineRule="auto"/>
              <w:rPr/>
            </w:pPr>
            <w:r>
              <w:rPr>
                <w:b/>
                <w:bCs/>
                <w:spacing w:val="-4"/>
              </w:rPr>
              <w:t>方法来源</w:t>
            </w:r>
          </w:p>
        </w:tc>
      </w:tr>
      <w:tr>
        <w:trPr>
          <w:trHeight w:val="626" w:hRule="atLeast"/>
        </w:trPr>
        <w:tc>
          <w:tcPr>
            <w:tcW w:w="1851" w:type="dxa"/>
            <w:vAlign w:val="top"/>
            <w:tcBorders>
              <w:left w:val="nil"/>
            </w:tcBorders>
          </w:tcPr>
          <w:p>
            <w:pPr>
              <w:ind w:left="741"/>
              <w:spacing w:before="244"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3444" w:type="dxa"/>
            <w:vAlign w:val="top"/>
          </w:tcPr>
          <w:p>
            <w:pPr>
              <w:pStyle w:val="TableText"/>
              <w:ind w:left="152"/>
              <w:spacing w:before="57" w:line="221" w:lineRule="auto"/>
              <w:rPr/>
            </w:pPr>
            <w:r>
              <w:rPr>
                <w:spacing w:val="-1"/>
              </w:rPr>
              <w:t>环境空气和废气 氨的测定 纳氏试</w:t>
            </w:r>
          </w:p>
          <w:p>
            <w:pPr>
              <w:pStyle w:val="TableText"/>
              <w:ind w:left="1098"/>
              <w:spacing w:before="60" w:line="217" w:lineRule="auto"/>
              <w:rPr/>
            </w:pPr>
            <w:r>
              <w:rPr>
                <w:spacing w:val="-1"/>
              </w:rPr>
              <w:t>剂分光光度法</w:t>
            </w:r>
          </w:p>
        </w:tc>
        <w:tc>
          <w:tcPr>
            <w:tcW w:w="3440" w:type="dxa"/>
            <w:vAlign w:val="top"/>
            <w:tcBorders>
              <w:right w:val="nil"/>
            </w:tcBorders>
          </w:tcPr>
          <w:p>
            <w:pPr>
              <w:ind w:left="1173"/>
              <w:spacing w:before="23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533-2009</w:t>
            </w:r>
          </w:p>
        </w:tc>
      </w:tr>
      <w:tr>
        <w:trPr>
          <w:trHeight w:val="1242" w:hRule="atLeast"/>
        </w:trPr>
        <w:tc>
          <w:tcPr>
            <w:tcW w:w="1851" w:type="dxa"/>
            <w:vAlign w:val="top"/>
            <w:tcBorders>
              <w:left w:val="nil"/>
            </w:tcBorders>
          </w:tcPr>
          <w:p>
            <w:pPr>
              <w:spacing w:line="246" w:lineRule="auto"/>
              <w:rPr>
                <w:rFonts w:ascii="Arial"/>
                <w:sz w:val="21"/>
              </w:rPr>
            </w:pPr>
            <w:r/>
          </w:p>
          <w:p>
            <w:pPr>
              <w:spacing w:line="247" w:lineRule="auto"/>
              <w:rPr>
                <w:rFonts w:ascii="Arial"/>
                <w:sz w:val="21"/>
              </w:rPr>
            </w:pPr>
            <w:r/>
          </w:p>
          <w:p>
            <w:pPr>
              <w:ind w:left="766"/>
              <w:spacing w:before="61"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3444" w:type="dxa"/>
            <w:vAlign w:val="top"/>
          </w:tcPr>
          <w:p>
            <w:pPr>
              <w:spacing w:line="456" w:lineRule="auto"/>
              <w:rPr>
                <w:rFonts w:ascii="Arial"/>
                <w:sz w:val="21"/>
              </w:rPr>
            </w:pPr>
            <w:r/>
          </w:p>
          <w:p>
            <w:pPr>
              <w:pStyle w:val="TableText"/>
              <w:ind w:left="504"/>
              <w:spacing w:before="68" w:line="221" w:lineRule="auto"/>
              <w:rPr/>
            </w:pPr>
            <w:r>
              <w:rPr>
                <w:spacing w:val="-1"/>
              </w:rPr>
              <w:t>亚甲基蓝分光光度法（</w:t>
            </w:r>
            <w:r>
              <w:rPr>
                <w:rFonts w:ascii="Times New Roman" w:hAnsi="Times New Roman" w:eastAsia="Times New Roman" w:cs="Times New Roman"/>
                <w:spacing w:val="-1"/>
              </w:rPr>
              <w:t>B</w:t>
            </w:r>
            <w:r>
              <w:rPr>
                <w:spacing w:val="-1"/>
              </w:rPr>
              <w:t>）</w:t>
            </w:r>
          </w:p>
        </w:tc>
        <w:tc>
          <w:tcPr>
            <w:tcW w:w="3440" w:type="dxa"/>
            <w:vAlign w:val="top"/>
            <w:tcBorders>
              <w:right w:val="nil"/>
            </w:tcBorders>
          </w:tcPr>
          <w:p>
            <w:pPr>
              <w:pStyle w:val="TableText"/>
              <w:ind w:left="360"/>
              <w:spacing w:before="60" w:line="221" w:lineRule="auto"/>
              <w:rPr/>
            </w:pPr>
            <w:r>
              <w:rPr>
                <w:spacing w:val="-1"/>
              </w:rPr>
              <w:t>《空气和废气监测分析方法》</w:t>
            </w:r>
          </w:p>
          <w:p>
            <w:pPr>
              <w:pStyle w:val="TableText"/>
              <w:ind w:left="153"/>
              <w:spacing w:before="60" w:line="220" w:lineRule="auto"/>
              <w:rPr/>
            </w:pPr>
            <w:r>
              <w:rPr>
                <w:spacing w:val="-1"/>
              </w:rPr>
              <w:t>（第四版增补版）中国环境科学出</w:t>
            </w:r>
          </w:p>
          <w:p>
            <w:pPr>
              <w:pStyle w:val="TableText"/>
              <w:ind w:left="112"/>
              <w:spacing w:before="61" w:line="217" w:lineRule="auto"/>
              <w:rPr/>
            </w:pPr>
            <w:r>
              <w:rPr>
                <w:spacing w:val="1"/>
              </w:rPr>
              <w:t>版社</w:t>
            </w:r>
            <w:r>
              <w:rPr>
                <w:rFonts w:ascii="Times New Roman" w:hAnsi="Times New Roman" w:eastAsia="Times New Roman" w:cs="Times New Roman"/>
                <w:spacing w:val="1"/>
              </w:rPr>
              <w:t>2003</w:t>
            </w:r>
            <w:r>
              <w:rPr>
                <w:rFonts w:ascii="Times New Roman" w:hAnsi="Times New Roman" w:eastAsia="Times New Roman" w:cs="Times New Roman"/>
              </w:rPr>
              <w:t xml:space="preserve"> </w:t>
            </w:r>
            <w:r>
              <w:rPr>
                <w:spacing w:val="1"/>
              </w:rPr>
              <w:t>年</w:t>
            </w:r>
            <w:r>
              <w:rPr>
                <w:rFonts w:ascii="Times New Roman" w:hAnsi="Times New Roman" w:eastAsia="Times New Roman" w:cs="Times New Roman"/>
                <w:spacing w:val="1"/>
              </w:rPr>
              <w:t>9</w:t>
            </w:r>
            <w:r>
              <w:rPr>
                <w:rFonts w:ascii="Times New Roman" w:hAnsi="Times New Roman" w:eastAsia="Times New Roman" w:cs="Times New Roman"/>
                <w:spacing w:val="-13"/>
              </w:rPr>
              <w:t xml:space="preserve"> </w:t>
            </w:r>
            <w:r>
              <w:rPr>
                <w:spacing w:val="1"/>
              </w:rPr>
              <w:t>月</w:t>
            </w:r>
            <w:r>
              <w:rPr>
                <w:rFonts w:ascii="Times New Roman" w:hAnsi="Times New Roman" w:eastAsia="Times New Roman" w:cs="Times New Roman"/>
                <w:spacing w:val="1"/>
              </w:rPr>
              <w:t>[</w:t>
            </w:r>
            <w:r>
              <w:rPr>
                <w:spacing w:val="1"/>
              </w:rPr>
              <w:t>第三篇 第一章 十</w:t>
            </w:r>
          </w:p>
          <w:p>
            <w:pPr>
              <w:pStyle w:val="TableText"/>
              <w:ind w:left="1272"/>
              <w:spacing w:before="66" w:line="207" w:lineRule="auto"/>
              <w:rPr>
                <w:rFonts w:ascii="Times New Roman" w:hAnsi="Times New Roman" w:eastAsia="Times New Roman" w:cs="Times New Roman"/>
              </w:rPr>
            </w:pPr>
            <w:r>
              <w:rPr>
                <w:spacing w:val="-1"/>
              </w:rPr>
              <w:t>一（二）</w:t>
            </w:r>
            <w:r>
              <w:rPr>
                <w:rFonts w:ascii="Times New Roman" w:hAnsi="Times New Roman" w:eastAsia="Times New Roman" w:cs="Times New Roman"/>
                <w:spacing w:val="-1"/>
              </w:rPr>
              <w:t>]</w:t>
            </w:r>
          </w:p>
        </w:tc>
      </w:tr>
      <w:tr>
        <w:trPr>
          <w:trHeight w:val="647" w:hRule="atLeast"/>
        </w:trPr>
        <w:tc>
          <w:tcPr>
            <w:tcW w:w="1851" w:type="dxa"/>
            <w:vAlign w:val="top"/>
            <w:tcBorders>
              <w:left w:val="nil"/>
              <w:bottom w:val="single" w:color="000000" w:sz="10" w:space="0"/>
            </w:tcBorders>
          </w:tcPr>
          <w:p>
            <w:pPr>
              <w:pStyle w:val="TableText"/>
              <w:ind w:left="519"/>
              <w:spacing w:before="223" w:line="221" w:lineRule="auto"/>
              <w:rPr/>
            </w:pPr>
            <w:r>
              <w:rPr>
                <w:spacing w:val="-2"/>
              </w:rPr>
              <w:t>臭气浓度</w:t>
            </w:r>
          </w:p>
        </w:tc>
        <w:tc>
          <w:tcPr>
            <w:tcW w:w="3444" w:type="dxa"/>
            <w:vAlign w:val="top"/>
            <w:tcBorders>
              <w:bottom w:val="single" w:color="000000" w:sz="10" w:space="0"/>
            </w:tcBorders>
          </w:tcPr>
          <w:p>
            <w:pPr>
              <w:pStyle w:val="TableText"/>
              <w:ind w:left="152"/>
              <w:spacing w:before="70" w:line="221" w:lineRule="auto"/>
              <w:rPr/>
            </w:pPr>
            <w:r>
              <w:rPr>
                <w:spacing w:val="-1"/>
              </w:rPr>
              <w:t>环境空气和废气 臭气的测定 三点</w:t>
            </w:r>
          </w:p>
          <w:p>
            <w:pPr>
              <w:pStyle w:val="TableText"/>
              <w:ind w:left="1118"/>
              <w:spacing w:before="60" w:line="221" w:lineRule="auto"/>
              <w:rPr/>
            </w:pPr>
            <w:r>
              <w:rPr>
                <w:spacing w:val="-5"/>
              </w:rPr>
              <w:t>比较式臭袋法</w:t>
            </w:r>
          </w:p>
        </w:tc>
        <w:tc>
          <w:tcPr>
            <w:tcW w:w="3440" w:type="dxa"/>
            <w:vAlign w:val="top"/>
            <w:tcBorders>
              <w:right w:val="nil"/>
              <w:bottom w:val="single" w:color="000000" w:sz="10" w:space="0"/>
            </w:tcBorders>
          </w:tcPr>
          <w:p>
            <w:pPr>
              <w:ind w:left="1122"/>
              <w:spacing w:before="25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HJ</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3"/>
              </w:rPr>
              <w:t>1262-2022</w:t>
            </w:r>
          </w:p>
        </w:tc>
      </w:tr>
    </w:tbl>
    <w:p>
      <w:pPr>
        <w:pStyle w:val="BodyText"/>
        <w:spacing w:line="369" w:lineRule="auto"/>
        <w:rPr/>
      </w:pPr>
      <w:r/>
    </w:p>
    <w:p>
      <w:pPr>
        <w:ind w:left="609"/>
        <w:spacing w:before="78" w:line="217" w:lineRule="auto"/>
        <w:rPr>
          <w:rFonts w:ascii="SimSun" w:hAnsi="SimSun" w:eastAsia="SimSun" w:cs="SimSun"/>
          <w:sz w:val="24"/>
          <w:szCs w:val="24"/>
        </w:rPr>
      </w:pPr>
      <w:r>
        <w:rPr>
          <w:rFonts w:ascii="SimSun" w:hAnsi="SimSun" w:eastAsia="SimSun" w:cs="SimSun"/>
          <w:sz w:val="24"/>
          <w:szCs w:val="24"/>
          <w:spacing w:val="-2"/>
        </w:rPr>
        <w:t>⑤评价方法</w:t>
      </w:r>
    </w:p>
    <w:p>
      <w:pPr>
        <w:ind w:left="610"/>
        <w:spacing w:before="183" w:line="218" w:lineRule="auto"/>
        <w:rPr>
          <w:rFonts w:ascii="SimSun" w:hAnsi="SimSun" w:eastAsia="SimSun" w:cs="SimSun"/>
          <w:sz w:val="24"/>
          <w:szCs w:val="24"/>
        </w:rPr>
      </w:pPr>
      <w:r>
        <w:rPr>
          <w:rFonts w:ascii="SimSun" w:hAnsi="SimSun" w:eastAsia="SimSun" w:cs="SimSun"/>
          <w:sz w:val="24"/>
          <w:szCs w:val="24"/>
          <w:spacing w:val="-3"/>
        </w:rPr>
        <w:t>采用占标率对环境空气质量现状进行评价，数学表达式如下：</w:t>
      </w:r>
    </w:p>
    <w:p>
      <w:pPr>
        <w:pStyle w:val="BodyText"/>
        <w:ind w:left="3870"/>
        <w:spacing w:before="225" w:line="229" w:lineRule="auto"/>
        <w:rPr>
          <w:rFonts w:ascii="Times New Roman" w:hAnsi="Times New Roman" w:eastAsia="Times New Roman" w:cs="Times New Roman"/>
          <w:sz w:val="13"/>
          <w:szCs w:val="13"/>
        </w:rPr>
      </w:pPr>
      <w:r>
        <w:rPr>
          <w:rFonts w:ascii="Times New Roman" w:hAnsi="Times New Roman" w:eastAsia="Times New Roman" w:cs="Times New Roman"/>
          <w:sz w:val="23"/>
          <w:szCs w:val="23"/>
          <w:i/>
          <w:iCs/>
          <w:position w:val="1"/>
        </w:rPr>
        <w:t>I</w:t>
      </w:r>
      <w:r>
        <w:rPr>
          <w:rFonts w:ascii="Times New Roman" w:hAnsi="Times New Roman" w:eastAsia="Times New Roman" w:cs="Times New Roman"/>
          <w:sz w:val="13"/>
          <w:szCs w:val="13"/>
          <w:i/>
          <w:iCs/>
          <w:position w:val="-4"/>
        </w:rPr>
        <w:t>i   </w:t>
      </w:r>
      <w:r>
        <w:rPr>
          <w:sz w:val="23"/>
          <w:szCs w:val="23"/>
          <w:spacing w:val="5"/>
          <w:position w:val="1"/>
        </w:rPr>
        <w:t>=</w:t>
      </w:r>
      <w:r>
        <w:rPr>
          <w:sz w:val="23"/>
          <w:szCs w:val="23"/>
          <w:spacing w:val="13"/>
          <w:position w:val="1"/>
        </w:rPr>
        <w:t xml:space="preserve"> </w:t>
      </w:r>
      <w:r>
        <w:rPr>
          <w:rFonts w:ascii="Times New Roman" w:hAnsi="Times New Roman" w:eastAsia="Times New Roman" w:cs="Times New Roman"/>
          <w:sz w:val="23"/>
          <w:szCs w:val="23"/>
          <w:i/>
          <w:iCs/>
          <w:position w:val="1"/>
        </w:rPr>
        <w:t>C</w:t>
      </w:r>
      <w:r>
        <w:rPr>
          <w:rFonts w:ascii="Times New Roman" w:hAnsi="Times New Roman" w:eastAsia="Times New Roman" w:cs="Times New Roman"/>
          <w:sz w:val="13"/>
          <w:szCs w:val="13"/>
          <w:i/>
          <w:iCs/>
          <w:position w:val="-4"/>
        </w:rPr>
        <w:t>i</w:t>
      </w:r>
      <w:r>
        <w:rPr>
          <w:rFonts w:ascii="Times New Roman" w:hAnsi="Times New Roman" w:eastAsia="Times New Roman" w:cs="Times New Roman"/>
          <w:sz w:val="13"/>
          <w:szCs w:val="13"/>
          <w:i/>
          <w:iCs/>
          <w:spacing w:val="25"/>
          <w:w w:val="101"/>
          <w:position w:val="-4"/>
        </w:rPr>
        <w:t xml:space="preserve"> </w:t>
      </w:r>
      <w:r>
        <w:rPr>
          <w:rFonts w:ascii="Times New Roman" w:hAnsi="Times New Roman" w:eastAsia="Times New Roman" w:cs="Times New Roman"/>
          <w:sz w:val="23"/>
          <w:szCs w:val="23"/>
          <w:spacing w:val="5"/>
          <w:position w:val="1"/>
        </w:rPr>
        <w:t>/</w:t>
      </w:r>
      <w:r>
        <w:rPr>
          <w:rFonts w:ascii="Times New Roman" w:hAnsi="Times New Roman" w:eastAsia="Times New Roman" w:cs="Times New Roman"/>
          <w:sz w:val="23"/>
          <w:szCs w:val="23"/>
          <w:spacing w:val="-13"/>
          <w:position w:val="1"/>
        </w:rPr>
        <w:t xml:space="preserve"> </w:t>
      </w:r>
      <w:r>
        <w:rPr>
          <w:rFonts w:ascii="Times New Roman" w:hAnsi="Times New Roman" w:eastAsia="Times New Roman" w:cs="Times New Roman"/>
          <w:sz w:val="23"/>
          <w:szCs w:val="23"/>
          <w:i/>
          <w:iCs/>
          <w:position w:val="1"/>
        </w:rPr>
        <w:t>C</w:t>
      </w:r>
      <w:r>
        <w:rPr>
          <w:rFonts w:ascii="Times New Roman" w:hAnsi="Times New Roman" w:eastAsia="Times New Roman" w:cs="Times New Roman"/>
          <w:sz w:val="13"/>
          <w:szCs w:val="13"/>
          <w:i/>
          <w:iCs/>
          <w:position w:val="-4"/>
        </w:rPr>
        <w:t>o</w:t>
      </w:r>
    </w:p>
    <w:p>
      <w:pPr>
        <w:ind w:left="616"/>
        <w:spacing w:before="178"/>
        <w:rPr>
          <w:rFonts w:ascii="SimSun" w:hAnsi="SimSun" w:eastAsia="SimSun" w:cs="SimSun"/>
          <w:sz w:val="24"/>
          <w:szCs w:val="24"/>
        </w:rPr>
      </w:pPr>
      <w:r>
        <w:rPr>
          <w:rFonts w:ascii="SimSun" w:hAnsi="SimSun" w:eastAsia="SimSun" w:cs="SimSun"/>
          <w:sz w:val="24"/>
          <w:szCs w:val="24"/>
          <w:spacing w:val="-2"/>
        </w:rPr>
        <w:t>式中：</w:t>
      </w:r>
      <w:r>
        <w:rPr>
          <w:rFonts w:ascii="Times New Roman" w:hAnsi="Times New Roman" w:eastAsia="Times New Roman" w:cs="Times New Roman"/>
          <w:sz w:val="24"/>
          <w:szCs w:val="24"/>
          <w:spacing w:val="-2"/>
        </w:rPr>
        <w:t>I</w:t>
      </w:r>
      <w:r>
        <w:rPr>
          <w:rFonts w:ascii="Times New Roman" w:hAnsi="Times New Roman" w:eastAsia="Times New Roman" w:cs="Times New Roman"/>
          <w:sz w:val="16"/>
          <w:szCs w:val="16"/>
          <w:spacing w:val="-2"/>
          <w:position w:val="-3"/>
        </w:rPr>
        <w:t>i</w:t>
      </w:r>
      <w:r>
        <w:rPr>
          <w:rFonts w:ascii="Times New Roman" w:hAnsi="Times New Roman" w:eastAsia="Times New Roman" w:cs="Times New Roman"/>
          <w:sz w:val="24"/>
          <w:szCs w:val="24"/>
          <w:spacing w:val="-2"/>
        </w:rPr>
        <w:t>—</w:t>
      </w:r>
      <w:r>
        <w:rPr>
          <w:rFonts w:ascii="SimSun" w:hAnsi="SimSun" w:eastAsia="SimSun" w:cs="SimSun"/>
          <w:sz w:val="24"/>
          <w:szCs w:val="24"/>
          <w:spacing w:val="-2"/>
        </w:rPr>
        <w:t>第</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2"/>
        </w:rPr>
        <w:t>i </w:t>
      </w:r>
      <w:r>
        <w:rPr>
          <w:rFonts w:ascii="SimSun" w:hAnsi="SimSun" w:eastAsia="SimSun" w:cs="SimSun"/>
          <w:sz w:val="24"/>
          <w:szCs w:val="24"/>
          <w:spacing w:val="-2"/>
        </w:rPr>
        <w:t>种污染物占标率，</w:t>
      </w:r>
      <w:r>
        <w:rPr>
          <w:rFonts w:ascii="Times New Roman" w:hAnsi="Times New Roman" w:eastAsia="Times New Roman" w:cs="Times New Roman"/>
          <w:sz w:val="24"/>
          <w:szCs w:val="24"/>
          <w:spacing w:val="-2"/>
        </w:rPr>
        <w:t>%</w:t>
      </w:r>
      <w:r>
        <w:rPr>
          <w:rFonts w:ascii="SimSun" w:hAnsi="SimSun" w:eastAsia="SimSun" w:cs="SimSun"/>
          <w:sz w:val="24"/>
          <w:szCs w:val="24"/>
          <w:spacing w:val="-2"/>
        </w:rPr>
        <w:t>；</w:t>
      </w:r>
    </w:p>
    <w:p>
      <w:pPr>
        <w:ind w:left="1330"/>
        <w:spacing w:before="137" w:line="230"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16"/>
          <w:szCs w:val="16"/>
          <w:spacing w:val="-1"/>
          <w:position w:val="-3"/>
        </w:rPr>
        <w:t>i</w:t>
      </w:r>
      <w:r>
        <w:rPr>
          <w:rFonts w:ascii="Times New Roman" w:hAnsi="Times New Roman" w:eastAsia="Times New Roman" w:cs="Times New Roman"/>
          <w:sz w:val="24"/>
          <w:szCs w:val="24"/>
          <w:spacing w:val="-1"/>
        </w:rPr>
        <w:t>—</w:t>
      </w:r>
      <w:r>
        <w:rPr>
          <w:rFonts w:ascii="SimSun" w:hAnsi="SimSun" w:eastAsia="SimSun" w:cs="SimSun"/>
          <w:sz w:val="24"/>
          <w:szCs w:val="24"/>
          <w:spacing w:val="-1"/>
        </w:rPr>
        <w:t>第</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种污染物的实测最大浓度，</w:t>
      </w:r>
      <w:r>
        <w:rPr>
          <w:rFonts w:ascii="Times New Roman" w:hAnsi="Times New Roman" w:eastAsia="Times New Roman" w:cs="Times New Roman"/>
          <w:sz w:val="24"/>
          <w:szCs w:val="24"/>
          <w:spacing w:val="-1"/>
        </w:rPr>
        <w:t>mg/Nm</w:t>
      </w:r>
      <w:r>
        <w:rPr>
          <w:rFonts w:ascii="Times New Roman" w:hAnsi="Times New Roman" w:eastAsia="Times New Roman" w:cs="Times New Roman"/>
          <w:sz w:val="16"/>
          <w:szCs w:val="16"/>
          <w:spacing w:val="-1"/>
          <w:position w:val="10"/>
        </w:rPr>
        <w:t>3</w:t>
      </w:r>
      <w:r>
        <w:rPr>
          <w:rFonts w:ascii="SimSun" w:hAnsi="SimSun" w:eastAsia="SimSun" w:cs="SimSun"/>
          <w:sz w:val="24"/>
          <w:szCs w:val="24"/>
          <w:spacing w:val="-1"/>
        </w:rPr>
        <w:t>；</w:t>
      </w:r>
    </w:p>
    <w:p>
      <w:pPr>
        <w:ind w:left="1330"/>
        <w:spacing w:before="162" w:line="230"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16"/>
          <w:szCs w:val="16"/>
          <w:spacing w:val="-1"/>
          <w:position w:val="-3"/>
        </w:rPr>
        <w:t>o</w:t>
      </w:r>
      <w:r>
        <w:rPr>
          <w:rFonts w:ascii="Times New Roman" w:hAnsi="Times New Roman" w:eastAsia="Times New Roman" w:cs="Times New Roman"/>
          <w:sz w:val="24"/>
          <w:szCs w:val="24"/>
          <w:spacing w:val="-1"/>
        </w:rPr>
        <w:t>—</w:t>
      </w:r>
      <w:r>
        <w:rPr>
          <w:rFonts w:ascii="SimSun" w:hAnsi="SimSun" w:eastAsia="SimSun" w:cs="SimSun"/>
          <w:sz w:val="24"/>
          <w:szCs w:val="24"/>
          <w:spacing w:val="-1"/>
        </w:rPr>
        <w:t>第</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种污染物环境质量标准，</w:t>
      </w:r>
      <w:r>
        <w:rPr>
          <w:rFonts w:ascii="Times New Roman" w:hAnsi="Times New Roman" w:eastAsia="Times New Roman" w:cs="Times New Roman"/>
          <w:sz w:val="24"/>
          <w:szCs w:val="24"/>
          <w:spacing w:val="-1"/>
        </w:rPr>
        <w:t>mg/Nm</w:t>
      </w:r>
      <w:r>
        <w:rPr>
          <w:rFonts w:ascii="Times New Roman" w:hAnsi="Times New Roman" w:eastAsia="Times New Roman" w:cs="Times New Roman"/>
          <w:sz w:val="16"/>
          <w:szCs w:val="16"/>
          <w:spacing w:val="-1"/>
          <w:position w:val="10"/>
        </w:rPr>
        <w:t>3</w:t>
      </w:r>
      <w:r>
        <w:rPr>
          <w:rFonts w:ascii="SimSun" w:hAnsi="SimSun" w:eastAsia="SimSun" w:cs="SimSun"/>
          <w:sz w:val="24"/>
          <w:szCs w:val="24"/>
          <w:spacing w:val="-1"/>
        </w:rPr>
        <w:t>。</w:t>
      </w:r>
    </w:p>
    <w:p>
      <w:pPr>
        <w:ind w:left="133" w:right="119" w:firstLine="517"/>
        <w:spacing w:before="254" w:line="352" w:lineRule="auto"/>
        <w:rPr>
          <w:rFonts w:ascii="SimSun" w:hAnsi="SimSun" w:eastAsia="SimSun" w:cs="SimSun"/>
          <w:sz w:val="24"/>
          <w:szCs w:val="24"/>
        </w:rPr>
      </w:pPr>
      <w:r>
        <w:rPr>
          <w:rFonts w:ascii="SimSun" w:hAnsi="SimSun" w:eastAsia="SimSun" w:cs="SimSun"/>
          <w:sz w:val="24"/>
          <w:szCs w:val="24"/>
          <w:spacing w:val="-5"/>
        </w:rPr>
        <w:t>占标率若</w:t>
      </w:r>
      <w:r>
        <w:rPr>
          <w:rFonts w:ascii="Times New Roman" w:hAnsi="Times New Roman" w:eastAsia="Times New Roman" w:cs="Times New Roman"/>
          <w:sz w:val="24"/>
          <w:szCs w:val="24"/>
          <w:spacing w:val="-5"/>
        </w:rPr>
        <w:t>≥100%</w:t>
      </w:r>
      <w:r>
        <w:rPr>
          <w:rFonts w:ascii="SimSun" w:hAnsi="SimSun" w:eastAsia="SimSun" w:cs="SimSun"/>
          <w:sz w:val="24"/>
          <w:szCs w:val="24"/>
          <w:spacing w:val="-5"/>
        </w:rPr>
        <w:t>，表明该项指标超过了相应的环境空气质量标准，不能满足使</w:t>
      </w:r>
      <w:r>
        <w:rPr>
          <w:rFonts w:ascii="SimSun" w:hAnsi="SimSun" w:eastAsia="SimSun" w:cs="SimSun"/>
          <w:sz w:val="24"/>
          <w:szCs w:val="24"/>
          <w:spacing w:val="-3"/>
        </w:rPr>
        <w:t>用功能要求，反之，则满足使用功能要求。</w:t>
      </w:r>
    </w:p>
    <w:p>
      <w:pPr>
        <w:ind w:left="609"/>
        <w:spacing w:before="22" w:line="217" w:lineRule="auto"/>
        <w:rPr>
          <w:rFonts w:ascii="SimSun" w:hAnsi="SimSun" w:eastAsia="SimSun" w:cs="SimSun"/>
          <w:sz w:val="24"/>
          <w:szCs w:val="24"/>
        </w:rPr>
      </w:pPr>
      <w:r>
        <w:rPr>
          <w:rFonts w:ascii="SimSun" w:hAnsi="SimSun" w:eastAsia="SimSun" w:cs="SimSun"/>
          <w:sz w:val="24"/>
          <w:szCs w:val="24"/>
          <w:spacing w:val="-2"/>
        </w:rPr>
        <w:t>⑥评价标准</w:t>
      </w:r>
    </w:p>
    <w:p>
      <w:pPr>
        <w:ind w:left="610"/>
        <w:spacing w:before="186" w:line="233" w:lineRule="auto"/>
        <w:rPr>
          <w:rFonts w:ascii="SimSun" w:hAnsi="SimSun" w:eastAsia="SimSun" w:cs="SimSun"/>
          <w:sz w:val="24"/>
          <w:szCs w:val="24"/>
        </w:rPr>
      </w:pPr>
      <w:r>
        <w:rPr>
          <w:rFonts w:ascii="SimSun" w:hAnsi="SimSun" w:eastAsia="SimSun" w:cs="SimSun"/>
          <w:sz w:val="24"/>
          <w:szCs w:val="24"/>
          <w:spacing w:val="-1"/>
        </w:rPr>
        <w:t>采用</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GB3095-2012</w:t>
      </w:r>
      <w:r>
        <w:rPr>
          <w:rFonts w:ascii="SimSun" w:hAnsi="SimSun" w:eastAsia="SimSun" w:cs="SimSun"/>
          <w:sz w:val="24"/>
          <w:szCs w:val="24"/>
          <w:spacing w:val="-1"/>
        </w:rPr>
        <w:t>《环境空气质量标准》中二级标准。</w:t>
      </w:r>
    </w:p>
    <w:p>
      <w:pPr>
        <w:ind w:left="609"/>
        <w:spacing w:before="166" w:line="217" w:lineRule="auto"/>
        <w:rPr>
          <w:rFonts w:ascii="SimSun" w:hAnsi="SimSun" w:eastAsia="SimSun" w:cs="SimSun"/>
          <w:sz w:val="24"/>
          <w:szCs w:val="24"/>
        </w:rPr>
      </w:pPr>
      <w:r>
        <w:rPr>
          <w:rFonts w:ascii="SimSun" w:hAnsi="SimSun" w:eastAsia="SimSun" w:cs="SimSun"/>
          <w:sz w:val="24"/>
          <w:szCs w:val="24"/>
          <w:spacing w:val="-1"/>
        </w:rPr>
        <w:t>⑦监测及评价结果</w:t>
      </w:r>
    </w:p>
    <w:p>
      <w:pPr>
        <w:ind w:left="612"/>
        <w:spacing w:before="186" w:line="233" w:lineRule="auto"/>
        <w:rPr>
          <w:rFonts w:ascii="SimSun" w:hAnsi="SimSun" w:eastAsia="SimSun" w:cs="SimSun"/>
          <w:sz w:val="24"/>
          <w:szCs w:val="24"/>
        </w:rPr>
      </w:pPr>
      <w:r>
        <w:rPr>
          <w:rFonts w:ascii="SimSun" w:hAnsi="SimSun" w:eastAsia="SimSun" w:cs="SimSun"/>
          <w:sz w:val="24"/>
          <w:szCs w:val="24"/>
          <w:spacing w:val="-2"/>
        </w:rPr>
        <w:t>监测结果详见表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4-10</w:t>
      </w:r>
      <w:r>
        <w:rPr>
          <w:rFonts w:ascii="SimSun" w:hAnsi="SimSun" w:eastAsia="SimSun" w:cs="SimSun"/>
          <w:sz w:val="24"/>
          <w:szCs w:val="24"/>
          <w:spacing w:val="-2"/>
        </w:rPr>
        <w:t>。</w:t>
      </w:r>
    </w:p>
    <w:p>
      <w:pPr>
        <w:ind w:left="2324"/>
        <w:spacing w:before="245"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4-10    </w:t>
      </w:r>
      <w:r>
        <w:rPr>
          <w:rFonts w:ascii="SimSun" w:hAnsi="SimSun" w:eastAsia="SimSun" w:cs="SimSun"/>
          <w:sz w:val="24"/>
          <w:szCs w:val="24"/>
          <w:b/>
          <w:bCs/>
          <w:spacing w:val="-2"/>
        </w:rPr>
        <w:t>本项目特征污染物监测结果一览表</w:t>
      </w:r>
    </w:p>
    <w:p>
      <w:pPr>
        <w:spacing w:line="32" w:lineRule="auto"/>
        <w:rPr>
          <w:rFonts w:ascii="Arial"/>
          <w:sz w:val="2"/>
        </w:rPr>
      </w:pPr>
      <w:r>
        <w:rPr>
          <w:rFonts w:ascii="Arial"/>
          <w:sz w:val="2"/>
        </w:rPr>
      </w:r>
    </w:p>
    <w:tbl>
      <w:tblPr>
        <w:tblStyle w:val="TableNormal"/>
        <w:tblW w:w="8562" w:type="dxa"/>
        <w:tblInd w:w="9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6"/>
        <w:gridCol w:w="996"/>
        <w:gridCol w:w="1068"/>
        <w:gridCol w:w="912"/>
        <w:gridCol w:w="761"/>
        <w:gridCol w:w="1089"/>
        <w:gridCol w:w="1309"/>
        <w:gridCol w:w="703"/>
        <w:gridCol w:w="437"/>
        <w:gridCol w:w="531"/>
      </w:tblGrid>
      <w:tr>
        <w:trPr>
          <w:trHeight w:val="275" w:hRule="atLeast"/>
        </w:trPr>
        <w:tc>
          <w:tcPr>
            <w:tcW w:w="756" w:type="dxa"/>
            <w:vAlign w:val="top"/>
            <w:vMerge w:val="restart"/>
            <w:tcBorders>
              <w:bottom w:val="nil"/>
              <w:top w:val="single" w:color="000000" w:sz="10" w:space="0"/>
              <w:left w:val="nil"/>
            </w:tcBorders>
          </w:tcPr>
          <w:p>
            <w:pPr>
              <w:pStyle w:val="TableText"/>
              <w:ind w:left="273" w:right="52" w:hanging="211"/>
              <w:spacing w:before="247" w:line="277" w:lineRule="auto"/>
              <w:rPr/>
            </w:pPr>
            <w:r>
              <w:rPr>
                <w:b/>
                <w:bCs/>
              </w:rPr>
              <w:t>点位名</w:t>
            </w:r>
            <w:r>
              <w:rPr>
                <w:b/>
                <w:bCs/>
                <w:spacing w:val="-3"/>
              </w:rPr>
              <w:t>称</w:t>
            </w:r>
          </w:p>
        </w:tc>
        <w:tc>
          <w:tcPr>
            <w:tcW w:w="2064" w:type="dxa"/>
            <w:vAlign w:val="top"/>
            <w:gridSpan w:val="2"/>
            <w:tcBorders>
              <w:top w:val="single" w:color="000000" w:sz="10" w:space="0"/>
            </w:tcBorders>
          </w:tcPr>
          <w:p>
            <w:pPr>
              <w:pStyle w:val="TableText"/>
              <w:ind w:left="479"/>
              <w:spacing w:before="36" w:line="201" w:lineRule="auto"/>
              <w:rPr/>
            </w:pPr>
            <w:r>
              <w:rPr>
                <w:b/>
                <w:bCs/>
                <w:spacing w:val="6"/>
              </w:rPr>
              <w:t>监测点坐标</w:t>
            </w:r>
          </w:p>
        </w:tc>
        <w:tc>
          <w:tcPr>
            <w:tcW w:w="912" w:type="dxa"/>
            <w:vAlign w:val="top"/>
            <w:vMerge w:val="restart"/>
            <w:tcBorders>
              <w:bottom w:val="nil"/>
              <w:top w:val="single" w:color="000000" w:sz="10" w:space="0"/>
            </w:tcBorders>
          </w:tcPr>
          <w:p>
            <w:pPr>
              <w:spacing w:line="330" w:lineRule="auto"/>
              <w:rPr>
                <w:rFonts w:ascii="Arial"/>
                <w:sz w:val="21"/>
              </w:rPr>
            </w:pPr>
            <w:r/>
          </w:p>
          <w:p>
            <w:pPr>
              <w:pStyle w:val="TableText"/>
              <w:ind w:left="144"/>
              <w:spacing w:before="69" w:line="221" w:lineRule="auto"/>
              <w:rPr/>
            </w:pPr>
            <w:r>
              <w:rPr>
                <w:b/>
                <w:bCs/>
                <w:spacing w:val="-4"/>
              </w:rPr>
              <w:t>污染物</w:t>
            </w:r>
          </w:p>
        </w:tc>
        <w:tc>
          <w:tcPr>
            <w:tcW w:w="761" w:type="dxa"/>
            <w:vAlign w:val="top"/>
            <w:vMerge w:val="restart"/>
            <w:tcBorders>
              <w:bottom w:val="nil"/>
              <w:top w:val="single" w:color="000000" w:sz="10" w:space="0"/>
            </w:tcBorders>
          </w:tcPr>
          <w:p>
            <w:pPr>
              <w:pStyle w:val="TableText"/>
              <w:ind w:left="296" w:right="61" w:hanging="228"/>
              <w:spacing w:before="266" w:line="242" w:lineRule="auto"/>
              <w:rPr/>
            </w:pPr>
            <w:r>
              <w:rPr>
                <w:b/>
                <w:bCs/>
                <w:spacing w:val="-4"/>
              </w:rPr>
              <w:t>平均时</w:t>
            </w:r>
            <w:r>
              <w:rPr>
                <w:b/>
                <w:bCs/>
                <w:spacing w:val="-3"/>
              </w:rPr>
              <w:t>间</w:t>
            </w:r>
          </w:p>
        </w:tc>
        <w:tc>
          <w:tcPr>
            <w:tcW w:w="1089" w:type="dxa"/>
            <w:vAlign w:val="top"/>
            <w:vMerge w:val="restart"/>
            <w:tcBorders>
              <w:bottom w:val="nil"/>
              <w:top w:val="single" w:color="000000" w:sz="10" w:space="0"/>
            </w:tcBorders>
          </w:tcPr>
          <w:p>
            <w:pPr>
              <w:pStyle w:val="TableText"/>
              <w:ind w:left="184" w:right="85" w:hanging="59"/>
              <w:spacing w:before="265" w:line="227" w:lineRule="auto"/>
              <w:rPr/>
            </w:pPr>
            <w:r>
              <w:rPr>
                <w:b/>
                <w:bCs/>
                <w:spacing w:val="-3"/>
              </w:rPr>
              <w:t>评价标准</w:t>
            </w:r>
            <w:r>
              <w:rPr>
                <w:b/>
                <w:bCs/>
                <w:spacing w:val="-4"/>
              </w:rPr>
              <w:t>(</w:t>
            </w:r>
            <w:r>
              <w:rPr>
                <w:rFonts w:ascii="Times New Roman" w:hAnsi="Times New Roman" w:eastAsia="Times New Roman" w:cs="Times New Roman"/>
                <w:b/>
                <w:bCs/>
                <w:spacing w:val="-4"/>
              </w:rPr>
              <w:t>μg/m</w:t>
            </w:r>
            <w:r>
              <w:rPr>
                <w:rFonts w:ascii="Times New Roman" w:hAnsi="Times New Roman" w:eastAsia="Times New Roman" w:cs="Times New Roman"/>
                <w:sz w:val="13"/>
                <w:szCs w:val="13"/>
                <w:b/>
                <w:bCs/>
                <w:spacing w:val="-4"/>
                <w:position w:val="9"/>
              </w:rPr>
              <w:t>3</w:t>
            </w:r>
            <w:r>
              <w:rPr>
                <w:b/>
                <w:bCs/>
                <w:spacing w:val="-4"/>
              </w:rPr>
              <w:t>）</w:t>
            </w:r>
          </w:p>
        </w:tc>
        <w:tc>
          <w:tcPr>
            <w:tcW w:w="1309" w:type="dxa"/>
            <w:vAlign w:val="top"/>
            <w:vMerge w:val="restart"/>
            <w:tcBorders>
              <w:bottom w:val="nil"/>
              <w:top w:val="single" w:color="000000" w:sz="10" w:space="0"/>
            </w:tcBorders>
          </w:tcPr>
          <w:p>
            <w:pPr>
              <w:pStyle w:val="TableText"/>
              <w:ind w:left="38" w:firstLine="190"/>
              <w:spacing w:before="265" w:line="227" w:lineRule="auto"/>
              <w:rPr/>
            </w:pPr>
            <w:r>
              <w:rPr>
                <w:b/>
                <w:bCs/>
                <w:spacing w:val="-14"/>
              </w:rPr>
              <w:t>监测浓度</w:t>
            </w:r>
            <w:r>
              <w:rPr/>
              <w:t xml:space="preserve"> </w:t>
            </w:r>
            <w:r>
              <w:rPr>
                <w:b/>
                <w:bCs/>
                <w:spacing w:val="-1"/>
              </w:rPr>
              <w:t>范围(</w:t>
            </w:r>
            <w:r>
              <w:rPr>
                <w:rFonts w:ascii="Times New Roman" w:hAnsi="Times New Roman" w:eastAsia="Times New Roman" w:cs="Times New Roman"/>
                <w:b/>
                <w:bCs/>
                <w:spacing w:val="-1"/>
              </w:rPr>
              <w:t>μg/m</w:t>
            </w:r>
            <w:r>
              <w:rPr>
                <w:rFonts w:ascii="Times New Roman" w:hAnsi="Times New Roman" w:eastAsia="Times New Roman" w:cs="Times New Roman"/>
                <w:sz w:val="13"/>
                <w:szCs w:val="13"/>
                <w:b/>
                <w:bCs/>
                <w:spacing w:val="-1"/>
                <w:position w:val="9"/>
              </w:rPr>
              <w:t>3</w:t>
            </w:r>
            <w:r>
              <w:rPr>
                <w:b/>
                <w:bCs/>
                <w:spacing w:val="-1"/>
              </w:rPr>
              <w:t>）</w:t>
            </w:r>
          </w:p>
        </w:tc>
        <w:tc>
          <w:tcPr>
            <w:tcW w:w="703" w:type="dxa"/>
            <w:vAlign w:val="top"/>
            <w:vMerge w:val="restart"/>
            <w:tcBorders>
              <w:bottom w:val="nil"/>
              <w:top w:val="single" w:color="000000" w:sz="10" w:space="0"/>
            </w:tcBorders>
          </w:tcPr>
          <w:p>
            <w:pPr>
              <w:pStyle w:val="TableText"/>
              <w:ind w:left="42"/>
              <w:spacing w:before="90" w:line="221" w:lineRule="auto"/>
              <w:rPr/>
            </w:pPr>
            <w:r>
              <w:rPr>
                <w:b/>
                <w:bCs/>
                <w:spacing w:val="-4"/>
              </w:rPr>
              <w:t>最大浓</w:t>
            </w:r>
          </w:p>
          <w:p>
            <w:pPr>
              <w:pStyle w:val="TableText"/>
              <w:ind w:left="39"/>
              <w:spacing w:before="61" w:line="221" w:lineRule="auto"/>
              <w:rPr/>
            </w:pPr>
            <w:r>
              <w:rPr>
                <w:b/>
                <w:bCs/>
                <w:spacing w:val="-4"/>
              </w:rPr>
              <w:t>度占标</w:t>
            </w:r>
          </w:p>
          <w:p>
            <w:pPr>
              <w:pStyle w:val="TableText"/>
              <w:ind w:left="118"/>
              <w:spacing w:before="60" w:line="234" w:lineRule="auto"/>
              <w:rPr>
                <w:rFonts w:ascii="Times New Roman" w:hAnsi="Times New Roman" w:eastAsia="Times New Roman" w:cs="Times New Roman"/>
              </w:rPr>
            </w:pPr>
            <w:r>
              <w:rPr>
                <w:b/>
                <w:bCs/>
                <w:spacing w:val="-3"/>
              </w:rPr>
              <w:t>率</w:t>
            </w:r>
            <w:r>
              <w:rPr>
                <w:rFonts w:ascii="Times New Roman" w:hAnsi="Times New Roman" w:eastAsia="Times New Roman" w:cs="Times New Roman"/>
                <w:b/>
                <w:bCs/>
                <w:spacing w:val="-3"/>
              </w:rPr>
              <w:t>/%</w:t>
            </w:r>
          </w:p>
        </w:tc>
        <w:tc>
          <w:tcPr>
            <w:tcW w:w="437" w:type="dxa"/>
            <w:vAlign w:val="top"/>
            <w:vMerge w:val="restart"/>
            <w:textDirection w:val="tbRlV"/>
            <w:tcBorders>
              <w:bottom w:val="nil"/>
              <w:top w:val="single" w:color="000000" w:sz="10" w:space="0"/>
            </w:tcBorders>
          </w:tcPr>
          <w:p>
            <w:pPr>
              <w:pStyle w:val="TableText"/>
              <w:ind w:left="129"/>
              <w:spacing w:before="111" w:line="210" w:lineRule="auto"/>
              <w:rPr/>
            </w:pPr>
            <w:r>
              <w:rPr>
                <w:b/>
                <w:bCs/>
                <w:spacing w:val="39"/>
              </w:rPr>
              <w:t>超标率</w:t>
            </w:r>
          </w:p>
        </w:tc>
        <w:tc>
          <w:tcPr>
            <w:tcW w:w="531" w:type="dxa"/>
            <w:vAlign w:val="top"/>
            <w:vMerge w:val="restart"/>
            <w:tcBorders>
              <w:bottom w:val="nil"/>
              <w:top w:val="single" w:color="000000" w:sz="10" w:space="0"/>
              <w:right w:val="nil"/>
            </w:tcBorders>
          </w:tcPr>
          <w:p>
            <w:pPr>
              <w:pStyle w:val="TableText"/>
              <w:ind w:left="60" w:right="54" w:hanging="1"/>
              <w:spacing w:before="265" w:line="241" w:lineRule="auto"/>
              <w:rPr/>
            </w:pPr>
            <w:r>
              <w:rPr>
                <w:b/>
                <w:bCs/>
                <w:spacing w:val="-5"/>
              </w:rPr>
              <w:t>达标</w:t>
            </w:r>
            <w:r>
              <w:rPr>
                <w:b/>
                <w:bCs/>
                <w:spacing w:val="-6"/>
              </w:rPr>
              <w:t>情况</w:t>
            </w:r>
          </w:p>
        </w:tc>
      </w:tr>
      <w:tr>
        <w:trPr>
          <w:trHeight w:val="735" w:hRule="atLeast"/>
        </w:trPr>
        <w:tc>
          <w:tcPr>
            <w:tcW w:w="756" w:type="dxa"/>
            <w:vAlign w:val="top"/>
            <w:vMerge w:val="continue"/>
            <w:tcBorders>
              <w:bottom w:val="single" w:color="000000" w:sz="10" w:space="0"/>
              <w:top w:val="nil"/>
              <w:left w:val="nil"/>
            </w:tcBorders>
          </w:tcPr>
          <w:p>
            <w:pPr>
              <w:rPr>
                <w:rFonts w:ascii="Arial"/>
                <w:sz w:val="21"/>
              </w:rPr>
            </w:pPr>
            <w:r/>
          </w:p>
        </w:tc>
        <w:tc>
          <w:tcPr>
            <w:tcW w:w="996" w:type="dxa"/>
            <w:vAlign w:val="top"/>
            <w:tcBorders>
              <w:bottom w:val="single" w:color="000000" w:sz="10" w:space="0"/>
            </w:tcBorders>
          </w:tcPr>
          <w:p>
            <w:pPr>
              <w:pStyle w:val="TableText"/>
              <w:ind w:left="286"/>
              <w:spacing w:before="264" w:line="221" w:lineRule="auto"/>
              <w:rPr/>
            </w:pPr>
            <w:r>
              <w:rPr>
                <w:b/>
                <w:bCs/>
                <w:spacing w:val="-3"/>
              </w:rPr>
              <w:t>东经</w:t>
            </w:r>
          </w:p>
        </w:tc>
        <w:tc>
          <w:tcPr>
            <w:tcW w:w="1068" w:type="dxa"/>
            <w:vAlign w:val="top"/>
            <w:tcBorders>
              <w:bottom w:val="single" w:color="000000" w:sz="10" w:space="0"/>
            </w:tcBorders>
          </w:tcPr>
          <w:p>
            <w:pPr>
              <w:pStyle w:val="TableText"/>
              <w:ind w:left="319"/>
              <w:spacing w:before="265" w:line="221" w:lineRule="auto"/>
              <w:rPr/>
            </w:pPr>
            <w:r>
              <w:rPr>
                <w:b/>
                <w:bCs/>
                <w:spacing w:val="-1"/>
              </w:rPr>
              <w:t>北纬</w:t>
            </w:r>
          </w:p>
        </w:tc>
        <w:tc>
          <w:tcPr>
            <w:tcW w:w="912" w:type="dxa"/>
            <w:vAlign w:val="top"/>
            <w:vMerge w:val="continue"/>
            <w:tcBorders>
              <w:bottom w:val="single" w:color="000000" w:sz="10" w:space="0"/>
              <w:top w:val="nil"/>
            </w:tcBorders>
          </w:tcPr>
          <w:p>
            <w:pPr>
              <w:rPr>
                <w:rFonts w:ascii="Arial"/>
                <w:sz w:val="21"/>
              </w:rPr>
            </w:pPr>
            <w:r/>
          </w:p>
        </w:tc>
        <w:tc>
          <w:tcPr>
            <w:tcW w:w="761" w:type="dxa"/>
            <w:vAlign w:val="top"/>
            <w:vMerge w:val="continue"/>
            <w:tcBorders>
              <w:bottom w:val="single" w:color="000000" w:sz="10" w:space="0"/>
              <w:top w:val="nil"/>
            </w:tcBorders>
          </w:tcPr>
          <w:p>
            <w:pPr>
              <w:rPr>
                <w:rFonts w:ascii="Arial"/>
                <w:sz w:val="21"/>
              </w:rPr>
            </w:pPr>
            <w:r/>
          </w:p>
        </w:tc>
        <w:tc>
          <w:tcPr>
            <w:tcW w:w="1089" w:type="dxa"/>
            <w:vAlign w:val="top"/>
            <w:vMerge w:val="continue"/>
            <w:tcBorders>
              <w:bottom w:val="single" w:color="000000" w:sz="10" w:space="0"/>
              <w:top w:val="nil"/>
            </w:tcBorders>
          </w:tcPr>
          <w:p>
            <w:pPr>
              <w:rPr>
                <w:rFonts w:ascii="Arial"/>
                <w:sz w:val="21"/>
              </w:rPr>
            </w:pPr>
            <w:r/>
          </w:p>
        </w:tc>
        <w:tc>
          <w:tcPr>
            <w:tcW w:w="1309" w:type="dxa"/>
            <w:vAlign w:val="top"/>
            <w:vMerge w:val="continue"/>
            <w:tcBorders>
              <w:bottom w:val="single" w:color="000000" w:sz="10" w:space="0"/>
              <w:top w:val="nil"/>
            </w:tcBorders>
          </w:tcPr>
          <w:p>
            <w:pPr>
              <w:rPr>
                <w:rFonts w:ascii="Arial"/>
                <w:sz w:val="21"/>
              </w:rPr>
            </w:pPr>
            <w:r/>
          </w:p>
        </w:tc>
        <w:tc>
          <w:tcPr>
            <w:tcW w:w="703" w:type="dxa"/>
            <w:vAlign w:val="top"/>
            <w:vMerge w:val="continue"/>
            <w:tcBorders>
              <w:bottom w:val="single" w:color="000000" w:sz="10" w:space="0"/>
              <w:top w:val="nil"/>
            </w:tcBorders>
          </w:tcPr>
          <w:p>
            <w:pPr>
              <w:rPr>
                <w:rFonts w:ascii="Arial"/>
                <w:sz w:val="21"/>
              </w:rPr>
            </w:pPr>
            <w:r/>
          </w:p>
        </w:tc>
        <w:tc>
          <w:tcPr>
            <w:tcW w:w="437" w:type="dxa"/>
            <w:vAlign w:val="top"/>
            <w:vMerge w:val="continue"/>
            <w:textDirection w:val="tbRlV"/>
            <w:tcBorders>
              <w:bottom w:val="single" w:color="000000" w:sz="10" w:space="0"/>
              <w:top w:val="nil"/>
            </w:tcBorders>
          </w:tcPr>
          <w:p>
            <w:pPr>
              <w:rPr>
                <w:rFonts w:ascii="Arial"/>
                <w:sz w:val="21"/>
              </w:rPr>
            </w:pPr>
            <w:r/>
          </w:p>
        </w:tc>
        <w:tc>
          <w:tcPr>
            <w:tcW w:w="531" w:type="dxa"/>
            <w:vAlign w:val="top"/>
            <w:vMerge w:val="continue"/>
            <w:tcBorders>
              <w:bottom w:val="single" w:color="000000" w:sz="10" w:space="0"/>
              <w:top w:val="nil"/>
              <w:right w:val="nil"/>
            </w:tcBorders>
          </w:tcPr>
          <w:p>
            <w:pPr>
              <w:rPr>
                <w:rFonts w:ascii="Arial"/>
                <w:sz w:val="21"/>
              </w:rPr>
            </w:pPr>
            <w:r/>
          </w:p>
        </w:tc>
      </w:tr>
    </w:tbl>
    <w:p>
      <w:pPr>
        <w:pStyle w:val="BodyText"/>
        <w:rPr/>
      </w:pPr>
      <w:r/>
    </w:p>
    <w:p>
      <w:pPr>
        <w:sectPr>
          <w:headerReference w:type="default" r:id="rId108"/>
          <w:footerReference w:type="default" r:id="rId109"/>
          <w:pgSz w:w="11907" w:h="16839"/>
          <w:pgMar w:top="1582" w:right="1591" w:bottom="1235" w:left="1579" w:header="1241" w:footer="992" w:gutter="0"/>
        </w:sectPr>
        <w:rPr/>
      </w:pPr>
    </w:p>
    <w:p>
      <w:pPr>
        <w:spacing w:line="119" w:lineRule="exact"/>
        <w:rPr/>
      </w:pPr>
      <w:r/>
    </w:p>
    <w:tbl>
      <w:tblPr>
        <w:tblStyle w:val="TableNormal"/>
        <w:tblW w:w="8562" w:type="dxa"/>
        <w:tblInd w:w="9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6"/>
        <w:gridCol w:w="996"/>
        <w:gridCol w:w="1068"/>
        <w:gridCol w:w="912"/>
        <w:gridCol w:w="761"/>
        <w:gridCol w:w="1089"/>
        <w:gridCol w:w="1309"/>
        <w:gridCol w:w="703"/>
        <w:gridCol w:w="437"/>
        <w:gridCol w:w="531"/>
      </w:tblGrid>
      <w:tr>
        <w:trPr>
          <w:trHeight w:val="726" w:hRule="atLeast"/>
        </w:trPr>
        <w:tc>
          <w:tcPr>
            <w:tcW w:w="756" w:type="dxa"/>
            <w:vAlign w:val="top"/>
            <w:tcBorders>
              <w:top w:val="single" w:color="000000" w:sz="10" w:space="0"/>
              <w:left w:val="nil"/>
            </w:tcBorders>
          </w:tcPr>
          <w:p>
            <w:pPr>
              <w:rPr>
                <w:rFonts w:ascii="Arial"/>
                <w:sz w:val="21"/>
              </w:rPr>
            </w:pPr>
            <w:r/>
          </w:p>
        </w:tc>
        <w:tc>
          <w:tcPr>
            <w:tcW w:w="996" w:type="dxa"/>
            <w:vAlign w:val="top"/>
            <w:tcBorders>
              <w:top w:val="single" w:color="000000" w:sz="10" w:space="0"/>
            </w:tcBorders>
          </w:tcPr>
          <w:p>
            <w:pPr>
              <w:rPr>
                <w:rFonts w:ascii="Arial"/>
                <w:sz w:val="21"/>
              </w:rPr>
            </w:pPr>
            <w:r/>
          </w:p>
        </w:tc>
        <w:tc>
          <w:tcPr>
            <w:tcW w:w="1068" w:type="dxa"/>
            <w:vAlign w:val="top"/>
            <w:tcBorders>
              <w:top w:val="single" w:color="000000" w:sz="10" w:space="0"/>
            </w:tcBorders>
          </w:tcPr>
          <w:p>
            <w:pPr>
              <w:rPr>
                <w:rFonts w:ascii="Arial"/>
                <w:sz w:val="21"/>
              </w:rPr>
            </w:pPr>
            <w:r/>
          </w:p>
        </w:tc>
        <w:tc>
          <w:tcPr>
            <w:tcW w:w="912" w:type="dxa"/>
            <w:vAlign w:val="top"/>
            <w:tcBorders>
              <w:top w:val="single" w:color="000000" w:sz="10" w:space="0"/>
            </w:tcBorders>
          </w:tcPr>
          <w:p>
            <w:pPr>
              <w:rPr>
                <w:rFonts w:ascii="Arial"/>
                <w:sz w:val="21"/>
              </w:rPr>
            </w:pPr>
            <w:r/>
          </w:p>
        </w:tc>
        <w:tc>
          <w:tcPr>
            <w:tcW w:w="761" w:type="dxa"/>
            <w:vAlign w:val="top"/>
            <w:tcBorders>
              <w:top w:val="single" w:color="000000" w:sz="10" w:space="0"/>
            </w:tcBorders>
          </w:tcPr>
          <w:p>
            <w:pPr>
              <w:rPr>
                <w:rFonts w:ascii="Arial"/>
                <w:sz w:val="21"/>
              </w:rPr>
            </w:pPr>
            <w:r/>
          </w:p>
        </w:tc>
        <w:tc>
          <w:tcPr>
            <w:tcW w:w="1089" w:type="dxa"/>
            <w:vAlign w:val="top"/>
            <w:tcBorders>
              <w:top w:val="single" w:color="000000" w:sz="10" w:space="0"/>
            </w:tcBorders>
          </w:tcPr>
          <w:p>
            <w:pPr>
              <w:rPr>
                <w:rFonts w:ascii="Arial"/>
                <w:sz w:val="21"/>
              </w:rPr>
            </w:pPr>
            <w:r/>
          </w:p>
        </w:tc>
        <w:tc>
          <w:tcPr>
            <w:tcW w:w="1309" w:type="dxa"/>
            <w:vAlign w:val="top"/>
            <w:tcBorders>
              <w:top w:val="single" w:color="000000" w:sz="10" w:space="0"/>
            </w:tcBorders>
          </w:tcPr>
          <w:p>
            <w:pPr>
              <w:rPr>
                <w:rFonts w:ascii="Arial"/>
                <w:sz w:val="21"/>
              </w:rPr>
            </w:pPr>
            <w:r/>
          </w:p>
        </w:tc>
        <w:tc>
          <w:tcPr>
            <w:tcW w:w="703" w:type="dxa"/>
            <w:vAlign w:val="top"/>
            <w:tcBorders>
              <w:top w:val="single" w:color="000000" w:sz="10" w:space="0"/>
            </w:tcBorders>
          </w:tcPr>
          <w:p>
            <w:pPr>
              <w:rPr>
                <w:rFonts w:ascii="Arial"/>
                <w:sz w:val="21"/>
              </w:rPr>
            </w:pPr>
            <w:r/>
          </w:p>
        </w:tc>
        <w:tc>
          <w:tcPr>
            <w:tcW w:w="437" w:type="dxa"/>
            <w:vAlign w:val="top"/>
            <w:tcBorders>
              <w:top w:val="single" w:color="000000" w:sz="10" w:space="0"/>
            </w:tcBorders>
          </w:tcPr>
          <w:p>
            <w:pPr>
              <w:ind w:left="80"/>
              <w:spacing w:before="55"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rPr>
              <w:t>/%</w:t>
            </w:r>
          </w:p>
        </w:tc>
        <w:tc>
          <w:tcPr>
            <w:tcW w:w="531" w:type="dxa"/>
            <w:vAlign w:val="top"/>
            <w:tcBorders>
              <w:top w:val="single" w:color="000000" w:sz="10" w:space="0"/>
              <w:right w:val="nil"/>
            </w:tcBorders>
          </w:tcPr>
          <w:p>
            <w:pPr>
              <w:rPr>
                <w:rFonts w:ascii="Arial"/>
                <w:sz w:val="21"/>
              </w:rPr>
            </w:pPr>
            <w:r/>
          </w:p>
        </w:tc>
      </w:tr>
      <w:tr>
        <w:trPr>
          <w:trHeight w:val="314" w:hRule="atLeast"/>
        </w:trPr>
        <w:tc>
          <w:tcPr>
            <w:tcW w:w="756" w:type="dxa"/>
            <w:vAlign w:val="top"/>
            <w:vMerge w:val="restart"/>
            <w:tcBorders>
              <w:left w:val="nil"/>
              <w:bottom w:val="nil"/>
            </w:tcBorders>
          </w:tcPr>
          <w:p>
            <w:pPr>
              <w:pStyle w:val="TableText"/>
              <w:ind w:left="72"/>
              <w:spacing w:before="35" w:line="221" w:lineRule="auto"/>
              <w:rPr/>
            </w:pPr>
            <w:r>
              <w:rPr>
                <w:spacing w:val="-2"/>
              </w:rPr>
              <w:t>金顺吉</w:t>
            </w:r>
          </w:p>
          <w:p>
            <w:pPr>
              <w:pStyle w:val="TableText"/>
              <w:ind w:left="75"/>
              <w:spacing w:before="19" w:line="221" w:lineRule="auto"/>
              <w:rPr/>
            </w:pPr>
            <w:r>
              <w:rPr>
                <w:spacing w:val="-3"/>
              </w:rPr>
              <w:t>牛项目</w:t>
            </w:r>
          </w:p>
          <w:p>
            <w:pPr>
              <w:pStyle w:val="TableText"/>
              <w:ind w:left="304" w:right="57" w:hanging="233"/>
              <w:spacing w:before="21" w:line="218" w:lineRule="auto"/>
              <w:rPr/>
            </w:pPr>
            <w:r>
              <w:rPr>
                <w:spacing w:val="-2"/>
              </w:rPr>
              <w:t>养殖区</w:t>
            </w:r>
            <w:r>
              <w:rPr/>
              <w:t>内</w:t>
            </w:r>
          </w:p>
        </w:tc>
        <w:tc>
          <w:tcPr>
            <w:tcW w:w="996" w:type="dxa"/>
            <w:vAlign w:val="top"/>
            <w:vMerge w:val="restart"/>
            <w:tcBorders>
              <w:bottom w:val="nil"/>
            </w:tcBorders>
          </w:tcPr>
          <w:p>
            <w:pPr>
              <w:spacing w:line="251" w:lineRule="auto"/>
              <w:rPr>
                <w:rFonts w:ascii="Arial"/>
                <w:sz w:val="21"/>
              </w:rPr>
            </w:pPr>
            <w:r/>
          </w:p>
          <w:p>
            <w:pPr>
              <w:pStyle w:val="TableText"/>
              <w:spacing w:before="68" w:line="238" w:lineRule="auto"/>
              <w:jc w:val="right"/>
              <w:rPr/>
            </w:pPr>
            <w:r>
              <w:rPr>
                <w:rFonts w:ascii="Times New Roman" w:hAnsi="Times New Roman" w:eastAsia="Times New Roman" w:cs="Times New Roman"/>
                <w:spacing w:val="-15"/>
              </w:rPr>
              <w:t>116</w:t>
            </w:r>
            <w:r>
              <w:rPr>
                <w:rFonts w:ascii="Times New Roman" w:hAnsi="Times New Roman" w:eastAsia="Times New Roman" w:cs="Times New Roman"/>
                <w:spacing w:val="-23"/>
              </w:rPr>
              <w:t xml:space="preserve"> </w:t>
            </w:r>
            <w:r>
              <w:rPr>
                <w:spacing w:val="-15"/>
              </w:rPr>
              <w:t>°</w:t>
            </w:r>
            <w:r>
              <w:rPr>
                <w:rFonts w:ascii="Times New Roman" w:hAnsi="Times New Roman" w:eastAsia="Times New Roman" w:cs="Times New Roman"/>
                <w:spacing w:val="-15"/>
              </w:rPr>
              <w:t>11</w:t>
            </w:r>
            <w:r>
              <w:rPr>
                <w:rFonts w:ascii="Times New Roman" w:hAnsi="Times New Roman" w:eastAsia="Times New Roman" w:cs="Times New Roman"/>
                <w:spacing w:val="-17"/>
              </w:rPr>
              <w:t xml:space="preserve"> </w:t>
            </w:r>
            <w:r>
              <w:rPr>
                <w:spacing w:val="-15"/>
              </w:rPr>
              <w:t>′</w:t>
            </w:r>
          </w:p>
          <w:p>
            <w:pPr>
              <w:pStyle w:val="TableText"/>
              <w:ind w:left="157"/>
              <w:spacing w:before="2" w:line="238" w:lineRule="auto"/>
              <w:rPr/>
            </w:pPr>
            <w:r>
              <w:rPr>
                <w:rFonts w:ascii="Times New Roman" w:hAnsi="Times New Roman" w:eastAsia="Times New Roman" w:cs="Times New Roman"/>
                <w:spacing w:val="-1"/>
              </w:rPr>
              <w:t>20.28</w:t>
            </w:r>
            <w:r>
              <w:rPr>
                <w:rFonts w:ascii="Times New Roman" w:hAnsi="Times New Roman" w:eastAsia="Times New Roman" w:cs="Times New Roman"/>
                <w:spacing w:val="-13"/>
              </w:rPr>
              <w:t xml:space="preserve"> </w:t>
            </w:r>
            <w:r>
              <w:rPr>
                <w:spacing w:val="-1"/>
              </w:rPr>
              <w:t>″</w:t>
            </w:r>
          </w:p>
        </w:tc>
        <w:tc>
          <w:tcPr>
            <w:tcW w:w="1068" w:type="dxa"/>
            <w:vAlign w:val="top"/>
            <w:vMerge w:val="restart"/>
            <w:tcBorders>
              <w:bottom w:val="nil"/>
            </w:tcBorders>
          </w:tcPr>
          <w:p>
            <w:pPr>
              <w:spacing w:line="251" w:lineRule="auto"/>
              <w:rPr>
                <w:rFonts w:ascii="Arial"/>
                <w:sz w:val="21"/>
              </w:rPr>
            </w:pPr>
            <w:r/>
          </w:p>
          <w:p>
            <w:pPr>
              <w:pStyle w:val="TableText"/>
              <w:ind w:left="114"/>
              <w:spacing w:before="68" w:line="238" w:lineRule="auto"/>
              <w:rPr/>
            </w:pPr>
            <w:r>
              <w:rPr>
                <w:rFonts w:ascii="Times New Roman" w:hAnsi="Times New Roman" w:eastAsia="Times New Roman" w:cs="Times New Roman"/>
                <w:spacing w:val="-5"/>
              </w:rPr>
              <w:t>43</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spacing w:val="-5"/>
              </w:rPr>
              <w:t>58</w:t>
            </w:r>
            <w:r>
              <w:rPr>
                <w:rFonts w:ascii="Times New Roman" w:hAnsi="Times New Roman" w:eastAsia="Times New Roman" w:cs="Times New Roman"/>
                <w:spacing w:val="-17"/>
              </w:rPr>
              <w:t xml:space="preserve"> </w:t>
            </w:r>
            <w:r>
              <w:rPr>
                <w:spacing w:val="-5"/>
              </w:rPr>
              <w:t>′</w:t>
            </w:r>
          </w:p>
          <w:p>
            <w:pPr>
              <w:pStyle w:val="TableText"/>
              <w:ind w:left="194"/>
              <w:spacing w:before="2" w:line="238" w:lineRule="auto"/>
              <w:rPr/>
            </w:pPr>
            <w:r>
              <w:rPr>
                <w:rFonts w:ascii="Times New Roman" w:hAnsi="Times New Roman" w:eastAsia="Times New Roman" w:cs="Times New Roman"/>
                <w:spacing w:val="-1"/>
              </w:rPr>
              <w:t>24.24</w:t>
            </w:r>
            <w:r>
              <w:rPr>
                <w:rFonts w:ascii="Times New Roman" w:hAnsi="Times New Roman" w:eastAsia="Times New Roman" w:cs="Times New Roman"/>
                <w:spacing w:val="-13"/>
              </w:rPr>
              <w:t xml:space="preserve"> </w:t>
            </w:r>
            <w:r>
              <w:rPr>
                <w:spacing w:val="-1"/>
              </w:rPr>
              <w:t>″</w:t>
            </w:r>
          </w:p>
        </w:tc>
        <w:tc>
          <w:tcPr>
            <w:tcW w:w="912" w:type="dxa"/>
            <w:vAlign w:val="top"/>
          </w:tcPr>
          <w:p>
            <w:pPr>
              <w:ind w:left="261"/>
              <w:spacing w:before="91" w:line="209"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761" w:type="dxa"/>
            <w:vAlign w:val="top"/>
          </w:tcPr>
          <w:p>
            <w:pPr>
              <w:pStyle w:val="TableText"/>
              <w:ind w:left="111"/>
              <w:spacing w:before="53" w:line="220"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spacing w:val="-10"/>
              </w:rPr>
              <w:t>小时</w:t>
            </w:r>
          </w:p>
        </w:tc>
        <w:tc>
          <w:tcPr>
            <w:tcW w:w="1089" w:type="dxa"/>
            <w:vAlign w:val="top"/>
          </w:tcPr>
          <w:p>
            <w:pPr>
              <w:ind w:left="386"/>
              <w:spacing w:before="84"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309" w:type="dxa"/>
            <w:vAlign w:val="top"/>
          </w:tcPr>
          <w:p>
            <w:pPr>
              <w:ind w:left="410"/>
              <w:spacing w:before="84"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0.01L</w:t>
            </w:r>
          </w:p>
        </w:tc>
        <w:tc>
          <w:tcPr>
            <w:tcW w:w="703" w:type="dxa"/>
            <w:vAlign w:val="top"/>
          </w:tcPr>
          <w:p>
            <w:pPr>
              <w:ind w:left="303"/>
              <w:spacing w:before="89"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437" w:type="dxa"/>
            <w:vAlign w:val="top"/>
          </w:tcPr>
          <w:p>
            <w:pPr>
              <w:ind w:left="107"/>
              <w:spacing w:before="175"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531" w:type="dxa"/>
            <w:vAlign w:val="top"/>
            <w:tcBorders>
              <w:right w:val="nil"/>
            </w:tcBorders>
          </w:tcPr>
          <w:p>
            <w:pPr>
              <w:pStyle w:val="TableText"/>
              <w:ind w:left="61"/>
              <w:spacing w:before="57" w:line="217" w:lineRule="auto"/>
              <w:rPr/>
            </w:pPr>
            <w:r>
              <w:rPr>
                <w:spacing w:val="-2"/>
              </w:rPr>
              <w:t>达标</w:t>
            </w:r>
          </w:p>
        </w:tc>
      </w:tr>
      <w:tr>
        <w:trPr>
          <w:trHeight w:val="314" w:hRule="atLeast"/>
        </w:trPr>
        <w:tc>
          <w:tcPr>
            <w:tcW w:w="756" w:type="dxa"/>
            <w:vAlign w:val="top"/>
            <w:vMerge w:val="continue"/>
            <w:tcBorders>
              <w:left w:val="nil"/>
              <w:top w:val="nil"/>
              <w:bottom w:val="nil"/>
            </w:tcBorders>
          </w:tcPr>
          <w:p>
            <w:pPr>
              <w:rPr>
                <w:rFonts w:ascii="Arial"/>
                <w:sz w:val="21"/>
              </w:rPr>
            </w:pPr>
            <w:r/>
          </w:p>
        </w:tc>
        <w:tc>
          <w:tcPr>
            <w:tcW w:w="996" w:type="dxa"/>
            <w:vAlign w:val="top"/>
            <w:vMerge w:val="continue"/>
            <w:tcBorders>
              <w:top w:val="nil"/>
              <w:bottom w:val="nil"/>
            </w:tcBorders>
          </w:tcPr>
          <w:p>
            <w:pPr>
              <w:rPr>
                <w:rFonts w:ascii="Arial"/>
                <w:sz w:val="21"/>
              </w:rPr>
            </w:pPr>
            <w:r/>
          </w:p>
        </w:tc>
        <w:tc>
          <w:tcPr>
            <w:tcW w:w="1068" w:type="dxa"/>
            <w:vAlign w:val="top"/>
            <w:vMerge w:val="continue"/>
            <w:tcBorders>
              <w:top w:val="nil"/>
              <w:bottom w:val="nil"/>
            </w:tcBorders>
          </w:tcPr>
          <w:p>
            <w:pPr>
              <w:rPr>
                <w:rFonts w:ascii="Arial"/>
                <w:sz w:val="21"/>
              </w:rPr>
            </w:pPr>
            <w:r/>
          </w:p>
        </w:tc>
        <w:tc>
          <w:tcPr>
            <w:tcW w:w="912" w:type="dxa"/>
            <w:vAlign w:val="top"/>
          </w:tcPr>
          <w:p>
            <w:pPr>
              <w:ind w:left="284"/>
              <w:spacing w:before="90"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761" w:type="dxa"/>
            <w:vAlign w:val="top"/>
          </w:tcPr>
          <w:p>
            <w:pPr>
              <w:pStyle w:val="TableText"/>
              <w:ind w:left="111"/>
              <w:spacing w:before="57" w:line="217"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spacing w:val="-10"/>
              </w:rPr>
              <w:t>小时</w:t>
            </w:r>
          </w:p>
        </w:tc>
        <w:tc>
          <w:tcPr>
            <w:tcW w:w="1089" w:type="dxa"/>
            <w:vAlign w:val="top"/>
          </w:tcPr>
          <w:p>
            <w:pPr>
              <w:ind w:left="459"/>
              <w:spacing w:before="86"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309" w:type="dxa"/>
            <w:vAlign w:val="top"/>
          </w:tcPr>
          <w:p>
            <w:pPr>
              <w:ind w:left="359"/>
              <w:spacing w:before="86"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0.001L</w:t>
            </w:r>
          </w:p>
        </w:tc>
        <w:tc>
          <w:tcPr>
            <w:tcW w:w="703" w:type="dxa"/>
            <w:vAlign w:val="top"/>
          </w:tcPr>
          <w:p>
            <w:pPr>
              <w:ind w:left="303"/>
              <w:spacing w:before="9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437" w:type="dxa"/>
            <w:vAlign w:val="top"/>
          </w:tcPr>
          <w:p>
            <w:pPr>
              <w:ind w:left="107"/>
              <w:spacing w:before="17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531" w:type="dxa"/>
            <w:vAlign w:val="top"/>
            <w:tcBorders>
              <w:right w:val="nil"/>
            </w:tcBorders>
          </w:tcPr>
          <w:p>
            <w:pPr>
              <w:pStyle w:val="TableText"/>
              <w:ind w:left="61"/>
              <w:spacing w:before="59" w:line="215" w:lineRule="auto"/>
              <w:rPr/>
            </w:pPr>
            <w:r>
              <w:rPr>
                <w:spacing w:val="-2"/>
              </w:rPr>
              <w:t>达标</w:t>
            </w:r>
          </w:p>
        </w:tc>
      </w:tr>
      <w:tr>
        <w:trPr>
          <w:trHeight w:val="447" w:hRule="atLeast"/>
        </w:trPr>
        <w:tc>
          <w:tcPr>
            <w:tcW w:w="756" w:type="dxa"/>
            <w:vAlign w:val="top"/>
            <w:vMerge w:val="continue"/>
            <w:tcBorders>
              <w:left w:val="nil"/>
              <w:top w:val="nil"/>
            </w:tcBorders>
          </w:tcPr>
          <w:p>
            <w:pPr>
              <w:rPr>
                <w:rFonts w:ascii="Arial"/>
                <w:sz w:val="21"/>
              </w:rPr>
            </w:pPr>
            <w:r/>
          </w:p>
        </w:tc>
        <w:tc>
          <w:tcPr>
            <w:tcW w:w="996" w:type="dxa"/>
            <w:vAlign w:val="top"/>
            <w:vMerge w:val="continue"/>
            <w:tcBorders>
              <w:top w:val="nil"/>
            </w:tcBorders>
          </w:tcPr>
          <w:p>
            <w:pPr>
              <w:rPr>
                <w:rFonts w:ascii="Arial"/>
                <w:sz w:val="21"/>
              </w:rPr>
            </w:pPr>
            <w:r/>
          </w:p>
        </w:tc>
        <w:tc>
          <w:tcPr>
            <w:tcW w:w="1068" w:type="dxa"/>
            <w:vAlign w:val="top"/>
            <w:vMerge w:val="continue"/>
            <w:tcBorders>
              <w:top w:val="nil"/>
            </w:tcBorders>
          </w:tcPr>
          <w:p>
            <w:pPr>
              <w:rPr>
                <w:rFonts w:ascii="Arial"/>
                <w:sz w:val="21"/>
              </w:rPr>
            </w:pPr>
            <w:r/>
          </w:p>
        </w:tc>
        <w:tc>
          <w:tcPr>
            <w:tcW w:w="912" w:type="dxa"/>
            <w:vAlign w:val="top"/>
          </w:tcPr>
          <w:p>
            <w:pPr>
              <w:pStyle w:val="TableText"/>
              <w:ind w:left="39"/>
              <w:spacing w:before="126" w:line="221" w:lineRule="auto"/>
              <w:rPr/>
            </w:pPr>
            <w:r>
              <w:rPr>
                <w:spacing w:val="-2"/>
              </w:rPr>
              <w:t>臭气浓度</w:t>
            </w:r>
          </w:p>
        </w:tc>
        <w:tc>
          <w:tcPr>
            <w:tcW w:w="761" w:type="dxa"/>
            <w:vAlign w:val="top"/>
          </w:tcPr>
          <w:p>
            <w:pPr>
              <w:ind w:left="270"/>
              <w:spacing w:before="24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089" w:type="dxa"/>
            <w:vAlign w:val="top"/>
          </w:tcPr>
          <w:p>
            <w:pPr>
              <w:ind w:left="433"/>
              <w:spacing w:before="24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309" w:type="dxa"/>
            <w:vAlign w:val="top"/>
          </w:tcPr>
          <w:p>
            <w:pPr>
              <w:ind w:left="490"/>
              <w:spacing w:before="15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&lt;10</w:t>
            </w:r>
          </w:p>
        </w:tc>
        <w:tc>
          <w:tcPr>
            <w:tcW w:w="703" w:type="dxa"/>
            <w:vAlign w:val="top"/>
          </w:tcPr>
          <w:p>
            <w:pPr>
              <w:ind w:left="241"/>
              <w:spacing w:before="25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437" w:type="dxa"/>
            <w:vAlign w:val="top"/>
          </w:tcPr>
          <w:p>
            <w:pPr>
              <w:ind w:left="107"/>
              <w:spacing w:before="24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531" w:type="dxa"/>
            <w:vAlign w:val="top"/>
            <w:tcBorders>
              <w:right w:val="nil"/>
            </w:tcBorders>
          </w:tcPr>
          <w:p>
            <w:pPr>
              <w:ind w:left="155"/>
              <w:spacing w:before="252"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r>
      <w:tr>
        <w:trPr>
          <w:trHeight w:val="314" w:hRule="atLeast"/>
        </w:trPr>
        <w:tc>
          <w:tcPr>
            <w:tcW w:w="756" w:type="dxa"/>
            <w:vAlign w:val="top"/>
            <w:vMerge w:val="restart"/>
            <w:tcBorders>
              <w:bottom w:val="nil"/>
              <w:left w:val="nil"/>
            </w:tcBorders>
          </w:tcPr>
          <w:p>
            <w:pPr>
              <w:pStyle w:val="TableText"/>
              <w:ind w:left="72"/>
              <w:spacing w:before="44" w:line="221" w:lineRule="auto"/>
              <w:rPr/>
            </w:pPr>
            <w:r>
              <w:rPr>
                <w:spacing w:val="-2"/>
              </w:rPr>
              <w:t>金顺吉</w:t>
            </w:r>
          </w:p>
          <w:p>
            <w:pPr>
              <w:pStyle w:val="TableText"/>
              <w:ind w:left="75"/>
              <w:spacing w:before="19" w:line="221" w:lineRule="auto"/>
              <w:rPr/>
            </w:pPr>
            <w:r>
              <w:rPr>
                <w:spacing w:val="-3"/>
              </w:rPr>
              <w:t>牛项目</w:t>
            </w:r>
          </w:p>
          <w:p>
            <w:pPr>
              <w:pStyle w:val="TableText"/>
              <w:ind w:left="300" w:right="57" w:hanging="214"/>
              <w:spacing w:before="22" w:line="241" w:lineRule="auto"/>
              <w:rPr/>
            </w:pPr>
            <w:r>
              <w:rPr>
                <w:spacing w:val="-7"/>
              </w:rPr>
              <w:t>区下风</w:t>
            </w:r>
            <w:r>
              <w:rPr/>
              <w:t>向</w:t>
            </w:r>
          </w:p>
          <w:p>
            <w:pPr>
              <w:ind w:left="111"/>
              <w:spacing w:before="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1200m</w:t>
            </w:r>
          </w:p>
        </w:tc>
        <w:tc>
          <w:tcPr>
            <w:tcW w:w="996" w:type="dxa"/>
            <w:vAlign w:val="top"/>
            <w:vMerge w:val="restart"/>
            <w:tcBorders>
              <w:bottom w:val="nil"/>
            </w:tcBorders>
          </w:tcPr>
          <w:p>
            <w:pPr>
              <w:spacing w:line="363" w:lineRule="auto"/>
              <w:rPr>
                <w:rFonts w:ascii="Arial"/>
                <w:sz w:val="21"/>
              </w:rPr>
            </w:pPr>
            <w:r/>
          </w:p>
          <w:p>
            <w:pPr>
              <w:pStyle w:val="TableText"/>
              <w:spacing w:before="68" w:line="238" w:lineRule="auto"/>
              <w:jc w:val="right"/>
              <w:rPr/>
            </w:pPr>
            <w:r>
              <w:rPr>
                <w:rFonts w:ascii="Times New Roman" w:hAnsi="Times New Roman" w:eastAsia="Times New Roman" w:cs="Times New Roman"/>
                <w:spacing w:val="-15"/>
              </w:rPr>
              <w:t>116</w:t>
            </w:r>
            <w:r>
              <w:rPr>
                <w:rFonts w:ascii="Times New Roman" w:hAnsi="Times New Roman" w:eastAsia="Times New Roman" w:cs="Times New Roman"/>
                <w:spacing w:val="-23"/>
              </w:rPr>
              <w:t xml:space="preserve"> </w:t>
            </w:r>
            <w:r>
              <w:rPr>
                <w:spacing w:val="-15"/>
              </w:rPr>
              <w:t>°</w:t>
            </w:r>
            <w:r>
              <w:rPr>
                <w:rFonts w:ascii="Times New Roman" w:hAnsi="Times New Roman" w:eastAsia="Times New Roman" w:cs="Times New Roman"/>
                <w:spacing w:val="-15"/>
              </w:rPr>
              <w:t>11</w:t>
            </w:r>
            <w:r>
              <w:rPr>
                <w:rFonts w:ascii="Times New Roman" w:hAnsi="Times New Roman" w:eastAsia="Times New Roman" w:cs="Times New Roman"/>
                <w:spacing w:val="-17"/>
              </w:rPr>
              <w:t xml:space="preserve"> </w:t>
            </w:r>
            <w:r>
              <w:rPr>
                <w:spacing w:val="-15"/>
              </w:rPr>
              <w:t>′</w:t>
            </w:r>
          </w:p>
          <w:p>
            <w:pPr>
              <w:pStyle w:val="TableText"/>
              <w:ind w:left="163"/>
              <w:spacing w:before="40" w:line="238" w:lineRule="auto"/>
              <w:rPr/>
            </w:pPr>
            <w:r>
              <w:rPr>
                <w:rFonts w:ascii="Times New Roman" w:hAnsi="Times New Roman" w:eastAsia="Times New Roman" w:cs="Times New Roman"/>
                <w:spacing w:val="-2"/>
              </w:rPr>
              <w:t>55.89</w:t>
            </w:r>
            <w:r>
              <w:rPr>
                <w:rFonts w:ascii="Times New Roman" w:hAnsi="Times New Roman" w:eastAsia="Times New Roman" w:cs="Times New Roman"/>
                <w:spacing w:val="-13"/>
              </w:rPr>
              <w:t xml:space="preserve"> </w:t>
            </w:r>
            <w:r>
              <w:rPr>
                <w:spacing w:val="-2"/>
              </w:rPr>
              <w:t>″</w:t>
            </w:r>
          </w:p>
        </w:tc>
        <w:tc>
          <w:tcPr>
            <w:tcW w:w="1068" w:type="dxa"/>
            <w:vAlign w:val="top"/>
            <w:vMerge w:val="restart"/>
            <w:tcBorders>
              <w:bottom w:val="nil"/>
            </w:tcBorders>
          </w:tcPr>
          <w:p>
            <w:pPr>
              <w:spacing w:line="363" w:lineRule="auto"/>
              <w:rPr>
                <w:rFonts w:ascii="Arial"/>
                <w:sz w:val="21"/>
              </w:rPr>
            </w:pPr>
            <w:r/>
          </w:p>
          <w:p>
            <w:pPr>
              <w:pStyle w:val="TableText"/>
              <w:ind w:left="114"/>
              <w:spacing w:before="68" w:line="238" w:lineRule="auto"/>
              <w:rPr/>
            </w:pPr>
            <w:r>
              <w:rPr>
                <w:rFonts w:ascii="Times New Roman" w:hAnsi="Times New Roman" w:eastAsia="Times New Roman" w:cs="Times New Roman"/>
                <w:spacing w:val="-5"/>
              </w:rPr>
              <w:t>43</w:t>
            </w:r>
            <w:r>
              <w:rPr>
                <w:rFonts w:ascii="Times New Roman" w:hAnsi="Times New Roman" w:eastAsia="Times New Roman" w:cs="Times New Roman"/>
                <w:spacing w:val="-24"/>
              </w:rPr>
              <w:t xml:space="preserve"> </w:t>
            </w:r>
            <w:r>
              <w:rPr>
                <w:spacing w:val="-5"/>
              </w:rPr>
              <w:t>°</w:t>
            </w:r>
            <w:r>
              <w:rPr>
                <w:rFonts w:ascii="Times New Roman" w:hAnsi="Times New Roman" w:eastAsia="Times New Roman" w:cs="Times New Roman"/>
                <w:spacing w:val="-5"/>
              </w:rPr>
              <w:t>58</w:t>
            </w:r>
            <w:r>
              <w:rPr>
                <w:rFonts w:ascii="Times New Roman" w:hAnsi="Times New Roman" w:eastAsia="Times New Roman" w:cs="Times New Roman"/>
                <w:spacing w:val="-17"/>
              </w:rPr>
              <w:t xml:space="preserve"> </w:t>
            </w:r>
            <w:r>
              <w:rPr>
                <w:spacing w:val="-5"/>
              </w:rPr>
              <w:t>′</w:t>
            </w:r>
          </w:p>
          <w:p>
            <w:pPr>
              <w:pStyle w:val="TableText"/>
              <w:ind w:left="200"/>
              <w:spacing w:before="40" w:line="238" w:lineRule="auto"/>
              <w:rPr/>
            </w:pPr>
            <w:r>
              <w:rPr>
                <w:rFonts w:ascii="Times New Roman" w:hAnsi="Times New Roman" w:eastAsia="Times New Roman" w:cs="Times New Roman"/>
                <w:spacing w:val="-2"/>
              </w:rPr>
              <w:t>54.06</w:t>
            </w:r>
            <w:r>
              <w:rPr>
                <w:rFonts w:ascii="Times New Roman" w:hAnsi="Times New Roman" w:eastAsia="Times New Roman" w:cs="Times New Roman"/>
                <w:spacing w:val="-13"/>
              </w:rPr>
              <w:t xml:space="preserve"> </w:t>
            </w:r>
            <w:r>
              <w:rPr>
                <w:spacing w:val="-2"/>
              </w:rPr>
              <w:t>″</w:t>
            </w:r>
          </w:p>
        </w:tc>
        <w:tc>
          <w:tcPr>
            <w:tcW w:w="912" w:type="dxa"/>
            <w:vAlign w:val="top"/>
          </w:tcPr>
          <w:p>
            <w:pPr>
              <w:ind w:left="261"/>
              <w:spacing w:before="100" w:line="200"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761" w:type="dxa"/>
            <w:vAlign w:val="top"/>
          </w:tcPr>
          <w:p>
            <w:pPr>
              <w:pStyle w:val="TableText"/>
              <w:ind w:left="111"/>
              <w:spacing w:before="63" w:line="211"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spacing w:val="-10"/>
              </w:rPr>
              <w:t>小时</w:t>
            </w:r>
          </w:p>
        </w:tc>
        <w:tc>
          <w:tcPr>
            <w:tcW w:w="1089" w:type="dxa"/>
            <w:vAlign w:val="top"/>
          </w:tcPr>
          <w:p>
            <w:pPr>
              <w:ind w:left="386"/>
              <w:spacing w:before="93"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309" w:type="dxa"/>
            <w:vAlign w:val="top"/>
          </w:tcPr>
          <w:p>
            <w:pPr>
              <w:ind w:left="410"/>
              <w:spacing w:before="93"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0.01L</w:t>
            </w:r>
          </w:p>
        </w:tc>
        <w:tc>
          <w:tcPr>
            <w:tcW w:w="703" w:type="dxa"/>
            <w:vAlign w:val="top"/>
          </w:tcPr>
          <w:p>
            <w:pPr>
              <w:ind w:left="303"/>
              <w:spacing w:before="98"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437" w:type="dxa"/>
            <w:vAlign w:val="top"/>
          </w:tcPr>
          <w:p>
            <w:pPr>
              <w:ind w:left="107"/>
              <w:spacing w:before="184"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531" w:type="dxa"/>
            <w:vAlign w:val="top"/>
            <w:tcBorders>
              <w:right w:val="nil"/>
            </w:tcBorders>
          </w:tcPr>
          <w:p>
            <w:pPr>
              <w:pStyle w:val="TableText"/>
              <w:ind w:left="61"/>
              <w:spacing w:before="66" w:line="209" w:lineRule="auto"/>
              <w:rPr/>
            </w:pPr>
            <w:r>
              <w:rPr>
                <w:spacing w:val="-2"/>
              </w:rPr>
              <w:t>达标</w:t>
            </w:r>
          </w:p>
        </w:tc>
      </w:tr>
      <w:tr>
        <w:trPr>
          <w:trHeight w:val="314" w:hRule="atLeast"/>
        </w:trPr>
        <w:tc>
          <w:tcPr>
            <w:tcW w:w="756" w:type="dxa"/>
            <w:vAlign w:val="top"/>
            <w:vMerge w:val="continue"/>
            <w:tcBorders>
              <w:bottom w:val="nil"/>
              <w:left w:val="nil"/>
              <w:top w:val="nil"/>
            </w:tcBorders>
          </w:tcPr>
          <w:p>
            <w:pPr>
              <w:rPr>
                <w:rFonts w:ascii="Arial"/>
                <w:sz w:val="21"/>
              </w:rPr>
            </w:pPr>
            <w:r/>
          </w:p>
        </w:tc>
        <w:tc>
          <w:tcPr>
            <w:tcW w:w="996" w:type="dxa"/>
            <w:vAlign w:val="top"/>
            <w:vMerge w:val="continue"/>
            <w:tcBorders>
              <w:bottom w:val="nil"/>
              <w:top w:val="nil"/>
            </w:tcBorders>
          </w:tcPr>
          <w:p>
            <w:pPr>
              <w:rPr>
                <w:rFonts w:ascii="Arial"/>
                <w:sz w:val="21"/>
              </w:rPr>
            </w:pPr>
            <w:r/>
          </w:p>
        </w:tc>
        <w:tc>
          <w:tcPr>
            <w:tcW w:w="1068" w:type="dxa"/>
            <w:vAlign w:val="top"/>
            <w:vMerge w:val="continue"/>
            <w:tcBorders>
              <w:bottom w:val="nil"/>
              <w:top w:val="nil"/>
            </w:tcBorders>
          </w:tcPr>
          <w:p>
            <w:pPr>
              <w:rPr>
                <w:rFonts w:ascii="Arial"/>
                <w:sz w:val="21"/>
              </w:rPr>
            </w:pPr>
            <w:r/>
          </w:p>
        </w:tc>
        <w:tc>
          <w:tcPr>
            <w:tcW w:w="912" w:type="dxa"/>
            <w:vAlign w:val="top"/>
          </w:tcPr>
          <w:p>
            <w:pPr>
              <w:ind w:left="284"/>
              <w:spacing w:before="100"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761" w:type="dxa"/>
            <w:vAlign w:val="top"/>
          </w:tcPr>
          <w:p>
            <w:pPr>
              <w:pStyle w:val="TableText"/>
              <w:ind w:left="111"/>
              <w:spacing w:before="66" w:line="209" w:lineRule="auto"/>
              <w:rPr/>
            </w:pPr>
            <w:r>
              <w:rPr>
                <w:rFonts w:ascii="Times New Roman" w:hAnsi="Times New Roman" w:eastAsia="Times New Roman" w:cs="Times New Roman"/>
                <w:spacing w:val="-10"/>
              </w:rPr>
              <w:t>1</w:t>
            </w:r>
            <w:r>
              <w:rPr>
                <w:rFonts w:ascii="Times New Roman" w:hAnsi="Times New Roman" w:eastAsia="Times New Roman" w:cs="Times New Roman"/>
                <w:spacing w:val="14"/>
              </w:rPr>
              <w:t xml:space="preserve"> </w:t>
            </w:r>
            <w:r>
              <w:rPr>
                <w:spacing w:val="-10"/>
              </w:rPr>
              <w:t>小时</w:t>
            </w:r>
          </w:p>
        </w:tc>
        <w:tc>
          <w:tcPr>
            <w:tcW w:w="1089" w:type="dxa"/>
            <w:vAlign w:val="top"/>
          </w:tcPr>
          <w:p>
            <w:pPr>
              <w:ind w:left="459"/>
              <w:spacing w:before="96"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309" w:type="dxa"/>
            <w:vAlign w:val="top"/>
          </w:tcPr>
          <w:p>
            <w:pPr>
              <w:ind w:left="359"/>
              <w:spacing w:before="96"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0.001L</w:t>
            </w:r>
          </w:p>
        </w:tc>
        <w:tc>
          <w:tcPr>
            <w:tcW w:w="703" w:type="dxa"/>
            <w:vAlign w:val="top"/>
          </w:tcPr>
          <w:p>
            <w:pPr>
              <w:ind w:left="303"/>
              <w:spacing w:before="100"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437" w:type="dxa"/>
            <w:vAlign w:val="top"/>
          </w:tcPr>
          <w:p>
            <w:pPr>
              <w:ind w:left="107"/>
              <w:spacing w:before="18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531" w:type="dxa"/>
            <w:vAlign w:val="top"/>
            <w:tcBorders>
              <w:right w:val="nil"/>
            </w:tcBorders>
          </w:tcPr>
          <w:p>
            <w:pPr>
              <w:pStyle w:val="TableText"/>
              <w:ind w:left="61"/>
              <w:spacing w:before="68" w:line="207" w:lineRule="auto"/>
              <w:rPr/>
            </w:pPr>
            <w:r>
              <w:rPr>
                <w:spacing w:val="-2"/>
              </w:rPr>
              <w:t>达标</w:t>
            </w:r>
          </w:p>
        </w:tc>
      </w:tr>
      <w:tr>
        <w:trPr>
          <w:trHeight w:val="712" w:hRule="atLeast"/>
        </w:trPr>
        <w:tc>
          <w:tcPr>
            <w:tcW w:w="756" w:type="dxa"/>
            <w:vAlign w:val="top"/>
            <w:vMerge w:val="continue"/>
            <w:tcBorders>
              <w:bottom w:val="single" w:color="000000" w:sz="10" w:space="0"/>
              <w:left w:val="nil"/>
              <w:top w:val="nil"/>
            </w:tcBorders>
          </w:tcPr>
          <w:p>
            <w:pPr>
              <w:rPr>
                <w:rFonts w:ascii="Arial"/>
                <w:sz w:val="21"/>
              </w:rPr>
            </w:pPr>
            <w:r/>
          </w:p>
        </w:tc>
        <w:tc>
          <w:tcPr>
            <w:tcW w:w="996" w:type="dxa"/>
            <w:vAlign w:val="top"/>
            <w:vMerge w:val="continue"/>
            <w:tcBorders>
              <w:bottom w:val="single" w:color="000000" w:sz="10" w:space="0"/>
              <w:top w:val="nil"/>
            </w:tcBorders>
          </w:tcPr>
          <w:p>
            <w:pPr>
              <w:rPr>
                <w:rFonts w:ascii="Arial"/>
                <w:sz w:val="21"/>
              </w:rPr>
            </w:pPr>
            <w:r/>
          </w:p>
        </w:tc>
        <w:tc>
          <w:tcPr>
            <w:tcW w:w="1068" w:type="dxa"/>
            <w:vAlign w:val="top"/>
            <w:vMerge w:val="continue"/>
            <w:tcBorders>
              <w:bottom w:val="single" w:color="000000" w:sz="10" w:space="0"/>
              <w:top w:val="nil"/>
            </w:tcBorders>
          </w:tcPr>
          <w:p>
            <w:pPr>
              <w:rPr>
                <w:rFonts w:ascii="Arial"/>
                <w:sz w:val="21"/>
              </w:rPr>
            </w:pPr>
            <w:r/>
          </w:p>
        </w:tc>
        <w:tc>
          <w:tcPr>
            <w:tcW w:w="912" w:type="dxa"/>
            <w:vAlign w:val="top"/>
            <w:tcBorders>
              <w:bottom w:val="single" w:color="000000" w:sz="10" w:space="0"/>
            </w:tcBorders>
          </w:tcPr>
          <w:p>
            <w:pPr>
              <w:pStyle w:val="TableText"/>
              <w:ind w:left="39"/>
              <w:spacing w:before="257" w:line="221" w:lineRule="auto"/>
              <w:rPr/>
            </w:pPr>
            <w:r>
              <w:rPr>
                <w:spacing w:val="-2"/>
              </w:rPr>
              <w:t>臭气浓度</w:t>
            </w:r>
          </w:p>
        </w:tc>
        <w:tc>
          <w:tcPr>
            <w:tcW w:w="761" w:type="dxa"/>
            <w:vAlign w:val="top"/>
            <w:tcBorders>
              <w:bottom w:val="single" w:color="000000" w:sz="10" w:space="0"/>
            </w:tcBorders>
          </w:tcPr>
          <w:p>
            <w:pPr>
              <w:spacing w:line="315" w:lineRule="auto"/>
              <w:rPr>
                <w:rFonts w:ascii="Arial"/>
                <w:sz w:val="21"/>
              </w:rPr>
            </w:pPr>
            <w:r/>
          </w:p>
          <w:p>
            <w:pPr>
              <w:ind w:left="270"/>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089" w:type="dxa"/>
            <w:vAlign w:val="top"/>
            <w:tcBorders>
              <w:bottom w:val="single" w:color="000000" w:sz="10" w:space="0"/>
            </w:tcBorders>
          </w:tcPr>
          <w:p>
            <w:pPr>
              <w:spacing w:line="315" w:lineRule="auto"/>
              <w:rPr>
                <w:rFonts w:ascii="Arial"/>
                <w:sz w:val="21"/>
              </w:rPr>
            </w:pPr>
            <w:r/>
          </w:p>
          <w:p>
            <w:pPr>
              <w:ind w:left="433"/>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309" w:type="dxa"/>
            <w:vAlign w:val="top"/>
            <w:tcBorders>
              <w:bottom w:val="single" w:color="000000" w:sz="10" w:space="0"/>
            </w:tcBorders>
          </w:tcPr>
          <w:p>
            <w:pPr>
              <w:ind w:left="490"/>
              <w:spacing w:before="28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&lt;10</w:t>
            </w:r>
          </w:p>
        </w:tc>
        <w:tc>
          <w:tcPr>
            <w:tcW w:w="703" w:type="dxa"/>
            <w:vAlign w:val="top"/>
            <w:tcBorders>
              <w:bottom w:val="single" w:color="000000" w:sz="10" w:space="0"/>
            </w:tcBorders>
          </w:tcPr>
          <w:p>
            <w:pPr>
              <w:spacing w:line="319" w:lineRule="auto"/>
              <w:rPr>
                <w:rFonts w:ascii="Arial"/>
                <w:sz w:val="21"/>
              </w:rPr>
            </w:pPr>
            <w:r/>
          </w:p>
          <w:p>
            <w:pPr>
              <w:ind w:left="241"/>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437" w:type="dxa"/>
            <w:vAlign w:val="top"/>
            <w:tcBorders>
              <w:bottom w:val="single" w:color="000000" w:sz="10" w:space="0"/>
            </w:tcBorders>
          </w:tcPr>
          <w:p>
            <w:pPr>
              <w:spacing w:line="315" w:lineRule="auto"/>
              <w:rPr>
                <w:rFonts w:ascii="Arial"/>
                <w:sz w:val="21"/>
              </w:rPr>
            </w:pPr>
            <w:r/>
          </w:p>
          <w:p>
            <w:pPr>
              <w:ind w:left="107"/>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531" w:type="dxa"/>
            <w:vAlign w:val="top"/>
            <w:tcBorders>
              <w:bottom w:val="single" w:color="000000" w:sz="10" w:space="0"/>
              <w:right w:val="nil"/>
            </w:tcBorders>
          </w:tcPr>
          <w:p>
            <w:pPr>
              <w:spacing w:line="319" w:lineRule="auto"/>
              <w:rPr>
                <w:rFonts w:ascii="Arial"/>
                <w:sz w:val="21"/>
              </w:rPr>
            </w:pPr>
            <w:r/>
          </w:p>
          <w:p>
            <w:pPr>
              <w:ind w:left="155"/>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r>
    </w:tbl>
    <w:p>
      <w:pPr>
        <w:ind w:left="130"/>
        <w:spacing w:before="29" w:line="221"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“L”</w:t>
      </w:r>
      <w:r>
        <w:rPr>
          <w:rFonts w:ascii="SimSun" w:hAnsi="SimSun" w:eastAsia="SimSun" w:cs="SimSun"/>
          <w:sz w:val="21"/>
          <w:szCs w:val="21"/>
          <w:spacing w:val="-1"/>
        </w:rPr>
        <w:t>代表低于检出限。</w:t>
      </w:r>
    </w:p>
    <w:p>
      <w:pPr>
        <w:ind w:left="132" w:right="121" w:firstLine="508"/>
        <w:spacing w:before="26" w:line="355" w:lineRule="auto"/>
        <w:jc w:val="both"/>
        <w:rPr>
          <w:rFonts w:ascii="SimSun" w:hAnsi="SimSun" w:eastAsia="SimSun" w:cs="SimSun"/>
          <w:sz w:val="24"/>
          <w:szCs w:val="24"/>
        </w:rPr>
      </w:pPr>
      <w:r>
        <w:rPr>
          <w:rFonts w:ascii="SimSun" w:hAnsi="SimSun" w:eastAsia="SimSun" w:cs="SimSun"/>
          <w:sz w:val="24"/>
          <w:szCs w:val="24"/>
          <w:spacing w:val="-4"/>
        </w:rPr>
        <w:t>由监测结果可知，</w:t>
      </w:r>
      <w:r>
        <w:rPr>
          <w:rFonts w:ascii="Times New Roman" w:hAnsi="Times New Roman" w:eastAsia="Times New Roman" w:cs="Times New Roman"/>
          <w:sz w:val="24"/>
          <w:szCs w:val="24"/>
          <w:spacing w:val="-4"/>
        </w:rPr>
        <w:t>H</w:t>
      </w:r>
      <w:r>
        <w:rPr>
          <w:rFonts w:ascii="Times New Roman" w:hAnsi="Times New Roman" w:eastAsia="Times New Roman" w:cs="Times New Roman"/>
          <w:sz w:val="16"/>
          <w:szCs w:val="16"/>
          <w:spacing w:val="-4"/>
          <w:position w:val="-3"/>
        </w:rPr>
        <w:t>2</w:t>
      </w:r>
      <w:r>
        <w:rPr>
          <w:rFonts w:ascii="Times New Roman" w:hAnsi="Times New Roman" w:eastAsia="Times New Roman" w:cs="Times New Roman"/>
          <w:sz w:val="16"/>
          <w:szCs w:val="16"/>
          <w:spacing w:val="-22"/>
          <w:position w:val="-3"/>
        </w:rPr>
        <w:t xml:space="preserve"> </w:t>
      </w:r>
      <w:r>
        <w:rPr>
          <w:rFonts w:ascii="Times New Roman" w:hAnsi="Times New Roman" w:eastAsia="Times New Roman" w:cs="Times New Roman"/>
          <w:sz w:val="24"/>
          <w:szCs w:val="24"/>
          <w:spacing w:val="-4"/>
        </w:rPr>
        <w:t>S</w:t>
      </w:r>
      <w:r>
        <w:rPr>
          <w:rFonts w:ascii="SimSun" w:hAnsi="SimSun" w:eastAsia="SimSun" w:cs="SimSun"/>
          <w:sz w:val="24"/>
          <w:szCs w:val="24"/>
          <w:spacing w:val="-4"/>
        </w:rPr>
        <w:t>、</w:t>
      </w:r>
      <w:r>
        <w:rPr>
          <w:rFonts w:ascii="Times New Roman" w:hAnsi="Times New Roman" w:eastAsia="Times New Roman" w:cs="Times New Roman"/>
          <w:sz w:val="24"/>
          <w:szCs w:val="24"/>
          <w:spacing w:val="-4"/>
        </w:rPr>
        <w:t>NH</w:t>
      </w:r>
      <w:r>
        <w:rPr>
          <w:rFonts w:ascii="Times New Roman" w:hAnsi="Times New Roman" w:eastAsia="Times New Roman" w:cs="Times New Roman"/>
          <w:sz w:val="16"/>
          <w:szCs w:val="16"/>
          <w:spacing w:val="-4"/>
          <w:position w:val="-3"/>
        </w:rPr>
        <w:t>3</w:t>
      </w:r>
      <w:r>
        <w:rPr>
          <w:rFonts w:ascii="Times New Roman" w:hAnsi="Times New Roman" w:eastAsia="Times New Roman" w:cs="Times New Roman"/>
          <w:sz w:val="16"/>
          <w:szCs w:val="16"/>
          <w:spacing w:val="-23"/>
          <w:position w:val="-3"/>
        </w:rPr>
        <w:t xml:space="preserve"> </w:t>
      </w:r>
      <w:r>
        <w:rPr>
          <w:rFonts w:ascii="SimSun" w:hAnsi="SimSun" w:eastAsia="SimSun" w:cs="SimSun"/>
          <w:sz w:val="24"/>
          <w:szCs w:val="24"/>
          <w:spacing w:val="-4"/>
        </w:rPr>
        <w:t>小时监测结果满足</w:t>
      </w:r>
      <w:r>
        <w:rPr>
          <w:rFonts w:ascii="Times New Roman" w:hAnsi="Times New Roman" w:eastAsia="Times New Roman" w:cs="Times New Roman"/>
          <w:sz w:val="24"/>
          <w:szCs w:val="24"/>
          <w:spacing w:val="-4"/>
        </w:rPr>
        <w:t>HJ2.2—2018</w:t>
      </w:r>
      <w:r>
        <w:rPr>
          <w:rFonts w:ascii="SimSun" w:hAnsi="SimSun" w:eastAsia="SimSun" w:cs="SimSun"/>
          <w:sz w:val="24"/>
          <w:szCs w:val="24"/>
          <w:spacing w:val="-4"/>
        </w:rPr>
        <w:t>《环境影响评价导</w:t>
      </w:r>
      <w:r>
        <w:rPr>
          <w:rFonts w:ascii="SimSun" w:hAnsi="SimSun" w:eastAsia="SimSun" w:cs="SimSun"/>
          <w:sz w:val="24"/>
          <w:szCs w:val="24"/>
          <w:spacing w:val="-3"/>
        </w:rPr>
        <w:t>则（大气环境）》中附录</w:t>
      </w:r>
      <w:r>
        <w:rPr>
          <w:rFonts w:ascii="Times New Roman" w:hAnsi="Times New Roman" w:eastAsia="Times New Roman" w:cs="Times New Roman"/>
          <w:sz w:val="24"/>
          <w:szCs w:val="24"/>
          <w:spacing w:val="-3"/>
        </w:rPr>
        <w:t>D</w:t>
      </w:r>
      <w:r>
        <w:rPr>
          <w:rFonts w:ascii="SimSun" w:hAnsi="SimSun" w:eastAsia="SimSun" w:cs="SimSun"/>
          <w:sz w:val="24"/>
          <w:szCs w:val="24"/>
          <w:spacing w:val="-3"/>
        </w:rPr>
        <w:t>其他污染物空气质量浓度参考限值，说明评价区环境空</w:t>
      </w:r>
      <w:r>
        <w:rPr>
          <w:rFonts w:ascii="SimSun" w:hAnsi="SimSun" w:eastAsia="SimSun" w:cs="SimSun"/>
          <w:sz w:val="24"/>
          <w:szCs w:val="24"/>
          <w:spacing w:val="-3"/>
        </w:rPr>
        <w:t>气质量较好，尚有较大的环境容量。</w:t>
      </w:r>
    </w:p>
    <w:p>
      <w:pPr>
        <w:pStyle w:val="BodyText"/>
        <w:spacing w:line="276" w:lineRule="auto"/>
        <w:rPr/>
      </w:pPr>
      <w:r/>
    </w:p>
    <w:p>
      <w:pPr>
        <w:ind w:left="128"/>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4.2.3 </w:t>
      </w:r>
      <w:r>
        <w:rPr>
          <w:rFonts w:ascii="SimSun" w:hAnsi="SimSun" w:eastAsia="SimSun" w:cs="SimSun"/>
          <w:sz w:val="24"/>
          <w:szCs w:val="24"/>
          <w:b/>
          <w:bCs/>
          <w:spacing w:val="-2"/>
        </w:rPr>
        <w:t>声环境质量现状评价</w:t>
      </w:r>
    </w:p>
    <w:p>
      <w:pPr>
        <w:pStyle w:val="BodyText"/>
        <w:spacing w:line="345" w:lineRule="auto"/>
        <w:rPr/>
      </w:pPr>
      <w:r/>
    </w:p>
    <w:p>
      <w:pPr>
        <w:ind w:left="618"/>
        <w:spacing w:before="78"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）监测点布设</w:t>
      </w:r>
    </w:p>
    <w:p>
      <w:pPr>
        <w:ind w:left="252" w:right="131" w:firstLine="360"/>
        <w:spacing w:before="165" w:line="360" w:lineRule="auto"/>
        <w:rPr>
          <w:rFonts w:ascii="SimSun" w:hAnsi="SimSun" w:eastAsia="SimSun" w:cs="SimSun"/>
          <w:sz w:val="24"/>
          <w:szCs w:val="24"/>
        </w:rPr>
      </w:pPr>
      <w:r>
        <w:rPr>
          <w:rFonts w:ascii="SimSun" w:hAnsi="SimSun" w:eastAsia="SimSun" w:cs="SimSun"/>
          <w:sz w:val="24"/>
          <w:szCs w:val="24"/>
        </w:rPr>
        <w:t>本次噪声监测在场区周围共布置</w:t>
      </w:r>
      <w:r>
        <w:rPr>
          <w:rFonts w:ascii="Times New Roman" w:hAnsi="Times New Roman" w:eastAsia="Times New Roman" w:cs="Times New Roman"/>
          <w:sz w:val="24"/>
          <w:szCs w:val="24"/>
        </w:rPr>
        <w:t>4</w:t>
      </w:r>
      <w:r>
        <w:rPr>
          <w:rFonts w:ascii="SimSun" w:hAnsi="SimSun" w:eastAsia="SimSun" w:cs="SimSun"/>
          <w:sz w:val="24"/>
          <w:szCs w:val="24"/>
        </w:rPr>
        <w:t>个监测点位，监测布点情</w:t>
      </w:r>
      <w:r>
        <w:rPr>
          <w:rFonts w:ascii="SimSun" w:hAnsi="SimSun" w:eastAsia="SimSun" w:cs="SimSun"/>
          <w:sz w:val="24"/>
          <w:szCs w:val="24"/>
          <w:spacing w:val="-1"/>
        </w:rPr>
        <w:t>况详见表</w:t>
      </w:r>
      <w:r>
        <w:rPr>
          <w:rFonts w:ascii="Times New Roman" w:hAnsi="Times New Roman" w:eastAsia="Times New Roman" w:cs="Times New Roman"/>
          <w:sz w:val="24"/>
          <w:szCs w:val="24"/>
          <w:spacing w:val="-1"/>
        </w:rPr>
        <w:t>4-11</w:t>
      </w:r>
      <w:r>
        <w:rPr>
          <w:rFonts w:ascii="SimSun" w:hAnsi="SimSun" w:eastAsia="SimSun" w:cs="SimSun"/>
          <w:sz w:val="24"/>
          <w:szCs w:val="24"/>
          <w:spacing w:val="-1"/>
        </w:rPr>
        <w:t>、图</w:t>
      </w:r>
      <w:r>
        <w:rPr>
          <w:rFonts w:ascii="Times New Roman" w:hAnsi="Times New Roman" w:eastAsia="Times New Roman" w:cs="Times New Roman"/>
          <w:sz w:val="24"/>
          <w:szCs w:val="24"/>
          <w:spacing w:val="-3"/>
        </w:rPr>
        <w:t>3-2</w:t>
      </w:r>
      <w:r>
        <w:rPr>
          <w:rFonts w:ascii="SimSun" w:hAnsi="SimSun" w:eastAsia="SimSun" w:cs="SimSun"/>
          <w:sz w:val="24"/>
          <w:szCs w:val="24"/>
          <w:spacing w:val="-3"/>
        </w:rPr>
        <w:t>。</w:t>
      </w:r>
    </w:p>
    <w:p>
      <w:pPr>
        <w:ind w:left="2656"/>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4-11      </w:t>
      </w:r>
      <w:r>
        <w:rPr>
          <w:rFonts w:ascii="SimSun" w:hAnsi="SimSun" w:eastAsia="SimSun" w:cs="SimSun"/>
          <w:sz w:val="24"/>
          <w:szCs w:val="24"/>
          <w:b/>
          <w:bCs/>
          <w:spacing w:val="-2"/>
        </w:rPr>
        <w:t>噪声监测点位布设情况</w:t>
      </w:r>
    </w:p>
    <w:p>
      <w:pPr>
        <w:spacing w:line="53"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71"/>
        <w:gridCol w:w="3372"/>
        <w:gridCol w:w="3392"/>
      </w:tblGrid>
      <w:tr>
        <w:trPr>
          <w:trHeight w:val="315" w:hRule="atLeast"/>
        </w:trPr>
        <w:tc>
          <w:tcPr>
            <w:tcW w:w="1971" w:type="dxa"/>
            <w:vAlign w:val="top"/>
            <w:tcBorders>
              <w:left w:val="nil"/>
              <w:top w:val="single" w:color="000000" w:sz="10" w:space="0"/>
            </w:tcBorders>
          </w:tcPr>
          <w:p>
            <w:pPr>
              <w:pStyle w:val="TableText"/>
              <w:ind w:left="801"/>
              <w:spacing w:before="54" w:line="220" w:lineRule="auto"/>
              <w:rPr/>
            </w:pPr>
            <w:r>
              <w:rPr>
                <w:spacing w:val="-5"/>
              </w:rPr>
              <w:t>点位</w:t>
            </w:r>
          </w:p>
        </w:tc>
        <w:tc>
          <w:tcPr>
            <w:tcW w:w="3372" w:type="dxa"/>
            <w:vAlign w:val="top"/>
            <w:tcBorders>
              <w:top w:val="single" w:color="000000" w:sz="10" w:space="0"/>
            </w:tcBorders>
          </w:tcPr>
          <w:p>
            <w:pPr>
              <w:pStyle w:val="TableText"/>
              <w:ind w:left="1268"/>
              <w:spacing w:before="54" w:line="220" w:lineRule="auto"/>
              <w:rPr/>
            </w:pPr>
            <w:r>
              <w:rPr>
                <w:spacing w:val="-2"/>
              </w:rPr>
              <w:t>监测点位</w:t>
            </w:r>
          </w:p>
        </w:tc>
        <w:tc>
          <w:tcPr>
            <w:tcW w:w="3392" w:type="dxa"/>
            <w:vAlign w:val="top"/>
            <w:tcBorders>
              <w:right w:val="nil"/>
              <w:top w:val="single" w:color="000000" w:sz="10" w:space="0"/>
            </w:tcBorders>
          </w:tcPr>
          <w:p>
            <w:pPr>
              <w:pStyle w:val="TableText"/>
              <w:ind w:left="1281"/>
              <w:spacing w:before="54" w:line="220" w:lineRule="auto"/>
              <w:rPr/>
            </w:pPr>
            <w:r>
              <w:rPr>
                <w:spacing w:val="-2"/>
              </w:rPr>
              <w:t>位置备注</w:t>
            </w:r>
          </w:p>
        </w:tc>
      </w:tr>
      <w:tr>
        <w:trPr>
          <w:trHeight w:val="312" w:hRule="atLeast"/>
        </w:trPr>
        <w:tc>
          <w:tcPr>
            <w:tcW w:w="1971" w:type="dxa"/>
            <w:vAlign w:val="top"/>
            <w:tcBorders>
              <w:left w:val="nil"/>
            </w:tcBorders>
          </w:tcPr>
          <w:p>
            <w:pPr>
              <w:ind w:left="910"/>
              <w:spacing w:before="89"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p>
        </w:tc>
        <w:tc>
          <w:tcPr>
            <w:tcW w:w="3372" w:type="dxa"/>
            <w:vAlign w:val="top"/>
          </w:tcPr>
          <w:p>
            <w:pPr>
              <w:pStyle w:val="TableText"/>
              <w:ind w:left="1381"/>
              <w:spacing w:before="56" w:line="216" w:lineRule="auto"/>
              <w:rPr/>
            </w:pPr>
            <w:r>
              <w:rPr>
                <w:spacing w:val="-3"/>
              </w:rPr>
              <w:t>东场界</w:t>
            </w:r>
          </w:p>
        </w:tc>
        <w:tc>
          <w:tcPr>
            <w:tcW w:w="3392" w:type="dxa"/>
            <w:vAlign w:val="top"/>
            <w:tcBorders>
              <w:right w:val="nil"/>
            </w:tcBorders>
          </w:tcPr>
          <w:p>
            <w:pPr>
              <w:pStyle w:val="TableText"/>
              <w:ind w:left="1127"/>
              <w:spacing w:before="56" w:line="216" w:lineRule="auto"/>
              <w:rPr>
                <w:rFonts w:ascii="Times New Roman" w:hAnsi="Times New Roman" w:eastAsia="Times New Roman" w:cs="Times New Roman"/>
              </w:rPr>
            </w:pPr>
            <w:r>
              <w:rPr>
                <w:spacing w:val="-4"/>
              </w:rPr>
              <w:t>东场界外</w:t>
            </w:r>
            <w:r>
              <w:rPr>
                <w:spacing w:val="-27"/>
              </w:rPr>
              <w:t xml:space="preserve"> </w:t>
            </w:r>
            <w:r>
              <w:rPr>
                <w:rFonts w:ascii="Times New Roman" w:hAnsi="Times New Roman" w:eastAsia="Times New Roman" w:cs="Times New Roman"/>
                <w:spacing w:val="-4"/>
              </w:rPr>
              <w:t>1m</w:t>
            </w:r>
          </w:p>
        </w:tc>
      </w:tr>
      <w:tr>
        <w:trPr>
          <w:trHeight w:val="312" w:hRule="atLeast"/>
        </w:trPr>
        <w:tc>
          <w:tcPr>
            <w:tcW w:w="1971" w:type="dxa"/>
            <w:vAlign w:val="top"/>
            <w:tcBorders>
              <w:left w:val="nil"/>
            </w:tcBorders>
          </w:tcPr>
          <w:p>
            <w:pPr>
              <w:ind w:left="889"/>
              <w:spacing w:before="93"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p>
        </w:tc>
        <w:tc>
          <w:tcPr>
            <w:tcW w:w="3372" w:type="dxa"/>
            <w:vAlign w:val="top"/>
          </w:tcPr>
          <w:p>
            <w:pPr>
              <w:pStyle w:val="TableText"/>
              <w:ind w:left="1376"/>
              <w:spacing w:before="60" w:line="212" w:lineRule="auto"/>
              <w:rPr/>
            </w:pPr>
            <w:r>
              <w:rPr>
                <w:spacing w:val="-2"/>
              </w:rPr>
              <w:t>南场界</w:t>
            </w:r>
          </w:p>
        </w:tc>
        <w:tc>
          <w:tcPr>
            <w:tcW w:w="3392" w:type="dxa"/>
            <w:vAlign w:val="top"/>
            <w:tcBorders>
              <w:right w:val="nil"/>
            </w:tcBorders>
          </w:tcPr>
          <w:p>
            <w:pPr>
              <w:pStyle w:val="TableText"/>
              <w:ind w:left="1122"/>
              <w:spacing w:before="60" w:line="212" w:lineRule="auto"/>
              <w:rPr>
                <w:rFonts w:ascii="Times New Roman" w:hAnsi="Times New Roman" w:eastAsia="Times New Roman" w:cs="Times New Roman"/>
              </w:rPr>
            </w:pPr>
            <w:r>
              <w:rPr>
                <w:spacing w:val="-3"/>
              </w:rPr>
              <w:t>南场界外</w:t>
            </w:r>
            <w:r>
              <w:rPr>
                <w:spacing w:val="-28"/>
              </w:rPr>
              <w:t xml:space="preserve"> </w:t>
            </w:r>
            <w:r>
              <w:rPr>
                <w:rFonts w:ascii="Times New Roman" w:hAnsi="Times New Roman" w:eastAsia="Times New Roman" w:cs="Times New Roman"/>
                <w:spacing w:val="-3"/>
              </w:rPr>
              <w:t>1m</w:t>
            </w:r>
          </w:p>
        </w:tc>
      </w:tr>
      <w:tr>
        <w:trPr>
          <w:trHeight w:val="314" w:hRule="atLeast"/>
        </w:trPr>
        <w:tc>
          <w:tcPr>
            <w:tcW w:w="1971" w:type="dxa"/>
            <w:vAlign w:val="top"/>
            <w:tcBorders>
              <w:left w:val="nil"/>
            </w:tcBorders>
          </w:tcPr>
          <w:p>
            <w:pPr>
              <w:ind w:left="894"/>
              <w:spacing w:before="100"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p>
        </w:tc>
        <w:tc>
          <w:tcPr>
            <w:tcW w:w="3372" w:type="dxa"/>
            <w:vAlign w:val="top"/>
          </w:tcPr>
          <w:p>
            <w:pPr>
              <w:pStyle w:val="TableText"/>
              <w:ind w:left="1378"/>
              <w:spacing w:before="68" w:line="207" w:lineRule="auto"/>
              <w:rPr/>
            </w:pPr>
            <w:r>
              <w:rPr>
                <w:spacing w:val="-3"/>
              </w:rPr>
              <w:t>西场界</w:t>
            </w:r>
          </w:p>
        </w:tc>
        <w:tc>
          <w:tcPr>
            <w:tcW w:w="3392" w:type="dxa"/>
            <w:vAlign w:val="top"/>
            <w:tcBorders>
              <w:right w:val="nil"/>
            </w:tcBorders>
          </w:tcPr>
          <w:p>
            <w:pPr>
              <w:pStyle w:val="TableText"/>
              <w:ind w:left="1125"/>
              <w:spacing w:before="68" w:line="207" w:lineRule="auto"/>
              <w:rPr>
                <w:rFonts w:ascii="Times New Roman" w:hAnsi="Times New Roman" w:eastAsia="Times New Roman" w:cs="Times New Roman"/>
              </w:rPr>
            </w:pPr>
            <w:r>
              <w:rPr>
                <w:spacing w:val="-4"/>
              </w:rPr>
              <w:t>西场界外</w:t>
            </w:r>
            <w:r>
              <w:rPr>
                <w:spacing w:val="-25"/>
              </w:rPr>
              <w:t xml:space="preserve"> </w:t>
            </w:r>
            <w:r>
              <w:rPr>
                <w:rFonts w:ascii="Times New Roman" w:hAnsi="Times New Roman" w:eastAsia="Times New Roman" w:cs="Times New Roman"/>
                <w:spacing w:val="-4"/>
              </w:rPr>
              <w:t>1m</w:t>
            </w:r>
          </w:p>
        </w:tc>
      </w:tr>
      <w:tr>
        <w:trPr>
          <w:trHeight w:val="335" w:hRule="atLeast"/>
        </w:trPr>
        <w:tc>
          <w:tcPr>
            <w:tcW w:w="1971" w:type="dxa"/>
            <w:vAlign w:val="top"/>
            <w:tcBorders>
              <w:left w:val="nil"/>
              <w:bottom w:val="single" w:color="000000" w:sz="10" w:space="0"/>
            </w:tcBorders>
          </w:tcPr>
          <w:p>
            <w:pPr>
              <w:ind w:left="888"/>
              <w:spacing w:before="103"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p>
        </w:tc>
        <w:tc>
          <w:tcPr>
            <w:tcW w:w="3372" w:type="dxa"/>
            <w:vAlign w:val="top"/>
            <w:tcBorders>
              <w:bottom w:val="single" w:color="000000" w:sz="10" w:space="0"/>
            </w:tcBorders>
          </w:tcPr>
          <w:p>
            <w:pPr>
              <w:pStyle w:val="TableText"/>
              <w:ind w:left="1377"/>
              <w:spacing w:before="71" w:line="221" w:lineRule="auto"/>
              <w:rPr/>
            </w:pPr>
            <w:r>
              <w:rPr>
                <w:spacing w:val="-2"/>
              </w:rPr>
              <w:t>北场界</w:t>
            </w:r>
          </w:p>
        </w:tc>
        <w:tc>
          <w:tcPr>
            <w:tcW w:w="3392" w:type="dxa"/>
            <w:vAlign w:val="top"/>
            <w:tcBorders>
              <w:right w:val="nil"/>
              <w:bottom w:val="single" w:color="000000" w:sz="10" w:space="0"/>
            </w:tcBorders>
          </w:tcPr>
          <w:p>
            <w:pPr>
              <w:pStyle w:val="TableText"/>
              <w:ind w:left="1123"/>
              <w:spacing w:before="71" w:line="223" w:lineRule="auto"/>
              <w:rPr>
                <w:rFonts w:ascii="Times New Roman" w:hAnsi="Times New Roman" w:eastAsia="Times New Roman" w:cs="Times New Roman"/>
              </w:rPr>
            </w:pPr>
            <w:r>
              <w:rPr>
                <w:spacing w:val="-4"/>
              </w:rPr>
              <w:t>北场界外</w:t>
            </w:r>
            <w:r>
              <w:rPr>
                <w:spacing w:val="-23"/>
              </w:rPr>
              <w:t xml:space="preserve"> </w:t>
            </w:r>
            <w:r>
              <w:rPr>
                <w:rFonts w:ascii="Times New Roman" w:hAnsi="Times New Roman" w:eastAsia="Times New Roman" w:cs="Times New Roman"/>
                <w:spacing w:val="-4"/>
              </w:rPr>
              <w:t>1m</w:t>
            </w:r>
          </w:p>
        </w:tc>
      </w:tr>
    </w:tbl>
    <w:p>
      <w:pPr>
        <w:ind w:left="618"/>
        <w:spacing w:before="113"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）监测单位及监测时间</w:t>
      </w:r>
    </w:p>
    <w:p>
      <w:pPr>
        <w:ind w:left="247" w:right="108" w:firstLine="363"/>
        <w:spacing w:before="164" w:line="360" w:lineRule="auto"/>
        <w:rPr>
          <w:rFonts w:ascii="SimSun" w:hAnsi="SimSun" w:eastAsia="SimSun" w:cs="SimSun"/>
          <w:sz w:val="24"/>
          <w:szCs w:val="24"/>
        </w:rPr>
      </w:pPr>
      <w:r>
        <w:rPr>
          <w:rFonts w:ascii="SimSun" w:hAnsi="SimSun" w:eastAsia="SimSun" w:cs="SimSun"/>
          <w:sz w:val="24"/>
          <w:szCs w:val="24"/>
          <w:spacing w:val="-1"/>
        </w:rPr>
        <w:t>锡林郭勒盟中兴德环保科技有限公司于</w:t>
      </w:r>
      <w:r>
        <w:rPr>
          <w:rFonts w:ascii="Times New Roman" w:hAnsi="Times New Roman" w:eastAsia="Times New Roman" w:cs="Times New Roman"/>
          <w:sz w:val="24"/>
          <w:szCs w:val="24"/>
          <w:spacing w:val="-1"/>
        </w:rPr>
        <w:t>2025</w:t>
      </w:r>
      <w:r>
        <w:rPr>
          <w:rFonts w:ascii="SimSun" w:hAnsi="SimSun" w:eastAsia="SimSun" w:cs="SimSun"/>
          <w:sz w:val="24"/>
          <w:szCs w:val="24"/>
          <w:spacing w:val="-1"/>
        </w:rPr>
        <w:t>年</w:t>
      </w:r>
      <w:r>
        <w:rPr>
          <w:rFonts w:ascii="Times New Roman" w:hAnsi="Times New Roman" w:eastAsia="Times New Roman" w:cs="Times New Roman"/>
          <w:sz w:val="24"/>
          <w:szCs w:val="24"/>
          <w:spacing w:val="-1"/>
        </w:rPr>
        <w:t>9</w:t>
      </w:r>
      <w:r>
        <w:rPr>
          <w:rFonts w:ascii="SimSun" w:hAnsi="SimSun" w:eastAsia="SimSun" w:cs="SimSun"/>
          <w:sz w:val="24"/>
          <w:szCs w:val="24"/>
          <w:spacing w:val="-1"/>
        </w:rPr>
        <w:t>月</w:t>
      </w:r>
      <w:r>
        <w:rPr>
          <w:rFonts w:ascii="Times New Roman" w:hAnsi="Times New Roman" w:eastAsia="Times New Roman" w:cs="Times New Roman"/>
          <w:sz w:val="24"/>
          <w:szCs w:val="24"/>
          <w:spacing w:val="-1"/>
        </w:rPr>
        <w:t>29</w:t>
      </w:r>
      <w:r>
        <w:rPr>
          <w:rFonts w:ascii="SimSun" w:hAnsi="SimSun" w:eastAsia="SimSun" w:cs="SimSun"/>
          <w:sz w:val="24"/>
          <w:szCs w:val="24"/>
          <w:spacing w:val="-1"/>
        </w:rPr>
        <w:t>日至</w:t>
      </w:r>
      <w:r>
        <w:rPr>
          <w:rFonts w:ascii="Times New Roman" w:hAnsi="Times New Roman" w:eastAsia="Times New Roman" w:cs="Times New Roman"/>
          <w:sz w:val="24"/>
          <w:szCs w:val="24"/>
          <w:spacing w:val="-1"/>
        </w:rPr>
        <w:t>30</w:t>
      </w:r>
      <w:r>
        <w:rPr>
          <w:rFonts w:ascii="SimSun" w:hAnsi="SimSun" w:eastAsia="SimSun" w:cs="SimSun"/>
          <w:sz w:val="24"/>
          <w:szCs w:val="24"/>
          <w:spacing w:val="-1"/>
        </w:rPr>
        <w:t>日，昼、夜间监测</w:t>
      </w:r>
      <w:r>
        <w:rPr>
          <w:rFonts w:ascii="Times New Roman" w:hAnsi="Times New Roman" w:eastAsia="Times New Roman" w:cs="Times New Roman"/>
          <w:sz w:val="24"/>
          <w:szCs w:val="24"/>
          <w:spacing w:val="-2"/>
        </w:rPr>
        <w:t>2d</w:t>
      </w:r>
      <w:r>
        <w:rPr>
          <w:rFonts w:ascii="SimSun" w:hAnsi="SimSun" w:eastAsia="SimSun" w:cs="SimSun"/>
          <w:sz w:val="24"/>
          <w:szCs w:val="24"/>
          <w:spacing w:val="-2"/>
        </w:rPr>
        <w:t>。</w:t>
      </w:r>
    </w:p>
    <w:p>
      <w:pPr>
        <w:ind w:left="618"/>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）监测结果</w:t>
      </w:r>
    </w:p>
    <w:p>
      <w:pPr>
        <w:ind w:left="622"/>
        <w:spacing w:before="164" w:line="233" w:lineRule="auto"/>
        <w:rPr>
          <w:rFonts w:ascii="SimSun" w:hAnsi="SimSun" w:eastAsia="SimSun" w:cs="SimSun"/>
          <w:sz w:val="24"/>
          <w:szCs w:val="24"/>
        </w:rPr>
      </w:pPr>
      <w:r>
        <w:rPr>
          <w:rFonts w:ascii="SimSun" w:hAnsi="SimSun" w:eastAsia="SimSun" w:cs="SimSun"/>
          <w:sz w:val="24"/>
          <w:szCs w:val="24"/>
          <w:spacing w:val="-2"/>
        </w:rPr>
        <w:t>噪声监测结果见表</w:t>
      </w:r>
      <w:r>
        <w:rPr>
          <w:rFonts w:ascii="Times New Roman" w:hAnsi="Times New Roman" w:eastAsia="Times New Roman" w:cs="Times New Roman"/>
          <w:sz w:val="24"/>
          <w:szCs w:val="24"/>
          <w:spacing w:val="-2"/>
        </w:rPr>
        <w:t>4-12</w:t>
      </w:r>
      <w:r>
        <w:rPr>
          <w:rFonts w:ascii="SimSun" w:hAnsi="SimSun" w:eastAsia="SimSun" w:cs="SimSun"/>
          <w:sz w:val="24"/>
          <w:szCs w:val="24"/>
          <w:spacing w:val="-2"/>
        </w:rPr>
        <w:t>。</w:t>
      </w:r>
    </w:p>
    <w:p>
      <w:pPr>
        <w:ind w:left="3016"/>
        <w:spacing w:before="166" w:line="233"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4-12      </w:t>
      </w:r>
      <w:r>
        <w:rPr>
          <w:rFonts w:ascii="SimSun" w:hAnsi="SimSun" w:eastAsia="SimSun" w:cs="SimSun"/>
          <w:sz w:val="24"/>
          <w:szCs w:val="24"/>
          <w:b/>
          <w:bCs/>
          <w:spacing w:val="-2"/>
        </w:rPr>
        <w:t>噪声现状监测结果表</w:t>
      </w:r>
    </w:p>
    <w:p>
      <w:pPr>
        <w:spacing w:line="51" w:lineRule="exact"/>
        <w:rPr/>
      </w:pPr>
      <w:r/>
    </w:p>
    <w:tbl>
      <w:tblPr>
        <w:tblStyle w:val="TableNormal"/>
        <w:tblW w:w="8721"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19"/>
        <w:gridCol w:w="1914"/>
        <w:gridCol w:w="1397"/>
        <w:gridCol w:w="1397"/>
        <w:gridCol w:w="1397"/>
        <w:gridCol w:w="1397"/>
      </w:tblGrid>
      <w:tr>
        <w:trPr>
          <w:trHeight w:val="314" w:hRule="atLeast"/>
        </w:trPr>
        <w:tc>
          <w:tcPr>
            <w:tcW w:w="1219" w:type="dxa"/>
            <w:vAlign w:val="top"/>
            <w:vMerge w:val="restart"/>
            <w:tcBorders>
              <w:bottom w:val="nil"/>
              <w:top w:val="single" w:color="000000" w:sz="10" w:space="0"/>
              <w:left w:val="nil"/>
            </w:tcBorders>
          </w:tcPr>
          <w:p>
            <w:pPr>
              <w:spacing w:line="309" w:lineRule="auto"/>
              <w:rPr>
                <w:rFonts w:ascii="Arial"/>
                <w:sz w:val="21"/>
              </w:rPr>
            </w:pPr>
            <w:r/>
          </w:p>
          <w:p>
            <w:pPr>
              <w:pStyle w:val="TableText"/>
              <w:ind w:left="198"/>
              <w:spacing w:before="68" w:line="222" w:lineRule="auto"/>
              <w:rPr/>
            </w:pPr>
            <w:r>
              <w:rPr>
                <w:spacing w:val="-2"/>
              </w:rPr>
              <w:t>监测点位</w:t>
            </w:r>
          </w:p>
        </w:tc>
        <w:tc>
          <w:tcPr>
            <w:tcW w:w="1914" w:type="dxa"/>
            <w:vAlign w:val="top"/>
            <w:vMerge w:val="restart"/>
            <w:tcBorders>
              <w:bottom w:val="nil"/>
              <w:top w:val="single" w:color="000000" w:sz="10" w:space="0"/>
            </w:tcBorders>
          </w:tcPr>
          <w:p>
            <w:pPr>
              <w:spacing w:line="309" w:lineRule="auto"/>
              <w:rPr>
                <w:rFonts w:ascii="Arial"/>
                <w:sz w:val="21"/>
              </w:rPr>
            </w:pPr>
            <w:r/>
          </w:p>
          <w:p>
            <w:pPr>
              <w:pStyle w:val="TableText"/>
              <w:ind w:left="752"/>
              <w:spacing w:before="68" w:line="222" w:lineRule="auto"/>
              <w:rPr/>
            </w:pPr>
            <w:r>
              <w:rPr>
                <w:spacing w:val="-2"/>
              </w:rPr>
              <w:t>位置</w:t>
            </w:r>
          </w:p>
        </w:tc>
        <w:tc>
          <w:tcPr>
            <w:tcW w:w="5588" w:type="dxa"/>
            <w:vAlign w:val="top"/>
            <w:gridSpan w:val="4"/>
            <w:tcBorders>
              <w:top w:val="single" w:color="000000" w:sz="10" w:space="0"/>
              <w:right w:val="nil"/>
            </w:tcBorders>
          </w:tcPr>
          <w:p>
            <w:pPr>
              <w:pStyle w:val="TableText"/>
              <w:ind w:left="2075"/>
              <w:spacing w:before="57" w:line="217" w:lineRule="auto"/>
              <w:rPr/>
            </w:pPr>
            <w:r>
              <w:rPr>
                <w:spacing w:val="-1"/>
              </w:rPr>
              <w:t>监测值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tc>
      </w:tr>
      <w:tr>
        <w:trPr>
          <w:trHeight w:val="309" w:hRule="atLeast"/>
        </w:trPr>
        <w:tc>
          <w:tcPr>
            <w:tcW w:w="1219" w:type="dxa"/>
            <w:vAlign w:val="top"/>
            <w:vMerge w:val="continue"/>
            <w:tcBorders>
              <w:bottom w:val="nil"/>
              <w:top w:val="nil"/>
              <w:left w:val="nil"/>
            </w:tcBorders>
          </w:tcPr>
          <w:p>
            <w:pPr>
              <w:rPr>
                <w:rFonts w:ascii="Arial"/>
                <w:sz w:val="21"/>
              </w:rPr>
            </w:pPr>
            <w:r/>
          </w:p>
        </w:tc>
        <w:tc>
          <w:tcPr>
            <w:tcW w:w="1914" w:type="dxa"/>
            <w:vAlign w:val="top"/>
            <w:vMerge w:val="continue"/>
            <w:tcBorders>
              <w:bottom w:val="nil"/>
              <w:top w:val="nil"/>
            </w:tcBorders>
          </w:tcPr>
          <w:p>
            <w:pPr>
              <w:rPr>
                <w:rFonts w:ascii="Arial"/>
                <w:sz w:val="21"/>
              </w:rPr>
            </w:pPr>
            <w:r/>
          </w:p>
        </w:tc>
        <w:tc>
          <w:tcPr>
            <w:tcW w:w="2794" w:type="dxa"/>
            <w:vAlign w:val="top"/>
            <w:gridSpan w:val="2"/>
          </w:tcPr>
          <w:p>
            <w:pPr>
              <w:ind w:left="976"/>
              <w:spacing w:before="92"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2025.9.29</w:t>
            </w:r>
          </w:p>
        </w:tc>
        <w:tc>
          <w:tcPr>
            <w:tcW w:w="2794" w:type="dxa"/>
            <w:vAlign w:val="top"/>
            <w:gridSpan w:val="2"/>
            <w:tcBorders>
              <w:right w:val="nil"/>
            </w:tcBorders>
          </w:tcPr>
          <w:p>
            <w:pPr>
              <w:ind w:left="978"/>
              <w:spacing w:before="92"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2025.9.30</w:t>
            </w:r>
          </w:p>
        </w:tc>
      </w:tr>
      <w:tr>
        <w:trPr>
          <w:trHeight w:val="334" w:hRule="atLeast"/>
        </w:trPr>
        <w:tc>
          <w:tcPr>
            <w:tcW w:w="1219" w:type="dxa"/>
            <w:vAlign w:val="top"/>
            <w:vMerge w:val="continue"/>
            <w:tcBorders>
              <w:bottom w:val="single" w:color="000000" w:sz="10" w:space="0"/>
              <w:top w:val="nil"/>
              <w:left w:val="nil"/>
            </w:tcBorders>
          </w:tcPr>
          <w:p>
            <w:pPr>
              <w:rPr>
                <w:rFonts w:ascii="Arial"/>
                <w:sz w:val="21"/>
              </w:rPr>
            </w:pPr>
            <w:r/>
          </w:p>
        </w:tc>
        <w:tc>
          <w:tcPr>
            <w:tcW w:w="1914" w:type="dxa"/>
            <w:vAlign w:val="top"/>
            <w:vMerge w:val="continue"/>
            <w:tcBorders>
              <w:bottom w:val="single" w:color="000000" w:sz="10" w:space="0"/>
              <w:top w:val="nil"/>
            </w:tcBorders>
          </w:tcPr>
          <w:p>
            <w:pPr>
              <w:rPr>
                <w:rFonts w:ascii="Arial"/>
                <w:sz w:val="21"/>
              </w:rPr>
            </w:pPr>
            <w:r/>
          </w:p>
        </w:tc>
        <w:tc>
          <w:tcPr>
            <w:tcW w:w="1397" w:type="dxa"/>
            <w:vAlign w:val="top"/>
            <w:tcBorders>
              <w:bottom w:val="single" w:color="000000" w:sz="10" w:space="0"/>
            </w:tcBorders>
          </w:tcPr>
          <w:p>
            <w:pPr>
              <w:pStyle w:val="TableText"/>
              <w:ind w:left="489"/>
              <w:spacing w:before="68" w:line="223" w:lineRule="auto"/>
              <w:rPr/>
            </w:pPr>
            <w:r>
              <w:rPr>
                <w:spacing w:val="-2"/>
              </w:rPr>
              <w:t>昼间</w:t>
            </w:r>
          </w:p>
        </w:tc>
        <w:tc>
          <w:tcPr>
            <w:tcW w:w="1397" w:type="dxa"/>
            <w:vAlign w:val="top"/>
            <w:tcBorders>
              <w:bottom w:val="single" w:color="000000" w:sz="10" w:space="0"/>
            </w:tcBorders>
          </w:tcPr>
          <w:p>
            <w:pPr>
              <w:pStyle w:val="TableText"/>
              <w:ind w:left="496"/>
              <w:spacing w:before="67" w:line="221" w:lineRule="auto"/>
              <w:rPr/>
            </w:pPr>
            <w:r>
              <w:rPr>
                <w:spacing w:val="-3"/>
              </w:rPr>
              <w:t>夜间</w:t>
            </w:r>
          </w:p>
        </w:tc>
        <w:tc>
          <w:tcPr>
            <w:tcW w:w="1397" w:type="dxa"/>
            <w:vAlign w:val="top"/>
            <w:tcBorders>
              <w:bottom w:val="single" w:color="000000" w:sz="10" w:space="0"/>
            </w:tcBorders>
          </w:tcPr>
          <w:p>
            <w:pPr>
              <w:pStyle w:val="TableText"/>
              <w:ind w:left="492"/>
              <w:spacing w:before="68" w:line="223" w:lineRule="auto"/>
              <w:rPr/>
            </w:pPr>
            <w:r>
              <w:rPr>
                <w:spacing w:val="-2"/>
              </w:rPr>
              <w:t>昼间</w:t>
            </w:r>
          </w:p>
        </w:tc>
        <w:tc>
          <w:tcPr>
            <w:tcW w:w="1397" w:type="dxa"/>
            <w:vAlign w:val="top"/>
            <w:tcBorders>
              <w:bottom w:val="single" w:color="000000" w:sz="10" w:space="0"/>
              <w:right w:val="nil"/>
            </w:tcBorders>
          </w:tcPr>
          <w:p>
            <w:pPr>
              <w:pStyle w:val="TableText"/>
              <w:ind w:left="496"/>
              <w:spacing w:before="67" w:line="221" w:lineRule="auto"/>
              <w:rPr/>
            </w:pPr>
            <w:r>
              <w:rPr>
                <w:spacing w:val="-3"/>
              </w:rPr>
              <w:t>夜间</w:t>
            </w:r>
          </w:p>
        </w:tc>
      </w:tr>
    </w:tbl>
    <w:p>
      <w:pPr>
        <w:pStyle w:val="BodyText"/>
        <w:rPr/>
      </w:pPr>
      <w:r/>
    </w:p>
    <w:p>
      <w:pPr>
        <w:sectPr>
          <w:footerReference w:type="default" r:id="rId110"/>
          <w:pgSz w:w="11907" w:h="16839"/>
          <w:pgMar w:top="1582" w:right="1591" w:bottom="1235" w:left="1579" w:header="1241" w:footer="992" w:gutter="0"/>
        </w:sectPr>
        <w:rPr/>
      </w:pPr>
    </w:p>
    <w:p>
      <w:pPr>
        <w:spacing w:line="11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34"/>
        <w:gridCol w:w="1913"/>
        <w:gridCol w:w="1397"/>
        <w:gridCol w:w="1397"/>
        <w:gridCol w:w="1397"/>
        <w:gridCol w:w="1397"/>
      </w:tblGrid>
      <w:tr>
        <w:trPr>
          <w:trHeight w:val="317" w:hRule="atLeast"/>
        </w:trPr>
        <w:tc>
          <w:tcPr>
            <w:tcW w:w="1234" w:type="dxa"/>
            <w:vAlign w:val="top"/>
            <w:tcBorders>
              <w:left w:val="nil"/>
              <w:top w:val="single" w:color="000000" w:sz="10" w:space="0"/>
            </w:tcBorders>
          </w:tcPr>
          <w:p>
            <w:pPr>
              <w:ind w:left="543"/>
              <w:spacing w:before="8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p>
        </w:tc>
        <w:tc>
          <w:tcPr>
            <w:tcW w:w="1913" w:type="dxa"/>
            <w:vAlign w:val="top"/>
            <w:tcBorders>
              <w:top w:val="single" w:color="000000" w:sz="10" w:space="0"/>
            </w:tcBorders>
          </w:tcPr>
          <w:p>
            <w:pPr>
              <w:pStyle w:val="TableText"/>
              <w:ind w:left="654"/>
              <w:spacing w:before="55" w:line="221" w:lineRule="auto"/>
              <w:rPr/>
            </w:pPr>
            <w:r>
              <w:rPr>
                <w:spacing w:val="-3"/>
              </w:rPr>
              <w:t>东场界</w:t>
            </w:r>
          </w:p>
        </w:tc>
        <w:tc>
          <w:tcPr>
            <w:tcW w:w="1397" w:type="dxa"/>
            <w:vAlign w:val="top"/>
            <w:tcBorders>
              <w:top w:val="single" w:color="000000" w:sz="10" w:space="0"/>
            </w:tcBorders>
          </w:tcPr>
          <w:p>
            <w:pPr>
              <w:ind w:left="511"/>
              <w:spacing w:before="8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49.6</w:t>
            </w:r>
          </w:p>
        </w:tc>
        <w:tc>
          <w:tcPr>
            <w:tcW w:w="1397" w:type="dxa"/>
            <w:vAlign w:val="top"/>
            <w:tcBorders>
              <w:top w:val="single" w:color="000000" w:sz="10" w:space="0"/>
            </w:tcBorders>
          </w:tcPr>
          <w:p>
            <w:pPr>
              <w:ind w:left="514"/>
              <w:spacing w:before="8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40.9</w:t>
            </w:r>
          </w:p>
        </w:tc>
        <w:tc>
          <w:tcPr>
            <w:tcW w:w="1397" w:type="dxa"/>
            <w:vAlign w:val="top"/>
            <w:tcBorders>
              <w:top w:val="single" w:color="000000" w:sz="10" w:space="0"/>
            </w:tcBorders>
          </w:tcPr>
          <w:p>
            <w:pPr>
              <w:ind w:left="514"/>
              <w:spacing w:before="8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48.0</w:t>
            </w:r>
          </w:p>
        </w:tc>
        <w:tc>
          <w:tcPr>
            <w:tcW w:w="1397" w:type="dxa"/>
            <w:vAlign w:val="top"/>
            <w:tcBorders>
              <w:right w:val="nil"/>
              <w:top w:val="single" w:color="000000" w:sz="10" w:space="0"/>
            </w:tcBorders>
          </w:tcPr>
          <w:p>
            <w:pPr>
              <w:ind w:left="520"/>
              <w:spacing w:before="88" w:line="21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37.3</w:t>
            </w:r>
          </w:p>
        </w:tc>
      </w:tr>
      <w:tr>
        <w:trPr>
          <w:trHeight w:val="312" w:hRule="atLeast"/>
        </w:trPr>
        <w:tc>
          <w:tcPr>
            <w:tcW w:w="1234" w:type="dxa"/>
            <w:vAlign w:val="top"/>
            <w:tcBorders>
              <w:left w:val="nil"/>
            </w:tcBorders>
          </w:tcPr>
          <w:p>
            <w:pPr>
              <w:ind w:left="522"/>
              <w:spacing w:before="87"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p>
        </w:tc>
        <w:tc>
          <w:tcPr>
            <w:tcW w:w="1913" w:type="dxa"/>
            <w:vAlign w:val="top"/>
          </w:tcPr>
          <w:p>
            <w:pPr>
              <w:pStyle w:val="TableText"/>
              <w:ind w:left="649"/>
              <w:spacing w:before="55" w:line="217" w:lineRule="auto"/>
              <w:rPr/>
            </w:pPr>
            <w:r>
              <w:rPr>
                <w:spacing w:val="-2"/>
              </w:rPr>
              <w:t>南场界</w:t>
            </w:r>
          </w:p>
        </w:tc>
        <w:tc>
          <w:tcPr>
            <w:tcW w:w="1397" w:type="dxa"/>
            <w:vAlign w:val="top"/>
          </w:tcPr>
          <w:p>
            <w:pPr>
              <w:ind w:left="518"/>
              <w:spacing w:before="87"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51.8</w:t>
            </w:r>
          </w:p>
        </w:tc>
        <w:tc>
          <w:tcPr>
            <w:tcW w:w="1397" w:type="dxa"/>
            <w:vAlign w:val="top"/>
          </w:tcPr>
          <w:p>
            <w:pPr>
              <w:ind w:left="514"/>
              <w:spacing w:before="87"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41.1</w:t>
            </w:r>
          </w:p>
        </w:tc>
        <w:tc>
          <w:tcPr>
            <w:tcW w:w="1397" w:type="dxa"/>
            <w:vAlign w:val="top"/>
          </w:tcPr>
          <w:p>
            <w:pPr>
              <w:ind w:left="514"/>
              <w:spacing w:before="87"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49.5</w:t>
            </w:r>
          </w:p>
        </w:tc>
        <w:tc>
          <w:tcPr>
            <w:tcW w:w="1397" w:type="dxa"/>
            <w:vAlign w:val="top"/>
            <w:tcBorders>
              <w:right w:val="nil"/>
            </w:tcBorders>
          </w:tcPr>
          <w:p>
            <w:pPr>
              <w:ind w:left="520"/>
              <w:spacing w:before="87"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37.8</w:t>
            </w:r>
          </w:p>
        </w:tc>
      </w:tr>
      <w:tr>
        <w:trPr>
          <w:trHeight w:val="315" w:hRule="atLeast"/>
        </w:trPr>
        <w:tc>
          <w:tcPr>
            <w:tcW w:w="1234" w:type="dxa"/>
            <w:vAlign w:val="top"/>
            <w:tcBorders>
              <w:left w:val="nil"/>
            </w:tcBorders>
          </w:tcPr>
          <w:p>
            <w:pPr>
              <w:ind w:left="521"/>
              <w:spacing w:before="9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w:t>
            </w:r>
          </w:p>
        </w:tc>
        <w:tc>
          <w:tcPr>
            <w:tcW w:w="1913" w:type="dxa"/>
            <w:vAlign w:val="top"/>
          </w:tcPr>
          <w:p>
            <w:pPr>
              <w:pStyle w:val="TableText"/>
              <w:ind w:left="650"/>
              <w:spacing w:before="62" w:line="213" w:lineRule="auto"/>
              <w:rPr/>
            </w:pPr>
            <w:r>
              <w:rPr>
                <w:spacing w:val="-2"/>
              </w:rPr>
              <w:t>北场界</w:t>
            </w:r>
          </w:p>
        </w:tc>
        <w:tc>
          <w:tcPr>
            <w:tcW w:w="1397" w:type="dxa"/>
            <w:vAlign w:val="top"/>
          </w:tcPr>
          <w:p>
            <w:pPr>
              <w:ind w:left="518"/>
              <w:spacing w:before="9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52.5</w:t>
            </w:r>
          </w:p>
        </w:tc>
        <w:tc>
          <w:tcPr>
            <w:tcW w:w="1397" w:type="dxa"/>
            <w:vAlign w:val="top"/>
          </w:tcPr>
          <w:p>
            <w:pPr>
              <w:ind w:left="514"/>
              <w:spacing w:before="9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41.6</w:t>
            </w:r>
          </w:p>
        </w:tc>
        <w:tc>
          <w:tcPr>
            <w:tcW w:w="1397" w:type="dxa"/>
            <w:vAlign w:val="top"/>
          </w:tcPr>
          <w:p>
            <w:pPr>
              <w:ind w:left="514"/>
              <w:spacing w:before="9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49.7</w:t>
            </w:r>
          </w:p>
        </w:tc>
        <w:tc>
          <w:tcPr>
            <w:tcW w:w="1397" w:type="dxa"/>
            <w:vAlign w:val="top"/>
            <w:tcBorders>
              <w:right w:val="nil"/>
            </w:tcBorders>
          </w:tcPr>
          <w:p>
            <w:pPr>
              <w:ind w:left="520"/>
              <w:spacing w:before="94"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38.3</w:t>
            </w:r>
          </w:p>
        </w:tc>
      </w:tr>
      <w:tr>
        <w:trPr>
          <w:trHeight w:val="312" w:hRule="atLeast"/>
        </w:trPr>
        <w:tc>
          <w:tcPr>
            <w:tcW w:w="3147" w:type="dxa"/>
            <w:vAlign w:val="top"/>
            <w:gridSpan w:val="2"/>
            <w:tcBorders>
              <w:left w:val="nil"/>
            </w:tcBorders>
          </w:tcPr>
          <w:p>
            <w:pPr>
              <w:pStyle w:val="TableText"/>
              <w:ind w:left="1254"/>
              <w:spacing w:before="64" w:line="209" w:lineRule="auto"/>
              <w:rPr/>
            </w:pPr>
            <w:r>
              <w:rPr>
                <w:spacing w:val="6"/>
              </w:rPr>
              <w:t>标准值</w:t>
            </w:r>
          </w:p>
        </w:tc>
        <w:tc>
          <w:tcPr>
            <w:tcW w:w="1397" w:type="dxa"/>
            <w:vAlign w:val="top"/>
          </w:tcPr>
          <w:p>
            <w:pPr>
              <w:ind w:left="597"/>
              <w:spacing w:before="96"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397" w:type="dxa"/>
            <w:vAlign w:val="top"/>
          </w:tcPr>
          <w:p>
            <w:pPr>
              <w:ind w:left="591"/>
              <w:spacing w:before="96"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1397" w:type="dxa"/>
            <w:vAlign w:val="top"/>
          </w:tcPr>
          <w:p>
            <w:pPr>
              <w:ind w:left="600"/>
              <w:spacing w:before="96"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397" w:type="dxa"/>
            <w:vAlign w:val="top"/>
            <w:tcBorders>
              <w:right w:val="nil"/>
            </w:tcBorders>
          </w:tcPr>
          <w:p>
            <w:pPr>
              <w:ind w:left="593"/>
              <w:spacing w:before="96"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r>
      <w:tr>
        <w:trPr>
          <w:trHeight w:val="312" w:hRule="atLeast"/>
        </w:trPr>
        <w:tc>
          <w:tcPr>
            <w:tcW w:w="1234" w:type="dxa"/>
            <w:vAlign w:val="top"/>
            <w:tcBorders>
              <w:left w:val="nil"/>
            </w:tcBorders>
          </w:tcPr>
          <w:p>
            <w:pPr>
              <w:ind w:left="526"/>
              <w:spacing w:before="100"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p>
        </w:tc>
        <w:tc>
          <w:tcPr>
            <w:tcW w:w="1913" w:type="dxa"/>
            <w:vAlign w:val="top"/>
          </w:tcPr>
          <w:p>
            <w:pPr>
              <w:pStyle w:val="TableText"/>
              <w:ind w:left="651"/>
              <w:spacing w:before="68" w:line="205" w:lineRule="auto"/>
              <w:rPr/>
            </w:pPr>
            <w:r>
              <w:rPr>
                <w:spacing w:val="-3"/>
              </w:rPr>
              <w:t>西场界</w:t>
            </w:r>
          </w:p>
        </w:tc>
        <w:tc>
          <w:tcPr>
            <w:tcW w:w="1397" w:type="dxa"/>
            <w:vAlign w:val="top"/>
          </w:tcPr>
          <w:p>
            <w:pPr>
              <w:ind w:left="518"/>
              <w:spacing w:before="100"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51.4</w:t>
            </w:r>
          </w:p>
        </w:tc>
        <w:tc>
          <w:tcPr>
            <w:tcW w:w="1397" w:type="dxa"/>
            <w:vAlign w:val="top"/>
          </w:tcPr>
          <w:p>
            <w:pPr>
              <w:ind w:left="514"/>
              <w:spacing w:before="100"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42.0</w:t>
            </w:r>
          </w:p>
        </w:tc>
        <w:tc>
          <w:tcPr>
            <w:tcW w:w="1397" w:type="dxa"/>
            <w:vAlign w:val="top"/>
          </w:tcPr>
          <w:p>
            <w:pPr>
              <w:ind w:left="521"/>
              <w:spacing w:before="100"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54.4</w:t>
            </w:r>
          </w:p>
        </w:tc>
        <w:tc>
          <w:tcPr>
            <w:tcW w:w="1397" w:type="dxa"/>
            <w:vAlign w:val="top"/>
            <w:tcBorders>
              <w:right w:val="nil"/>
            </w:tcBorders>
          </w:tcPr>
          <w:p>
            <w:pPr>
              <w:ind w:left="520"/>
              <w:spacing w:before="100"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38.9</w:t>
            </w:r>
          </w:p>
        </w:tc>
      </w:tr>
      <w:tr>
        <w:trPr>
          <w:trHeight w:val="339" w:hRule="atLeast"/>
        </w:trPr>
        <w:tc>
          <w:tcPr>
            <w:tcW w:w="3147" w:type="dxa"/>
            <w:vAlign w:val="top"/>
            <w:gridSpan w:val="2"/>
            <w:tcBorders>
              <w:left w:val="nil"/>
              <w:bottom w:val="single" w:color="000000" w:sz="10" w:space="0"/>
            </w:tcBorders>
          </w:tcPr>
          <w:p>
            <w:pPr>
              <w:pStyle w:val="TableText"/>
              <w:ind w:left="1254"/>
              <w:spacing w:before="72" w:line="221" w:lineRule="auto"/>
              <w:rPr/>
            </w:pPr>
            <w:r>
              <w:rPr>
                <w:spacing w:val="6"/>
              </w:rPr>
              <w:t>标准值</w:t>
            </w:r>
          </w:p>
        </w:tc>
        <w:tc>
          <w:tcPr>
            <w:tcW w:w="1397" w:type="dxa"/>
            <w:vAlign w:val="top"/>
            <w:tcBorders>
              <w:bottom w:val="single" w:color="000000" w:sz="10" w:space="0"/>
            </w:tcBorders>
          </w:tcPr>
          <w:p>
            <w:pPr>
              <w:ind w:left="595"/>
              <w:spacing w:before="105"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397" w:type="dxa"/>
            <w:vAlign w:val="top"/>
            <w:tcBorders>
              <w:bottom w:val="single" w:color="000000" w:sz="10" w:space="0"/>
            </w:tcBorders>
          </w:tcPr>
          <w:p>
            <w:pPr>
              <w:ind w:left="598"/>
              <w:spacing w:before="105"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397" w:type="dxa"/>
            <w:vAlign w:val="top"/>
            <w:tcBorders>
              <w:bottom w:val="single" w:color="000000" w:sz="10" w:space="0"/>
            </w:tcBorders>
          </w:tcPr>
          <w:p>
            <w:pPr>
              <w:ind w:left="598"/>
              <w:spacing w:before="105"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397" w:type="dxa"/>
            <w:vAlign w:val="top"/>
            <w:tcBorders>
              <w:right w:val="nil"/>
              <w:bottom w:val="single" w:color="000000" w:sz="10" w:space="0"/>
            </w:tcBorders>
          </w:tcPr>
          <w:p>
            <w:pPr>
              <w:ind w:left="600"/>
              <w:spacing w:before="105"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r>
    </w:tbl>
    <w:p>
      <w:pPr>
        <w:ind w:left="618"/>
        <w:spacing w:before="112"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）评价标准</w:t>
      </w:r>
    </w:p>
    <w:p>
      <w:pPr>
        <w:ind w:left="132" w:right="88" w:firstLine="481"/>
        <w:spacing w:before="167" w:line="360" w:lineRule="auto"/>
        <w:rPr>
          <w:rFonts w:ascii="SimSun" w:hAnsi="SimSun" w:eastAsia="SimSun" w:cs="SimSun"/>
          <w:sz w:val="24"/>
          <w:szCs w:val="24"/>
        </w:rPr>
      </w:pPr>
      <w:r>
        <w:rPr>
          <w:rFonts w:ascii="SimSun" w:hAnsi="SimSun" w:eastAsia="SimSun" w:cs="SimSun"/>
          <w:sz w:val="24"/>
          <w:szCs w:val="24"/>
          <w:spacing w:val="-2"/>
        </w:rPr>
        <w:t>综合考虑，本项目执行</w:t>
      </w:r>
      <w:r>
        <w:rPr>
          <w:rFonts w:ascii="Times New Roman" w:hAnsi="Times New Roman" w:eastAsia="Times New Roman" w:cs="Times New Roman"/>
          <w:sz w:val="24"/>
          <w:szCs w:val="24"/>
          <w:spacing w:val="-2"/>
        </w:rPr>
        <w:t>1</w:t>
      </w:r>
      <w:r>
        <w:rPr>
          <w:rFonts w:ascii="SimSun" w:hAnsi="SimSun" w:eastAsia="SimSun" w:cs="SimSun"/>
          <w:sz w:val="24"/>
          <w:szCs w:val="24"/>
          <w:spacing w:val="-2"/>
        </w:rPr>
        <w:t>类声环境功能区，根据</w:t>
      </w:r>
      <w:r>
        <w:rPr>
          <w:rFonts w:ascii="Times New Roman" w:hAnsi="Times New Roman" w:eastAsia="Times New Roman" w:cs="Times New Roman"/>
          <w:sz w:val="24"/>
          <w:szCs w:val="24"/>
          <w:spacing w:val="-2"/>
        </w:rPr>
        <w:t>GB15190-2014</w:t>
      </w:r>
      <w:r>
        <w:rPr>
          <w:rFonts w:ascii="SimSun" w:hAnsi="SimSun" w:eastAsia="SimSun" w:cs="SimSun"/>
          <w:sz w:val="24"/>
          <w:szCs w:val="24"/>
          <w:spacing w:val="-2"/>
        </w:rPr>
        <w:t>《城市区</w:t>
      </w:r>
      <w:r>
        <w:rPr>
          <w:rFonts w:ascii="SimSun" w:hAnsi="SimSun" w:eastAsia="SimSun" w:cs="SimSun"/>
          <w:sz w:val="24"/>
          <w:szCs w:val="24"/>
          <w:spacing w:val="-3"/>
        </w:rPr>
        <w:t>域环境</w:t>
      </w:r>
      <w:r>
        <w:rPr>
          <w:rFonts w:ascii="SimSun" w:hAnsi="SimSun" w:eastAsia="SimSun" w:cs="SimSun"/>
          <w:sz w:val="24"/>
          <w:szCs w:val="24"/>
          <w:spacing w:val="-2"/>
        </w:rPr>
        <w:t>噪声适用区划分技术规范》中</w:t>
      </w:r>
      <w:hyperlink w:history="true" r:id="rId47">
        <w:r>
          <w:rPr>
            <w:rFonts w:ascii="Times New Roman" w:hAnsi="Times New Roman" w:eastAsia="Times New Roman" w:cs="Times New Roman"/>
            <w:sz w:val="24"/>
            <w:szCs w:val="24"/>
            <w:spacing w:val="-2"/>
          </w:rPr>
          <w:t>8.3.1.1</w:t>
        </w:r>
      </w:hyperlink>
      <w:r>
        <w:rPr>
          <w:rFonts w:ascii="SimSun" w:hAnsi="SimSun" w:eastAsia="SimSun" w:cs="SimSun"/>
          <w:sz w:val="24"/>
          <w:szCs w:val="24"/>
          <w:spacing w:val="-2"/>
        </w:rPr>
        <w:t>相关内容，将交通干线边界</w:t>
      </w:r>
      <w:r>
        <w:rPr>
          <w:rFonts w:ascii="SimSun" w:hAnsi="SimSun" w:eastAsia="SimSun" w:cs="SimSun"/>
          <w:sz w:val="24"/>
          <w:szCs w:val="24"/>
          <w:spacing w:val="-3"/>
        </w:rPr>
        <w:t>线外一定距离内的</w:t>
      </w:r>
      <w:r>
        <w:rPr>
          <w:rFonts w:ascii="SimSun" w:hAnsi="SimSun" w:eastAsia="SimSun" w:cs="SimSun"/>
          <w:sz w:val="24"/>
          <w:szCs w:val="24"/>
          <w:spacing w:val="2"/>
        </w:rPr>
        <w:t>区域划分为</w:t>
      </w:r>
      <w:r>
        <w:rPr>
          <w:rFonts w:ascii="Times New Roman" w:hAnsi="Times New Roman" w:eastAsia="Times New Roman" w:cs="Times New Roman"/>
          <w:sz w:val="24"/>
          <w:szCs w:val="24"/>
          <w:spacing w:val="2"/>
        </w:rPr>
        <w:t>4a</w:t>
      </w:r>
      <w:r>
        <w:rPr>
          <w:rFonts w:ascii="SimSun" w:hAnsi="SimSun" w:eastAsia="SimSun" w:cs="SimSun"/>
          <w:sz w:val="24"/>
          <w:szCs w:val="24"/>
          <w:spacing w:val="2"/>
        </w:rPr>
        <w:t>类声环境功能区，相邻区域为</w:t>
      </w:r>
      <w:r>
        <w:rPr>
          <w:rFonts w:ascii="Times New Roman" w:hAnsi="Times New Roman" w:eastAsia="Times New Roman" w:cs="Times New Roman"/>
          <w:sz w:val="24"/>
          <w:szCs w:val="24"/>
          <w:spacing w:val="2"/>
        </w:rPr>
        <w:t>1</w:t>
      </w:r>
      <w:r>
        <w:rPr>
          <w:rFonts w:ascii="SimSun" w:hAnsi="SimSun" w:eastAsia="SimSun" w:cs="SimSun"/>
          <w:sz w:val="24"/>
          <w:szCs w:val="24"/>
          <w:spacing w:val="2"/>
        </w:rPr>
        <w:t>类声环境功能区，距离为</w:t>
      </w:r>
      <w:r>
        <w:rPr>
          <w:rFonts w:ascii="Times New Roman" w:hAnsi="Times New Roman" w:eastAsia="Times New Roman" w:cs="Times New Roman"/>
          <w:sz w:val="24"/>
          <w:szCs w:val="24"/>
          <w:spacing w:val="2"/>
        </w:rPr>
        <w:t>50m±5m</w:t>
      </w:r>
      <w:r>
        <w:rPr>
          <w:rFonts w:ascii="SimSun" w:hAnsi="SimSun" w:eastAsia="SimSun" w:cs="SimSun"/>
          <w:sz w:val="24"/>
          <w:szCs w:val="24"/>
          <w:spacing w:val="2"/>
        </w:rPr>
        <w:t>区</w:t>
      </w:r>
      <w:r>
        <w:rPr>
          <w:rFonts w:ascii="SimSun" w:hAnsi="SimSun" w:eastAsia="SimSun" w:cs="SimSun"/>
          <w:sz w:val="24"/>
          <w:szCs w:val="24"/>
          <w:spacing w:val="-2"/>
        </w:rPr>
        <w:t>域执行</w:t>
      </w:r>
      <w:r>
        <w:rPr>
          <w:rFonts w:ascii="Times New Roman" w:hAnsi="Times New Roman" w:eastAsia="Times New Roman" w:cs="Times New Roman"/>
          <w:sz w:val="24"/>
          <w:szCs w:val="24"/>
          <w:spacing w:val="-2"/>
        </w:rPr>
        <w:t>4a</w:t>
      </w:r>
      <w:r>
        <w:rPr>
          <w:rFonts w:ascii="SimSun" w:hAnsi="SimSun" w:eastAsia="SimSun" w:cs="SimSun"/>
          <w:sz w:val="24"/>
          <w:szCs w:val="24"/>
          <w:spacing w:val="-2"/>
        </w:rPr>
        <w:t>类声环境功能区，本项目西侧约</w:t>
      </w:r>
      <w:r>
        <w:rPr>
          <w:rFonts w:ascii="Times New Roman" w:hAnsi="Times New Roman" w:eastAsia="Times New Roman" w:cs="Times New Roman"/>
          <w:sz w:val="24"/>
          <w:szCs w:val="24"/>
          <w:spacing w:val="-2"/>
        </w:rPr>
        <w:t>40m</w:t>
      </w:r>
      <w:r>
        <w:rPr>
          <w:rFonts w:ascii="SimSun" w:hAnsi="SimSun" w:eastAsia="SimSun" w:cs="SimSun"/>
          <w:sz w:val="24"/>
          <w:szCs w:val="24"/>
          <w:spacing w:val="-2"/>
        </w:rPr>
        <w:t>为乌海线公路，属于</w:t>
      </w:r>
      <w:r>
        <w:rPr>
          <w:rFonts w:ascii="SimSun" w:hAnsi="SimSun" w:eastAsia="SimSun" w:cs="SimSun"/>
          <w:sz w:val="24"/>
          <w:szCs w:val="24"/>
          <w:spacing w:val="-3"/>
        </w:rPr>
        <w:t>二级公路，故项</w:t>
      </w:r>
      <w:r>
        <w:rPr>
          <w:rFonts w:ascii="SimSun" w:hAnsi="SimSun" w:eastAsia="SimSun" w:cs="SimSun"/>
          <w:sz w:val="24"/>
          <w:szCs w:val="24"/>
          <w:spacing w:val="-1"/>
        </w:rPr>
        <w:t>目场界西侧执行</w:t>
      </w:r>
      <w:r>
        <w:rPr>
          <w:rFonts w:ascii="Times New Roman" w:hAnsi="Times New Roman" w:eastAsia="Times New Roman" w:cs="Times New Roman"/>
          <w:sz w:val="24"/>
          <w:szCs w:val="24"/>
          <w:spacing w:val="-1"/>
        </w:rPr>
        <w:t>GB3096-2008</w:t>
      </w:r>
      <w:r>
        <w:rPr>
          <w:rFonts w:ascii="SimSun" w:hAnsi="SimSun" w:eastAsia="SimSun" w:cs="SimSun"/>
          <w:sz w:val="24"/>
          <w:szCs w:val="24"/>
          <w:spacing w:val="-1"/>
        </w:rPr>
        <w:t>《声环境质量标准》中</w:t>
      </w:r>
      <w:r>
        <w:rPr>
          <w:rFonts w:ascii="Times New Roman" w:hAnsi="Times New Roman" w:eastAsia="Times New Roman" w:cs="Times New Roman"/>
          <w:sz w:val="24"/>
          <w:szCs w:val="24"/>
          <w:spacing w:val="-1"/>
        </w:rPr>
        <w:t>4a</w:t>
      </w:r>
      <w:r>
        <w:rPr>
          <w:rFonts w:ascii="SimSun" w:hAnsi="SimSun" w:eastAsia="SimSun" w:cs="SimSun"/>
          <w:sz w:val="24"/>
          <w:szCs w:val="24"/>
          <w:spacing w:val="-1"/>
        </w:rPr>
        <w:t>类声环境功能区</w:t>
      </w:r>
      <w:r>
        <w:rPr>
          <w:rFonts w:ascii="SimSun" w:hAnsi="SimSun" w:eastAsia="SimSun" w:cs="SimSun"/>
          <w:sz w:val="24"/>
          <w:szCs w:val="24"/>
          <w:spacing w:val="-2"/>
        </w:rPr>
        <w:t>，场区东、</w:t>
      </w:r>
      <w:r>
        <w:rPr>
          <w:rFonts w:ascii="SimSun" w:hAnsi="SimSun" w:eastAsia="SimSun" w:cs="SimSun"/>
          <w:sz w:val="24"/>
          <w:szCs w:val="24"/>
          <w:spacing w:val="-1"/>
        </w:rPr>
        <w:t>南及北侧环境噪声执行</w:t>
      </w:r>
      <w:r>
        <w:rPr>
          <w:rFonts w:ascii="Times New Roman" w:hAnsi="Times New Roman" w:eastAsia="Times New Roman" w:cs="Times New Roman"/>
          <w:sz w:val="24"/>
          <w:szCs w:val="24"/>
          <w:spacing w:val="-1"/>
        </w:rPr>
        <w:t>GB3096-2008</w:t>
      </w:r>
      <w:r>
        <w:rPr>
          <w:rFonts w:ascii="SimSun" w:hAnsi="SimSun" w:eastAsia="SimSun" w:cs="SimSun"/>
          <w:sz w:val="24"/>
          <w:szCs w:val="24"/>
          <w:spacing w:val="-1"/>
        </w:rPr>
        <w:t>《声环境质量标准》中</w:t>
      </w:r>
      <w:r>
        <w:rPr>
          <w:rFonts w:ascii="Times New Roman" w:hAnsi="Times New Roman" w:eastAsia="Times New Roman" w:cs="Times New Roman"/>
          <w:sz w:val="24"/>
          <w:szCs w:val="24"/>
          <w:spacing w:val="-1"/>
        </w:rPr>
        <w:t>1</w:t>
      </w:r>
      <w:r>
        <w:rPr>
          <w:rFonts w:ascii="SimSun" w:hAnsi="SimSun" w:eastAsia="SimSun" w:cs="SimSun"/>
          <w:sz w:val="24"/>
          <w:szCs w:val="24"/>
          <w:spacing w:val="-1"/>
        </w:rPr>
        <w:t>类区标</w:t>
      </w:r>
      <w:r>
        <w:rPr>
          <w:rFonts w:ascii="SimSun" w:hAnsi="SimSun" w:eastAsia="SimSun" w:cs="SimSun"/>
          <w:sz w:val="24"/>
          <w:szCs w:val="24"/>
          <w:spacing w:val="-2"/>
        </w:rPr>
        <w:t>准。</w:t>
      </w:r>
    </w:p>
    <w:p>
      <w:pPr>
        <w:ind w:left="618"/>
        <w:spacing w:before="1" w:line="231"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）评价结果</w:t>
      </w:r>
    </w:p>
    <w:p>
      <w:pPr>
        <w:ind w:left="131" w:right="105" w:firstLine="478"/>
        <w:spacing w:before="167" w:line="357" w:lineRule="auto"/>
        <w:rPr>
          <w:rFonts w:ascii="SimSun" w:hAnsi="SimSun" w:eastAsia="SimSun" w:cs="SimSun"/>
          <w:sz w:val="24"/>
          <w:szCs w:val="24"/>
        </w:rPr>
      </w:pPr>
      <w:r>
        <w:rPr>
          <w:rFonts w:ascii="SimSun" w:hAnsi="SimSun" w:eastAsia="SimSun" w:cs="SimSun"/>
          <w:sz w:val="24"/>
          <w:szCs w:val="24"/>
          <w:spacing w:val="3"/>
        </w:rPr>
        <w:t>采用直接比较的方法评价噪声现状达标情况，</w:t>
      </w:r>
      <w:r>
        <w:rPr>
          <w:rFonts w:ascii="SimSun" w:hAnsi="SimSun" w:eastAsia="SimSun" w:cs="SimSun"/>
          <w:sz w:val="24"/>
          <w:szCs w:val="24"/>
          <w:spacing w:val="2"/>
        </w:rPr>
        <w:t>各监测点的等效声级均能够满</w:t>
      </w:r>
      <w:r>
        <w:rPr>
          <w:rFonts w:ascii="SimSun" w:hAnsi="SimSun" w:eastAsia="SimSun" w:cs="SimSun"/>
          <w:sz w:val="24"/>
          <w:szCs w:val="24"/>
          <w:spacing w:val="1"/>
        </w:rPr>
        <w:t>足</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3096-2008</w:t>
      </w:r>
      <w:r>
        <w:rPr>
          <w:rFonts w:ascii="SimSun" w:hAnsi="SimSun" w:eastAsia="SimSun" w:cs="SimSun"/>
          <w:sz w:val="24"/>
          <w:szCs w:val="24"/>
          <w:spacing w:val="1"/>
        </w:rPr>
        <w:t>《声环境质量标准》中</w:t>
      </w:r>
      <w:r>
        <w:rPr>
          <w:rFonts w:ascii="Times New Roman" w:hAnsi="Times New Roman" w:eastAsia="Times New Roman" w:cs="Times New Roman"/>
          <w:sz w:val="24"/>
          <w:szCs w:val="24"/>
          <w:spacing w:val="1"/>
        </w:rPr>
        <w:t>1</w:t>
      </w:r>
      <w:r>
        <w:rPr>
          <w:rFonts w:ascii="SimSun" w:hAnsi="SimSun" w:eastAsia="SimSun" w:cs="SimSun"/>
          <w:sz w:val="24"/>
          <w:szCs w:val="24"/>
          <w:spacing w:val="1"/>
        </w:rPr>
        <w:t>类区及</w:t>
      </w:r>
      <w:r>
        <w:rPr>
          <w:rFonts w:ascii="Times New Roman" w:hAnsi="Times New Roman" w:eastAsia="Times New Roman" w:cs="Times New Roman"/>
          <w:sz w:val="24"/>
          <w:szCs w:val="24"/>
          <w:spacing w:val="1"/>
        </w:rPr>
        <w:t>4a</w:t>
      </w:r>
      <w:r>
        <w:rPr>
          <w:rFonts w:ascii="SimSun" w:hAnsi="SimSun" w:eastAsia="SimSun" w:cs="SimSun"/>
          <w:sz w:val="24"/>
          <w:szCs w:val="24"/>
          <w:spacing w:val="1"/>
        </w:rPr>
        <w:t>类区的标准限值，说明区域内声</w:t>
      </w:r>
      <w:r>
        <w:rPr>
          <w:rFonts w:ascii="SimSun" w:hAnsi="SimSun" w:eastAsia="SimSun" w:cs="SimSun"/>
          <w:sz w:val="24"/>
          <w:szCs w:val="24"/>
          <w:spacing w:val="-5"/>
        </w:rPr>
        <w:t>环境质量现状较好。</w:t>
      </w:r>
    </w:p>
    <w:p>
      <w:pPr>
        <w:ind w:left="128"/>
        <w:spacing w:before="272"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4.2.4 </w:t>
      </w:r>
      <w:r>
        <w:rPr>
          <w:rFonts w:ascii="SimSun" w:hAnsi="SimSun" w:eastAsia="SimSun" w:cs="SimSun"/>
          <w:sz w:val="24"/>
          <w:szCs w:val="24"/>
          <w:b/>
          <w:bCs/>
          <w:spacing w:val="-2"/>
        </w:rPr>
        <w:t>土壤环境质量现状评价</w:t>
      </w:r>
    </w:p>
    <w:p>
      <w:pPr>
        <w:pStyle w:val="BodyText"/>
        <w:spacing w:line="264" w:lineRule="auto"/>
        <w:rPr/>
      </w:pPr>
      <w:r/>
    </w:p>
    <w:p>
      <w:pPr>
        <w:ind w:left="612"/>
        <w:spacing w:before="79" w:line="219" w:lineRule="auto"/>
        <w:rPr>
          <w:rFonts w:ascii="SimSun" w:hAnsi="SimSun" w:eastAsia="SimSun" w:cs="SimSun"/>
          <w:sz w:val="24"/>
          <w:szCs w:val="24"/>
        </w:rPr>
      </w:pPr>
      <w:r>
        <w:rPr>
          <w:rFonts w:ascii="SimSun" w:hAnsi="SimSun" w:eastAsia="SimSun" w:cs="SimSun"/>
          <w:sz w:val="24"/>
          <w:szCs w:val="24"/>
          <w:spacing w:val="-2"/>
        </w:rPr>
        <w:t>本项目土壤环境质量现状监测在场区布设三个监测点位。</w:t>
      </w:r>
    </w:p>
    <w:p>
      <w:pPr>
        <w:ind w:left="618"/>
        <w:spacing w:before="183" w:line="23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）监测点位</w:t>
      </w:r>
    </w:p>
    <w:p>
      <w:pPr>
        <w:ind w:left="130" w:right="39" w:firstLine="484"/>
        <w:spacing w:before="161" w:line="351" w:lineRule="auto"/>
        <w:rPr>
          <w:rFonts w:ascii="SimSun" w:hAnsi="SimSun" w:eastAsia="SimSun" w:cs="SimSun"/>
          <w:sz w:val="24"/>
          <w:szCs w:val="24"/>
        </w:rPr>
      </w:pPr>
      <w:r>
        <w:rPr>
          <w:rFonts w:ascii="SimSun" w:hAnsi="SimSun" w:eastAsia="SimSun" w:cs="SimSun"/>
          <w:sz w:val="24"/>
          <w:szCs w:val="24"/>
          <w:spacing w:val="-8"/>
        </w:rPr>
        <w:t>项目土壤评价等级为三级，在项目场内布设了</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8"/>
        </w:rPr>
        <w:t>3</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8"/>
        </w:rPr>
        <w:t>处土壤表层样（</w:t>
      </w:r>
      <w:r>
        <w:rPr>
          <w:rFonts w:ascii="Times New Roman" w:hAnsi="Times New Roman" w:eastAsia="Times New Roman" w:cs="Times New Roman"/>
          <w:sz w:val="24"/>
          <w:szCs w:val="24"/>
          <w:spacing w:val="-8"/>
        </w:rPr>
        <w:t>0-0.2m</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8"/>
        </w:rPr>
        <w:t>取样</w:t>
      </w:r>
      <w:r>
        <w:rPr>
          <w:rFonts w:ascii="SimSun" w:hAnsi="SimSun" w:eastAsia="SimSun" w:cs="SimSun"/>
          <w:sz w:val="24"/>
          <w:szCs w:val="24"/>
          <w:spacing w:val="-48"/>
        </w:rPr>
        <w:t>），</w:t>
      </w:r>
      <w:r>
        <w:rPr>
          <w:rFonts w:ascii="SimSun" w:hAnsi="SimSun" w:eastAsia="SimSun" w:cs="SimSun"/>
          <w:sz w:val="24"/>
          <w:szCs w:val="24"/>
          <w:spacing w:val="-1"/>
        </w:rPr>
        <w:t>对其土壤进行了监测，监测点位见监测布点图。</w:t>
      </w:r>
    </w:p>
    <w:p>
      <w:pPr>
        <w:ind w:left="1842"/>
        <w:spacing w:before="20"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4-13    </w:t>
      </w:r>
      <w:r>
        <w:rPr>
          <w:rFonts w:ascii="SimSun" w:hAnsi="SimSun" w:eastAsia="SimSun" w:cs="SimSun"/>
          <w:sz w:val="24"/>
          <w:szCs w:val="24"/>
          <w:b/>
          <w:bCs/>
          <w:spacing w:val="-2"/>
        </w:rPr>
        <w:t>土壤质量现状监测点位布设情况一览表</w:t>
      </w:r>
    </w:p>
    <w:p>
      <w:pPr>
        <w:spacing w:line="132" w:lineRule="exact"/>
        <w:rPr/>
      </w:pPr>
      <w:r/>
    </w:p>
    <w:tbl>
      <w:tblPr>
        <w:tblStyle w:val="TableNormal"/>
        <w:tblW w:w="873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9"/>
        <w:gridCol w:w="2441"/>
        <w:gridCol w:w="2864"/>
        <w:gridCol w:w="2079"/>
      </w:tblGrid>
      <w:tr>
        <w:trPr>
          <w:trHeight w:val="314" w:hRule="atLeast"/>
        </w:trPr>
        <w:tc>
          <w:tcPr>
            <w:tcW w:w="1349" w:type="dxa"/>
            <w:vAlign w:val="top"/>
            <w:tcBorders>
              <w:left w:val="nil"/>
              <w:top w:val="single" w:color="000000" w:sz="10" w:space="0"/>
            </w:tcBorders>
          </w:tcPr>
          <w:p>
            <w:pPr>
              <w:pStyle w:val="TableText"/>
              <w:ind w:left="480"/>
              <w:spacing w:before="52" w:line="221" w:lineRule="auto"/>
              <w:rPr/>
            </w:pPr>
            <w:r>
              <w:rPr>
                <w:b/>
                <w:bCs/>
                <w:spacing w:val="-5"/>
              </w:rPr>
              <w:t>编号</w:t>
            </w:r>
          </w:p>
        </w:tc>
        <w:tc>
          <w:tcPr>
            <w:tcW w:w="2441" w:type="dxa"/>
            <w:vAlign w:val="top"/>
            <w:tcBorders>
              <w:top w:val="single" w:color="000000" w:sz="10" w:space="0"/>
            </w:tcBorders>
          </w:tcPr>
          <w:p>
            <w:pPr>
              <w:pStyle w:val="TableText"/>
              <w:ind w:left="816"/>
              <w:spacing w:before="52" w:line="221" w:lineRule="auto"/>
              <w:rPr/>
            </w:pPr>
            <w:r>
              <w:rPr>
                <w:b/>
                <w:bCs/>
                <w:spacing w:val="-5"/>
              </w:rPr>
              <w:t>点位描述</w:t>
            </w:r>
          </w:p>
        </w:tc>
        <w:tc>
          <w:tcPr>
            <w:tcW w:w="2864" w:type="dxa"/>
            <w:vAlign w:val="top"/>
            <w:tcBorders>
              <w:top w:val="single" w:color="000000" w:sz="10" w:space="0"/>
            </w:tcBorders>
          </w:tcPr>
          <w:p>
            <w:pPr>
              <w:pStyle w:val="TableText"/>
              <w:ind w:left="1226"/>
              <w:spacing w:before="52" w:line="221" w:lineRule="auto"/>
              <w:rPr/>
            </w:pPr>
            <w:r>
              <w:rPr>
                <w:b/>
                <w:bCs/>
                <w:spacing w:val="-4"/>
              </w:rPr>
              <w:t>坐标</w:t>
            </w:r>
          </w:p>
        </w:tc>
        <w:tc>
          <w:tcPr>
            <w:tcW w:w="2079" w:type="dxa"/>
            <w:vAlign w:val="top"/>
            <w:tcBorders>
              <w:right w:val="nil"/>
              <w:top w:val="single" w:color="000000" w:sz="10" w:space="0"/>
            </w:tcBorders>
          </w:tcPr>
          <w:p>
            <w:pPr>
              <w:pStyle w:val="TableText"/>
              <w:ind w:left="836"/>
              <w:spacing w:before="52" w:line="221" w:lineRule="auto"/>
              <w:rPr/>
            </w:pPr>
            <w:r>
              <w:rPr>
                <w:b/>
                <w:bCs/>
                <w:spacing w:val="-5"/>
              </w:rPr>
              <w:t>备注</w:t>
            </w:r>
          </w:p>
        </w:tc>
      </w:tr>
      <w:tr>
        <w:trPr>
          <w:trHeight w:val="621" w:hRule="atLeast"/>
        </w:trPr>
        <w:tc>
          <w:tcPr>
            <w:tcW w:w="1349" w:type="dxa"/>
            <w:vAlign w:val="top"/>
            <w:tcBorders>
              <w:left w:val="nil"/>
            </w:tcBorders>
          </w:tcPr>
          <w:p>
            <w:pPr>
              <w:ind w:left="600"/>
              <w:spacing w:before="23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w:t>
            </w:r>
          </w:p>
        </w:tc>
        <w:tc>
          <w:tcPr>
            <w:tcW w:w="2441" w:type="dxa"/>
            <w:vAlign w:val="top"/>
          </w:tcPr>
          <w:p>
            <w:pPr>
              <w:pStyle w:val="TableText"/>
              <w:ind w:left="699"/>
              <w:spacing w:before="211" w:line="220" w:lineRule="auto"/>
              <w:rPr/>
            </w:pPr>
            <w:r>
              <w:rPr>
                <w:spacing w:val="-1"/>
              </w:rPr>
              <w:t>拟建粪污区</w:t>
            </w:r>
          </w:p>
        </w:tc>
        <w:tc>
          <w:tcPr>
            <w:tcW w:w="2864" w:type="dxa"/>
            <w:vAlign w:val="top"/>
          </w:tcPr>
          <w:p>
            <w:pPr>
              <w:pStyle w:val="TableText"/>
              <w:ind w:left="824" w:right="267" w:hanging="556"/>
              <w:spacing w:before="55" w:line="259" w:lineRule="auto"/>
              <w:rPr>
                <w:rFonts w:ascii="Times New Roman" w:hAnsi="Times New Roman" w:eastAsia="Times New Roman" w:cs="Times New Roman"/>
              </w:rPr>
            </w:pPr>
            <w:r>
              <w:rPr>
                <w:spacing w:val="-4"/>
              </w:rPr>
              <w:t>东经</w:t>
            </w:r>
            <w:r>
              <w:rPr>
                <w:rFonts w:ascii="Times New Roman" w:hAnsi="Times New Roman" w:eastAsia="Times New Roman" w:cs="Times New Roman"/>
                <w:spacing w:val="-4"/>
              </w:rPr>
              <w:t>116°11′56.748</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w:t>
            </w:r>
            <w:r>
              <w:rPr>
                <w:spacing w:val="-4"/>
              </w:rPr>
              <w:t>，北纬</w:t>
            </w:r>
            <w:r>
              <w:rPr>
                <w:rFonts w:ascii="Times New Roman" w:hAnsi="Times New Roman" w:eastAsia="Times New Roman" w:cs="Times New Roman"/>
                <w:spacing w:val="-1"/>
              </w:rPr>
              <w:t>43°56′36.960</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w:t>
            </w:r>
          </w:p>
        </w:tc>
        <w:tc>
          <w:tcPr>
            <w:tcW w:w="2079" w:type="dxa"/>
            <w:vAlign w:val="top"/>
            <w:tcBorders>
              <w:right w:val="nil"/>
            </w:tcBorders>
          </w:tcPr>
          <w:p>
            <w:pPr>
              <w:pStyle w:val="TableText"/>
              <w:ind w:left="540" w:right="408" w:hanging="127"/>
              <w:spacing w:before="55" w:line="244" w:lineRule="auto"/>
              <w:rPr/>
            </w:pPr>
            <w:r>
              <w:rPr>
                <w:spacing w:val="-1"/>
              </w:rPr>
              <w:t>场区内表层土</w:t>
            </w:r>
            <w:r>
              <w:rPr>
                <w:spacing w:val="-2"/>
              </w:rPr>
              <w:t>（</w:t>
            </w:r>
            <w:r>
              <w:rPr>
                <w:rFonts w:ascii="Times New Roman" w:hAnsi="Times New Roman" w:eastAsia="Times New Roman" w:cs="Times New Roman"/>
                <w:spacing w:val="-2"/>
              </w:rPr>
              <w:t>0-0.2m</w:t>
            </w:r>
            <w:r>
              <w:rPr>
                <w:spacing w:val="-2"/>
              </w:rPr>
              <w:t>）</w:t>
            </w:r>
          </w:p>
        </w:tc>
      </w:tr>
      <w:tr>
        <w:trPr>
          <w:trHeight w:val="622" w:hRule="atLeast"/>
        </w:trPr>
        <w:tc>
          <w:tcPr>
            <w:tcW w:w="1349" w:type="dxa"/>
            <w:vAlign w:val="top"/>
            <w:tcBorders>
              <w:left w:val="nil"/>
            </w:tcBorders>
          </w:tcPr>
          <w:p>
            <w:pPr>
              <w:ind w:left="580"/>
              <w:spacing w:before="24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w:t>
            </w:r>
          </w:p>
        </w:tc>
        <w:tc>
          <w:tcPr>
            <w:tcW w:w="2441" w:type="dxa"/>
            <w:vAlign w:val="top"/>
          </w:tcPr>
          <w:p>
            <w:pPr>
              <w:pStyle w:val="TableText"/>
              <w:ind w:left="699"/>
              <w:spacing w:before="218" w:line="220" w:lineRule="auto"/>
              <w:rPr/>
            </w:pPr>
            <w:r>
              <w:rPr>
                <w:spacing w:val="-1"/>
              </w:rPr>
              <w:t>拟建生活区</w:t>
            </w:r>
          </w:p>
        </w:tc>
        <w:tc>
          <w:tcPr>
            <w:tcW w:w="2864" w:type="dxa"/>
            <w:vAlign w:val="top"/>
          </w:tcPr>
          <w:p>
            <w:pPr>
              <w:pStyle w:val="TableText"/>
              <w:ind w:left="824" w:right="267" w:hanging="556"/>
              <w:spacing w:before="63" w:line="256" w:lineRule="auto"/>
              <w:rPr>
                <w:rFonts w:ascii="Times New Roman" w:hAnsi="Times New Roman" w:eastAsia="Times New Roman" w:cs="Times New Roman"/>
              </w:rPr>
            </w:pPr>
            <w:r>
              <w:rPr>
                <w:spacing w:val="-4"/>
              </w:rPr>
              <w:t>东经</w:t>
            </w:r>
            <w:r>
              <w:rPr>
                <w:rFonts w:ascii="Times New Roman" w:hAnsi="Times New Roman" w:eastAsia="Times New Roman" w:cs="Times New Roman"/>
                <w:spacing w:val="-4"/>
              </w:rPr>
              <w:t>116°11′45.596</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w:t>
            </w:r>
            <w:r>
              <w:rPr>
                <w:spacing w:val="-4"/>
              </w:rPr>
              <w:t>，北纬</w:t>
            </w:r>
            <w:r>
              <w:rPr>
                <w:rFonts w:ascii="Times New Roman" w:hAnsi="Times New Roman" w:eastAsia="Times New Roman" w:cs="Times New Roman"/>
                <w:spacing w:val="-1"/>
              </w:rPr>
              <w:t>43°56′36.127</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w:t>
            </w:r>
          </w:p>
        </w:tc>
        <w:tc>
          <w:tcPr>
            <w:tcW w:w="2079" w:type="dxa"/>
            <w:vAlign w:val="top"/>
            <w:tcBorders>
              <w:right w:val="nil"/>
            </w:tcBorders>
          </w:tcPr>
          <w:p>
            <w:pPr>
              <w:pStyle w:val="TableText"/>
              <w:ind w:left="540" w:right="408" w:hanging="127"/>
              <w:spacing w:before="63" w:line="241" w:lineRule="auto"/>
              <w:rPr/>
            </w:pPr>
            <w:r>
              <w:rPr>
                <w:spacing w:val="-1"/>
              </w:rPr>
              <w:t>场区内表层土</w:t>
            </w:r>
            <w:r>
              <w:rPr>
                <w:spacing w:val="-2"/>
              </w:rPr>
              <w:t>（</w:t>
            </w:r>
            <w:r>
              <w:rPr>
                <w:rFonts w:ascii="Times New Roman" w:hAnsi="Times New Roman" w:eastAsia="Times New Roman" w:cs="Times New Roman"/>
                <w:spacing w:val="-2"/>
              </w:rPr>
              <w:t>0-0.2m</w:t>
            </w:r>
            <w:r>
              <w:rPr>
                <w:spacing w:val="-2"/>
              </w:rPr>
              <w:t>）</w:t>
            </w:r>
          </w:p>
        </w:tc>
      </w:tr>
      <w:tr>
        <w:trPr>
          <w:trHeight w:val="648" w:hRule="atLeast"/>
        </w:trPr>
        <w:tc>
          <w:tcPr>
            <w:tcW w:w="1349" w:type="dxa"/>
            <w:vAlign w:val="top"/>
            <w:tcBorders>
              <w:left w:val="nil"/>
              <w:bottom w:val="single" w:color="000000" w:sz="10" w:space="0"/>
            </w:tcBorders>
          </w:tcPr>
          <w:p>
            <w:pPr>
              <w:ind w:left="584"/>
              <w:spacing w:before="25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w:t>
            </w:r>
          </w:p>
        </w:tc>
        <w:tc>
          <w:tcPr>
            <w:tcW w:w="2441" w:type="dxa"/>
            <w:vAlign w:val="top"/>
            <w:tcBorders>
              <w:bottom w:val="single" w:color="000000" w:sz="10" w:space="0"/>
            </w:tcBorders>
          </w:tcPr>
          <w:p>
            <w:pPr>
              <w:pStyle w:val="TableText"/>
              <w:ind w:left="805"/>
              <w:spacing w:before="227" w:line="220" w:lineRule="auto"/>
              <w:rPr/>
            </w:pPr>
            <w:r>
              <w:rPr>
                <w:spacing w:val="-2"/>
              </w:rPr>
              <w:t>拟建牛舍</w:t>
            </w:r>
          </w:p>
        </w:tc>
        <w:tc>
          <w:tcPr>
            <w:tcW w:w="2864" w:type="dxa"/>
            <w:vAlign w:val="top"/>
            <w:tcBorders>
              <w:bottom w:val="single" w:color="000000" w:sz="10" w:space="0"/>
            </w:tcBorders>
          </w:tcPr>
          <w:p>
            <w:pPr>
              <w:pStyle w:val="TableText"/>
              <w:ind w:left="824" w:right="267" w:hanging="556"/>
              <w:spacing w:before="72" w:line="264" w:lineRule="auto"/>
              <w:rPr>
                <w:rFonts w:ascii="Times New Roman" w:hAnsi="Times New Roman" w:eastAsia="Times New Roman" w:cs="Times New Roman"/>
              </w:rPr>
            </w:pPr>
            <w:r>
              <w:rPr>
                <w:spacing w:val="-4"/>
              </w:rPr>
              <w:t>东经</w:t>
            </w:r>
            <w:r>
              <w:rPr>
                <w:rFonts w:ascii="Times New Roman" w:hAnsi="Times New Roman" w:eastAsia="Times New Roman" w:cs="Times New Roman"/>
                <w:spacing w:val="-4"/>
              </w:rPr>
              <w:t>116°11′45.982</w:t>
            </w:r>
            <w:r>
              <w:rPr>
                <w:rFonts w:ascii="Times New Roman" w:hAnsi="Times New Roman" w:eastAsia="Times New Roman" w:cs="Times New Roman"/>
                <w:spacing w:val="-24"/>
              </w:rPr>
              <w:t xml:space="preserve"> </w:t>
            </w:r>
            <w:r>
              <w:rPr>
                <w:rFonts w:ascii="Times New Roman" w:hAnsi="Times New Roman" w:eastAsia="Times New Roman" w:cs="Times New Roman"/>
                <w:spacing w:val="-4"/>
              </w:rPr>
              <w:t>″</w:t>
            </w:r>
            <w:r>
              <w:rPr>
                <w:spacing w:val="-4"/>
              </w:rPr>
              <w:t>，北纬</w:t>
            </w:r>
            <w:r>
              <w:rPr>
                <w:rFonts w:ascii="Times New Roman" w:hAnsi="Times New Roman" w:eastAsia="Times New Roman" w:cs="Times New Roman"/>
                <w:spacing w:val="-1"/>
              </w:rPr>
              <w:t>43°56′39.990</w:t>
            </w:r>
            <w:r>
              <w:rPr>
                <w:rFonts w:ascii="Times New Roman" w:hAnsi="Times New Roman" w:eastAsia="Times New Roman" w:cs="Times New Roman"/>
                <w:spacing w:val="-27"/>
              </w:rPr>
              <w:t xml:space="preserve"> </w:t>
            </w:r>
            <w:r>
              <w:rPr>
                <w:rFonts w:ascii="Times New Roman" w:hAnsi="Times New Roman" w:eastAsia="Times New Roman" w:cs="Times New Roman"/>
                <w:spacing w:val="-1"/>
              </w:rPr>
              <w:t>″</w:t>
            </w:r>
          </w:p>
        </w:tc>
        <w:tc>
          <w:tcPr>
            <w:tcW w:w="2079" w:type="dxa"/>
            <w:vAlign w:val="top"/>
            <w:tcBorders>
              <w:right w:val="nil"/>
              <w:bottom w:val="single" w:color="000000" w:sz="10" w:space="0"/>
            </w:tcBorders>
          </w:tcPr>
          <w:p>
            <w:pPr>
              <w:pStyle w:val="TableText"/>
              <w:ind w:left="540" w:right="408" w:hanging="127"/>
              <w:spacing w:before="71" w:line="249" w:lineRule="auto"/>
              <w:rPr/>
            </w:pPr>
            <w:r>
              <w:rPr>
                <w:spacing w:val="-1"/>
              </w:rPr>
              <w:t>场区内表层土</w:t>
            </w:r>
            <w:r>
              <w:rPr>
                <w:spacing w:val="-2"/>
              </w:rPr>
              <w:t>（</w:t>
            </w:r>
            <w:r>
              <w:rPr>
                <w:rFonts w:ascii="Times New Roman" w:hAnsi="Times New Roman" w:eastAsia="Times New Roman" w:cs="Times New Roman"/>
                <w:spacing w:val="-2"/>
              </w:rPr>
              <w:t>0-0.2m</w:t>
            </w:r>
            <w:r>
              <w:rPr>
                <w:spacing w:val="-2"/>
              </w:rPr>
              <w:t>）</w:t>
            </w:r>
          </w:p>
        </w:tc>
      </w:tr>
    </w:tbl>
    <w:p>
      <w:pPr>
        <w:ind w:left="618"/>
        <w:spacing w:before="34" w:line="234"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2</w:t>
      </w:r>
      <w:r>
        <w:rPr>
          <w:rFonts w:ascii="SimSun" w:hAnsi="SimSun" w:eastAsia="SimSun" w:cs="SimSun"/>
          <w:sz w:val="24"/>
          <w:szCs w:val="24"/>
          <w:spacing w:val="-8"/>
        </w:rPr>
        <w:t>）监测项目</w:t>
      </w:r>
    </w:p>
    <w:p>
      <w:pPr>
        <w:spacing w:line="234" w:lineRule="auto"/>
        <w:sectPr>
          <w:footerReference w:type="default" r:id="rId111"/>
          <w:pgSz w:w="11907" w:h="16839"/>
          <w:pgMar w:top="1582" w:right="1591" w:bottom="1235" w:left="1579" w:header="1241" w:footer="992" w:gutter="0"/>
        </w:sectPr>
        <w:rPr>
          <w:rFonts w:ascii="SimSun" w:hAnsi="SimSun" w:eastAsia="SimSun" w:cs="SimSun"/>
          <w:sz w:val="24"/>
          <w:szCs w:val="24"/>
        </w:rPr>
      </w:pPr>
    </w:p>
    <w:p>
      <w:pPr>
        <w:ind w:left="612"/>
        <w:spacing w:before="153" w:line="213" w:lineRule="auto"/>
        <w:rPr>
          <w:rFonts w:ascii="SimSun" w:hAnsi="SimSun" w:eastAsia="SimSun" w:cs="SimSun"/>
          <w:sz w:val="24"/>
          <w:szCs w:val="24"/>
        </w:rPr>
      </w:pPr>
      <w:r>
        <w:rPr>
          <w:rFonts w:ascii="SimSun" w:hAnsi="SimSun" w:eastAsia="SimSun" w:cs="SimSun"/>
          <w:sz w:val="24"/>
          <w:szCs w:val="24"/>
          <w:spacing w:val="-2"/>
        </w:rPr>
        <w:t>监测因子：</w:t>
      </w:r>
      <w:r>
        <w:rPr>
          <w:rFonts w:ascii="Times New Roman" w:hAnsi="Times New Roman" w:eastAsia="Times New Roman" w:cs="Times New Roman"/>
          <w:sz w:val="24"/>
          <w:szCs w:val="24"/>
          <w:spacing w:val="-2"/>
        </w:rPr>
        <w:t>pH</w:t>
      </w:r>
      <w:r>
        <w:rPr>
          <w:rFonts w:ascii="SimSun" w:hAnsi="SimSun" w:eastAsia="SimSun" w:cs="SimSun"/>
          <w:sz w:val="24"/>
          <w:szCs w:val="24"/>
          <w:spacing w:val="-2"/>
        </w:rPr>
        <w:t>、镉、铅、汞、砷、铜、铬、镍、锌。</w:t>
      </w:r>
    </w:p>
    <w:p>
      <w:pPr>
        <w:ind w:left="618"/>
        <w:spacing w:before="189"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）监测单位及监测时间</w:t>
      </w:r>
    </w:p>
    <w:p>
      <w:pPr>
        <w:ind w:left="610"/>
        <w:spacing w:before="163" w:line="233" w:lineRule="auto"/>
        <w:rPr>
          <w:rFonts w:ascii="SimSun" w:hAnsi="SimSun" w:eastAsia="SimSun" w:cs="SimSun"/>
          <w:sz w:val="24"/>
          <w:szCs w:val="24"/>
        </w:rPr>
      </w:pPr>
      <w:r>
        <w:rPr>
          <w:rFonts w:ascii="SimSun" w:hAnsi="SimSun" w:eastAsia="SimSun" w:cs="SimSun"/>
          <w:sz w:val="24"/>
          <w:szCs w:val="24"/>
          <w:spacing w:val="-4"/>
        </w:rPr>
        <w:t>锡林郭勒盟中兴德环保科技有限公司于</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4"/>
        </w:rPr>
        <w:t>2025 </w:t>
      </w:r>
      <w:r>
        <w:rPr>
          <w:rFonts w:ascii="SimSun" w:hAnsi="SimSun" w:eastAsia="SimSun" w:cs="SimSun"/>
          <w:sz w:val="24"/>
          <w:szCs w:val="24"/>
          <w:spacing w:val="-4"/>
        </w:rPr>
        <w:t>年</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9</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29  </w:t>
      </w:r>
      <w:r>
        <w:rPr>
          <w:rFonts w:ascii="SimSun" w:hAnsi="SimSun" w:eastAsia="SimSun" w:cs="SimSun"/>
          <w:sz w:val="24"/>
          <w:szCs w:val="24"/>
          <w:spacing w:val="-4"/>
        </w:rPr>
        <w:t>日监测。</w:t>
      </w:r>
    </w:p>
    <w:p>
      <w:pPr>
        <w:ind w:left="618"/>
        <w:spacing w:before="162" w:line="23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）监测方法</w:t>
      </w:r>
    </w:p>
    <w:p>
      <w:pPr>
        <w:ind w:left="613"/>
        <w:spacing w:before="163" w:line="233" w:lineRule="auto"/>
        <w:rPr>
          <w:rFonts w:ascii="SimSun" w:hAnsi="SimSun" w:eastAsia="SimSun" w:cs="SimSun"/>
          <w:sz w:val="24"/>
          <w:szCs w:val="24"/>
        </w:rPr>
      </w:pPr>
      <w:r>
        <w:rPr>
          <w:rFonts w:ascii="SimSun" w:hAnsi="SimSun" w:eastAsia="SimSun" w:cs="SimSun"/>
          <w:sz w:val="24"/>
          <w:szCs w:val="24"/>
          <w:spacing w:val="-1"/>
        </w:rPr>
        <w:t>按国家有关标准及环境保护部有关规范执行，详见表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4-14</w:t>
      </w:r>
      <w:r>
        <w:rPr>
          <w:rFonts w:ascii="SimSun" w:hAnsi="SimSun" w:eastAsia="SimSun" w:cs="SimSun"/>
          <w:sz w:val="24"/>
          <w:szCs w:val="24"/>
          <w:spacing w:val="-1"/>
        </w:rPr>
        <w:t>。</w:t>
      </w:r>
    </w:p>
    <w:p>
      <w:pPr>
        <w:ind w:left="2444"/>
        <w:spacing w:before="162"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8"/>
        </w:rPr>
        <w:t xml:space="preserve"> </w:t>
      </w:r>
      <w:r>
        <w:rPr>
          <w:rFonts w:ascii="Times New Roman" w:hAnsi="Times New Roman" w:eastAsia="Times New Roman" w:cs="Times New Roman"/>
          <w:sz w:val="24"/>
          <w:szCs w:val="24"/>
          <w:b/>
          <w:bCs/>
          <w:spacing w:val="-2"/>
        </w:rPr>
        <w:t>4-14    </w:t>
      </w:r>
      <w:r>
        <w:rPr>
          <w:rFonts w:ascii="SimSun" w:hAnsi="SimSun" w:eastAsia="SimSun" w:cs="SimSun"/>
          <w:sz w:val="24"/>
          <w:szCs w:val="24"/>
          <w:b/>
          <w:bCs/>
          <w:spacing w:val="-2"/>
        </w:rPr>
        <w:t>土壤环境现状监测分析方法</w:t>
      </w:r>
    </w:p>
    <w:p>
      <w:pPr>
        <w:spacing w:line="131"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69"/>
        <w:gridCol w:w="1721"/>
        <w:gridCol w:w="3963"/>
        <w:gridCol w:w="2182"/>
      </w:tblGrid>
      <w:tr>
        <w:trPr>
          <w:trHeight w:val="319" w:hRule="atLeast"/>
        </w:trPr>
        <w:tc>
          <w:tcPr>
            <w:tcW w:w="869" w:type="dxa"/>
            <w:vAlign w:val="top"/>
            <w:tcBorders>
              <w:right w:val="single" w:color="000000" w:sz="4" w:space="0"/>
              <w:left w:val="nil"/>
              <w:top w:val="single" w:color="000000" w:sz="10" w:space="0"/>
            </w:tcBorders>
          </w:tcPr>
          <w:p>
            <w:pPr>
              <w:pStyle w:val="TableText"/>
              <w:ind w:left="237"/>
              <w:spacing w:before="55" w:line="222" w:lineRule="auto"/>
              <w:rPr/>
            </w:pPr>
            <w:r>
              <w:rPr>
                <w:b/>
                <w:bCs/>
                <w:spacing w:val="-4"/>
              </w:rPr>
              <w:t>序号</w:t>
            </w:r>
          </w:p>
        </w:tc>
        <w:tc>
          <w:tcPr>
            <w:tcW w:w="1721" w:type="dxa"/>
            <w:vAlign w:val="top"/>
            <w:tcBorders>
              <w:left w:val="single" w:color="000000" w:sz="4" w:space="0"/>
              <w:right w:val="single" w:color="000000" w:sz="4" w:space="0"/>
              <w:top w:val="single" w:color="000000" w:sz="10" w:space="0"/>
            </w:tcBorders>
          </w:tcPr>
          <w:p>
            <w:pPr>
              <w:pStyle w:val="TableText"/>
              <w:ind w:left="232"/>
              <w:spacing w:before="54" w:line="221" w:lineRule="auto"/>
              <w:rPr/>
            </w:pPr>
            <w:r>
              <w:rPr>
                <w:b/>
                <w:bCs/>
                <w:spacing w:val="-3"/>
              </w:rPr>
              <w:t>现状监测因子</w:t>
            </w:r>
          </w:p>
        </w:tc>
        <w:tc>
          <w:tcPr>
            <w:tcW w:w="3963" w:type="dxa"/>
            <w:vAlign w:val="top"/>
            <w:tcBorders>
              <w:left w:val="single" w:color="000000" w:sz="4" w:space="0"/>
              <w:right w:val="single" w:color="000000" w:sz="4" w:space="0"/>
              <w:top w:val="single" w:color="000000" w:sz="10" w:space="0"/>
            </w:tcBorders>
          </w:tcPr>
          <w:p>
            <w:pPr>
              <w:pStyle w:val="TableText"/>
              <w:ind w:left="1561"/>
              <w:spacing w:before="54" w:line="221" w:lineRule="auto"/>
              <w:rPr/>
            </w:pPr>
            <w:r>
              <w:rPr>
                <w:b/>
                <w:bCs/>
                <w:spacing w:val="-3"/>
              </w:rPr>
              <w:t>检测方法</w:t>
            </w:r>
          </w:p>
        </w:tc>
        <w:tc>
          <w:tcPr>
            <w:tcW w:w="2182" w:type="dxa"/>
            <w:vAlign w:val="top"/>
            <w:tcBorders>
              <w:left w:val="single" w:color="000000" w:sz="4" w:space="0"/>
              <w:right w:val="nil"/>
              <w:top w:val="single" w:color="000000" w:sz="10" w:space="0"/>
            </w:tcBorders>
          </w:tcPr>
          <w:p>
            <w:pPr>
              <w:pStyle w:val="TableText"/>
              <w:ind w:left="674"/>
              <w:spacing w:before="54" w:line="221" w:lineRule="auto"/>
              <w:rPr/>
            </w:pPr>
            <w:r>
              <w:rPr>
                <w:b/>
                <w:bCs/>
                <w:spacing w:val="-4"/>
              </w:rPr>
              <w:t>方法来源</w:t>
            </w:r>
          </w:p>
        </w:tc>
      </w:tr>
      <w:tr>
        <w:trPr>
          <w:trHeight w:val="317" w:hRule="atLeast"/>
        </w:trPr>
        <w:tc>
          <w:tcPr>
            <w:tcW w:w="869" w:type="dxa"/>
            <w:vAlign w:val="top"/>
            <w:tcBorders>
              <w:right w:val="single" w:color="000000" w:sz="4" w:space="0"/>
              <w:left w:val="nil"/>
            </w:tcBorders>
          </w:tcPr>
          <w:p>
            <w:pPr>
              <w:ind w:left="413"/>
              <w:spacing w:before="87"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21" w:type="dxa"/>
            <w:vAlign w:val="top"/>
            <w:tcBorders>
              <w:left w:val="single" w:color="000000" w:sz="4" w:space="0"/>
              <w:right w:val="single" w:color="000000" w:sz="4" w:space="0"/>
            </w:tcBorders>
          </w:tcPr>
          <w:p>
            <w:pPr>
              <w:ind w:left="726"/>
              <w:spacing w:before="8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3963" w:type="dxa"/>
            <w:vAlign w:val="top"/>
            <w:tcBorders>
              <w:left w:val="single" w:color="000000" w:sz="4" w:space="0"/>
              <w:right w:val="single" w:color="000000" w:sz="4" w:space="0"/>
            </w:tcBorders>
          </w:tcPr>
          <w:p>
            <w:pPr>
              <w:pStyle w:val="TableText"/>
              <w:ind w:left="779"/>
              <w:spacing w:before="54" w:line="214" w:lineRule="auto"/>
              <w:rPr/>
            </w:pPr>
            <w:r>
              <w:rPr>
                <w:spacing w:val="-3"/>
              </w:rPr>
              <w:t>土壤 </w:t>
            </w:r>
            <w:r>
              <w:rPr>
                <w:rFonts w:ascii="Times New Roman" w:hAnsi="Times New Roman" w:eastAsia="Times New Roman" w:cs="Times New Roman"/>
                <w:spacing w:val="-3"/>
              </w:rPr>
              <w:t>pH </w:t>
            </w:r>
            <w:r>
              <w:rPr>
                <w:spacing w:val="-3"/>
              </w:rPr>
              <w:t>值的测定</w:t>
            </w:r>
            <w:r>
              <w:rPr>
                <w:spacing w:val="32"/>
              </w:rPr>
              <w:t xml:space="preserve"> </w:t>
            </w:r>
            <w:r>
              <w:rPr>
                <w:spacing w:val="-3"/>
              </w:rPr>
              <w:t>电位法</w:t>
            </w:r>
          </w:p>
        </w:tc>
        <w:tc>
          <w:tcPr>
            <w:tcW w:w="2182" w:type="dxa"/>
            <w:vAlign w:val="top"/>
            <w:tcBorders>
              <w:left w:val="single" w:color="000000" w:sz="4" w:space="0"/>
              <w:right w:val="nil"/>
            </w:tcBorders>
          </w:tcPr>
          <w:p>
            <w:pPr>
              <w:ind w:left="543"/>
              <w:spacing w:before="87"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962-2018</w:t>
            </w:r>
          </w:p>
        </w:tc>
      </w:tr>
      <w:tr>
        <w:trPr>
          <w:trHeight w:val="626" w:hRule="atLeast"/>
        </w:trPr>
        <w:tc>
          <w:tcPr>
            <w:tcW w:w="869" w:type="dxa"/>
            <w:vAlign w:val="top"/>
            <w:tcBorders>
              <w:right w:val="single" w:color="000000" w:sz="4" w:space="0"/>
              <w:left w:val="nil"/>
            </w:tcBorders>
          </w:tcPr>
          <w:p>
            <w:pPr>
              <w:ind w:left="393"/>
              <w:spacing w:before="243"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21" w:type="dxa"/>
            <w:vAlign w:val="top"/>
            <w:tcBorders>
              <w:left w:val="single" w:color="000000" w:sz="4" w:space="0"/>
              <w:right w:val="single" w:color="000000" w:sz="4" w:space="0"/>
            </w:tcBorders>
          </w:tcPr>
          <w:p>
            <w:pPr>
              <w:pStyle w:val="TableText"/>
              <w:ind w:left="754"/>
              <w:spacing w:before="211" w:line="223" w:lineRule="auto"/>
              <w:rPr/>
            </w:pPr>
            <w:r>
              <w:rPr/>
              <w:t>镉</w:t>
            </w:r>
          </w:p>
        </w:tc>
        <w:tc>
          <w:tcPr>
            <w:tcW w:w="3963" w:type="dxa"/>
            <w:vAlign w:val="top"/>
            <w:tcBorders>
              <w:left w:val="single" w:color="000000" w:sz="4" w:space="0"/>
              <w:right w:val="single" w:color="000000" w:sz="4" w:space="0"/>
            </w:tcBorders>
          </w:tcPr>
          <w:p>
            <w:pPr>
              <w:pStyle w:val="TableText"/>
              <w:ind w:left="112"/>
              <w:spacing w:before="54" w:line="221" w:lineRule="auto"/>
              <w:rPr/>
            </w:pPr>
            <w:r>
              <w:rPr>
                <w:spacing w:val="-3"/>
              </w:rPr>
              <w:t>土壤质量 铅、镉的测定 石墨炉原子吸收</w:t>
            </w:r>
          </w:p>
          <w:p>
            <w:pPr>
              <w:pStyle w:val="TableText"/>
              <w:ind w:left="1460"/>
              <w:spacing w:before="60" w:line="219" w:lineRule="auto"/>
              <w:rPr/>
            </w:pPr>
            <w:r>
              <w:rPr>
                <w:spacing w:val="-2"/>
              </w:rPr>
              <w:t>分光光度法</w:t>
            </w:r>
          </w:p>
        </w:tc>
        <w:tc>
          <w:tcPr>
            <w:tcW w:w="2182" w:type="dxa"/>
            <w:vAlign w:val="top"/>
            <w:tcBorders>
              <w:left w:val="single" w:color="000000" w:sz="4" w:space="0"/>
              <w:right w:val="nil"/>
            </w:tcBorders>
          </w:tcPr>
          <w:p>
            <w:pPr>
              <w:ind w:left="319"/>
              <w:spacing w:before="24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GB/T</w:t>
            </w:r>
            <w:r>
              <w:rPr>
                <w:rFonts w:ascii="Times New Roman" w:hAnsi="Times New Roman" w:eastAsia="Times New Roman" w:cs="Times New Roman"/>
                <w:sz w:val="21"/>
                <w:szCs w:val="21"/>
                <w:spacing w:val="36"/>
              </w:rPr>
              <w:t xml:space="preserve"> </w:t>
            </w:r>
            <w:r>
              <w:rPr>
                <w:rFonts w:ascii="Times New Roman" w:hAnsi="Times New Roman" w:eastAsia="Times New Roman" w:cs="Times New Roman"/>
                <w:sz w:val="21"/>
                <w:szCs w:val="21"/>
                <w:spacing w:val="-3"/>
              </w:rPr>
              <w:t>17141-1997</w:t>
            </w:r>
          </w:p>
        </w:tc>
      </w:tr>
      <w:tr>
        <w:trPr>
          <w:trHeight w:val="626" w:hRule="atLeast"/>
        </w:trPr>
        <w:tc>
          <w:tcPr>
            <w:tcW w:w="869" w:type="dxa"/>
            <w:vAlign w:val="top"/>
            <w:tcBorders>
              <w:right w:val="single" w:color="000000" w:sz="4" w:space="0"/>
              <w:left w:val="nil"/>
            </w:tcBorders>
          </w:tcPr>
          <w:p>
            <w:pPr>
              <w:ind w:left="397"/>
              <w:spacing w:before="246"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21" w:type="dxa"/>
            <w:vAlign w:val="top"/>
            <w:tcBorders>
              <w:left w:val="single" w:color="000000" w:sz="4" w:space="0"/>
              <w:right w:val="single" w:color="000000" w:sz="4" w:space="0"/>
            </w:tcBorders>
          </w:tcPr>
          <w:p>
            <w:pPr>
              <w:pStyle w:val="TableText"/>
              <w:ind w:left="756"/>
              <w:spacing w:before="213" w:line="225" w:lineRule="auto"/>
              <w:rPr/>
            </w:pPr>
            <w:r>
              <w:rPr/>
              <w:t>铅</w:t>
            </w:r>
          </w:p>
        </w:tc>
        <w:tc>
          <w:tcPr>
            <w:tcW w:w="3963" w:type="dxa"/>
            <w:vAlign w:val="top"/>
            <w:tcBorders>
              <w:left w:val="single" w:color="000000" w:sz="4" w:space="0"/>
              <w:right w:val="single" w:color="000000" w:sz="4" w:space="0"/>
            </w:tcBorders>
          </w:tcPr>
          <w:p>
            <w:pPr>
              <w:pStyle w:val="TableText"/>
              <w:ind w:left="725" w:right="138" w:hanging="580"/>
              <w:spacing w:before="58" w:line="245" w:lineRule="auto"/>
              <w:rPr/>
            </w:pPr>
            <w:r>
              <w:rPr>
                <w:spacing w:val="-1"/>
              </w:rPr>
              <w:t>土壤和沉积物 铜、锌、铅、镍、铬的测</w:t>
            </w:r>
            <w:r>
              <w:rPr>
                <w:spacing w:val="-1"/>
              </w:rPr>
              <w:t>定火焰原子吸收分光光度法</w:t>
            </w:r>
          </w:p>
        </w:tc>
        <w:tc>
          <w:tcPr>
            <w:tcW w:w="2182" w:type="dxa"/>
            <w:vAlign w:val="top"/>
            <w:tcBorders>
              <w:left w:val="single" w:color="000000" w:sz="4" w:space="0"/>
              <w:right w:val="nil"/>
            </w:tcBorders>
          </w:tcPr>
          <w:p>
            <w:pPr>
              <w:ind w:left="543"/>
              <w:spacing w:before="246"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491-2019</w:t>
            </w:r>
          </w:p>
        </w:tc>
      </w:tr>
      <w:tr>
        <w:trPr>
          <w:trHeight w:val="626" w:hRule="atLeast"/>
        </w:trPr>
        <w:tc>
          <w:tcPr>
            <w:tcW w:w="869" w:type="dxa"/>
            <w:vAlign w:val="top"/>
            <w:tcBorders>
              <w:right w:val="single" w:color="000000" w:sz="4" w:space="0"/>
              <w:left w:val="nil"/>
            </w:tcBorders>
          </w:tcPr>
          <w:p>
            <w:pPr>
              <w:ind w:left="392"/>
              <w:spacing w:before="249"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21" w:type="dxa"/>
            <w:vAlign w:val="top"/>
            <w:tcBorders>
              <w:left w:val="single" w:color="000000" w:sz="4" w:space="0"/>
              <w:right w:val="single" w:color="000000" w:sz="4" w:space="0"/>
            </w:tcBorders>
          </w:tcPr>
          <w:p>
            <w:pPr>
              <w:pStyle w:val="TableText"/>
              <w:ind w:left="757"/>
              <w:spacing w:before="216" w:line="221" w:lineRule="auto"/>
              <w:rPr/>
            </w:pPr>
            <w:r>
              <w:rPr/>
              <w:t>汞</w:t>
            </w:r>
          </w:p>
        </w:tc>
        <w:tc>
          <w:tcPr>
            <w:tcW w:w="3963" w:type="dxa"/>
            <w:vAlign w:val="top"/>
            <w:tcBorders>
              <w:left w:val="single" w:color="000000" w:sz="4" w:space="0"/>
              <w:right w:val="single" w:color="000000" w:sz="4" w:space="0"/>
            </w:tcBorders>
          </w:tcPr>
          <w:p>
            <w:pPr>
              <w:pStyle w:val="TableText"/>
              <w:ind w:left="112"/>
              <w:spacing w:before="60" w:line="221" w:lineRule="auto"/>
              <w:rPr/>
            </w:pPr>
            <w:r>
              <w:rPr>
                <w:spacing w:val="-3"/>
              </w:rPr>
              <w:t>土壤和沉积物汞、砷、硒、铋、锑的测定</w:t>
            </w:r>
          </w:p>
          <w:p>
            <w:pPr>
              <w:pStyle w:val="TableText"/>
              <w:ind w:left="1008"/>
              <w:spacing w:before="60" w:line="214" w:lineRule="auto"/>
              <w:rPr/>
            </w:pPr>
            <w:r>
              <w:rPr>
                <w:spacing w:val="-1"/>
              </w:rPr>
              <w:t>微波消解</w:t>
            </w:r>
            <w:r>
              <w:rPr>
                <w:rFonts w:ascii="Times New Roman" w:hAnsi="Times New Roman" w:eastAsia="Times New Roman" w:cs="Times New Roman"/>
                <w:spacing w:val="-1"/>
              </w:rPr>
              <w:t>/</w:t>
            </w:r>
            <w:r>
              <w:rPr>
                <w:spacing w:val="-1"/>
              </w:rPr>
              <w:t>原子荧光法</w:t>
            </w:r>
          </w:p>
        </w:tc>
        <w:tc>
          <w:tcPr>
            <w:tcW w:w="2182" w:type="dxa"/>
            <w:vAlign w:val="top"/>
            <w:tcBorders>
              <w:left w:val="single" w:color="000000" w:sz="4" w:space="0"/>
              <w:right w:val="nil"/>
            </w:tcBorders>
          </w:tcPr>
          <w:p>
            <w:pPr>
              <w:ind w:left="543"/>
              <w:spacing w:before="24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680-2013</w:t>
            </w:r>
          </w:p>
        </w:tc>
      </w:tr>
      <w:tr>
        <w:trPr>
          <w:trHeight w:val="626" w:hRule="atLeast"/>
        </w:trPr>
        <w:tc>
          <w:tcPr>
            <w:tcW w:w="869" w:type="dxa"/>
            <w:vAlign w:val="top"/>
            <w:tcBorders>
              <w:right w:val="single" w:color="000000" w:sz="4" w:space="0"/>
              <w:left w:val="nil"/>
            </w:tcBorders>
          </w:tcPr>
          <w:p>
            <w:pPr>
              <w:ind w:left="398"/>
              <w:spacing w:before="25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21" w:type="dxa"/>
            <w:vAlign w:val="top"/>
            <w:tcBorders>
              <w:left w:val="single" w:color="000000" w:sz="4" w:space="0"/>
              <w:right w:val="single" w:color="000000" w:sz="4" w:space="0"/>
            </w:tcBorders>
          </w:tcPr>
          <w:p>
            <w:pPr>
              <w:pStyle w:val="TableText"/>
              <w:ind w:left="755"/>
              <w:spacing w:before="219" w:line="221" w:lineRule="auto"/>
              <w:rPr/>
            </w:pPr>
            <w:r>
              <w:rPr/>
              <w:t>砷</w:t>
            </w:r>
          </w:p>
        </w:tc>
        <w:tc>
          <w:tcPr>
            <w:tcW w:w="3963" w:type="dxa"/>
            <w:vAlign w:val="top"/>
            <w:tcBorders>
              <w:left w:val="single" w:color="000000" w:sz="4" w:space="0"/>
              <w:right w:val="single" w:color="000000" w:sz="4" w:space="0"/>
            </w:tcBorders>
          </w:tcPr>
          <w:p>
            <w:pPr>
              <w:pStyle w:val="TableText"/>
              <w:ind w:left="112"/>
              <w:spacing w:before="63" w:line="221" w:lineRule="auto"/>
              <w:rPr/>
            </w:pPr>
            <w:r>
              <w:rPr>
                <w:spacing w:val="-3"/>
              </w:rPr>
              <w:t>土壤和沉积物汞、砷、硒、铋、锑的测定</w:t>
            </w:r>
          </w:p>
          <w:p>
            <w:pPr>
              <w:pStyle w:val="TableText"/>
              <w:ind w:left="1008"/>
              <w:spacing w:before="59" w:line="212" w:lineRule="auto"/>
              <w:rPr/>
            </w:pPr>
            <w:r>
              <w:rPr>
                <w:spacing w:val="-1"/>
              </w:rPr>
              <w:t>微波消解</w:t>
            </w:r>
            <w:r>
              <w:rPr>
                <w:rFonts w:ascii="Times New Roman" w:hAnsi="Times New Roman" w:eastAsia="Times New Roman" w:cs="Times New Roman"/>
                <w:spacing w:val="-1"/>
              </w:rPr>
              <w:t>/</w:t>
            </w:r>
            <w:r>
              <w:rPr>
                <w:spacing w:val="-1"/>
              </w:rPr>
              <w:t>原子荧光法</w:t>
            </w:r>
          </w:p>
        </w:tc>
        <w:tc>
          <w:tcPr>
            <w:tcW w:w="2182" w:type="dxa"/>
            <w:vAlign w:val="top"/>
            <w:tcBorders>
              <w:left w:val="single" w:color="000000" w:sz="4" w:space="0"/>
              <w:right w:val="nil"/>
            </w:tcBorders>
          </w:tcPr>
          <w:p>
            <w:pPr>
              <w:ind w:left="543"/>
              <w:spacing w:before="25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r>
              <w:rPr>
                <w:rFonts w:ascii="Times New Roman" w:hAnsi="Times New Roman" w:eastAsia="Times New Roman" w:cs="Times New Roman"/>
                <w:sz w:val="21"/>
                <w:szCs w:val="21"/>
                <w:spacing w:val="16"/>
                <w:w w:val="101"/>
              </w:rPr>
              <w:t xml:space="preserve"> </w:t>
            </w:r>
            <w:r>
              <w:rPr>
                <w:rFonts w:ascii="Times New Roman" w:hAnsi="Times New Roman" w:eastAsia="Times New Roman" w:cs="Times New Roman"/>
                <w:sz w:val="21"/>
                <w:szCs w:val="21"/>
                <w:spacing w:val="-2"/>
              </w:rPr>
              <w:t>680-2013</w:t>
            </w:r>
          </w:p>
        </w:tc>
      </w:tr>
      <w:tr>
        <w:trPr>
          <w:trHeight w:val="626" w:hRule="atLeast"/>
        </w:trPr>
        <w:tc>
          <w:tcPr>
            <w:tcW w:w="869" w:type="dxa"/>
            <w:vAlign w:val="top"/>
            <w:tcBorders>
              <w:right w:val="single" w:color="000000" w:sz="4" w:space="0"/>
              <w:left w:val="nil"/>
            </w:tcBorders>
          </w:tcPr>
          <w:p>
            <w:pPr>
              <w:ind w:left="397"/>
              <w:spacing w:before="25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21" w:type="dxa"/>
            <w:vAlign w:val="top"/>
            <w:tcBorders>
              <w:left w:val="single" w:color="000000" w:sz="4" w:space="0"/>
              <w:right w:val="single" w:color="000000" w:sz="4" w:space="0"/>
            </w:tcBorders>
          </w:tcPr>
          <w:p>
            <w:pPr>
              <w:pStyle w:val="TableText"/>
              <w:ind w:left="756"/>
              <w:spacing w:before="221" w:line="222" w:lineRule="auto"/>
              <w:rPr/>
            </w:pPr>
            <w:r>
              <w:rPr/>
              <w:t>铜</w:t>
            </w:r>
          </w:p>
        </w:tc>
        <w:tc>
          <w:tcPr>
            <w:tcW w:w="3963" w:type="dxa"/>
            <w:vAlign w:val="top"/>
            <w:tcBorders>
              <w:left w:val="single" w:color="000000" w:sz="4" w:space="0"/>
              <w:right w:val="single" w:color="000000" w:sz="4" w:space="0"/>
            </w:tcBorders>
          </w:tcPr>
          <w:p>
            <w:pPr>
              <w:pStyle w:val="TableText"/>
              <w:ind w:left="725" w:right="138" w:hanging="580"/>
              <w:spacing w:before="65" w:line="242" w:lineRule="auto"/>
              <w:rPr/>
            </w:pPr>
            <w:r>
              <w:rPr>
                <w:spacing w:val="-1"/>
              </w:rPr>
              <w:t>土壤和沉积物 铜、锌、铅、镍、铬的测</w:t>
            </w:r>
            <w:r>
              <w:rPr>
                <w:spacing w:val="-1"/>
              </w:rPr>
              <w:t>定火焰原子吸收分光光度法</w:t>
            </w:r>
          </w:p>
        </w:tc>
        <w:tc>
          <w:tcPr>
            <w:tcW w:w="2182" w:type="dxa"/>
            <w:vAlign w:val="top"/>
            <w:tcBorders>
              <w:left w:val="single" w:color="000000" w:sz="4" w:space="0"/>
              <w:right w:val="nil"/>
            </w:tcBorders>
          </w:tcPr>
          <w:p>
            <w:pPr>
              <w:ind w:left="543"/>
              <w:spacing w:before="25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491-2019</w:t>
            </w:r>
          </w:p>
        </w:tc>
      </w:tr>
      <w:tr>
        <w:trPr>
          <w:trHeight w:val="628" w:hRule="atLeast"/>
        </w:trPr>
        <w:tc>
          <w:tcPr>
            <w:tcW w:w="869" w:type="dxa"/>
            <w:vAlign w:val="top"/>
            <w:tcBorders>
              <w:right w:val="single" w:color="000000" w:sz="4" w:space="0"/>
              <w:left w:val="nil"/>
            </w:tcBorders>
          </w:tcPr>
          <w:p>
            <w:pPr>
              <w:ind w:left="396"/>
              <w:spacing w:before="25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21" w:type="dxa"/>
            <w:vAlign w:val="top"/>
            <w:tcBorders>
              <w:left w:val="single" w:color="000000" w:sz="4" w:space="0"/>
              <w:right w:val="single" w:color="000000" w:sz="4" w:space="0"/>
            </w:tcBorders>
          </w:tcPr>
          <w:p>
            <w:pPr>
              <w:pStyle w:val="TableText"/>
              <w:ind w:left="755"/>
              <w:spacing w:before="226" w:line="223" w:lineRule="auto"/>
              <w:rPr/>
            </w:pPr>
            <w:r>
              <w:rPr/>
              <w:t>铬</w:t>
            </w:r>
          </w:p>
        </w:tc>
        <w:tc>
          <w:tcPr>
            <w:tcW w:w="3963" w:type="dxa"/>
            <w:vAlign w:val="top"/>
            <w:tcBorders>
              <w:left w:val="single" w:color="000000" w:sz="4" w:space="0"/>
              <w:right w:val="single" w:color="000000" w:sz="4" w:space="0"/>
            </w:tcBorders>
          </w:tcPr>
          <w:p>
            <w:pPr>
              <w:pStyle w:val="TableText"/>
              <w:ind w:left="725" w:right="138" w:hanging="580"/>
              <w:spacing w:before="69" w:line="241" w:lineRule="auto"/>
              <w:rPr/>
            </w:pPr>
            <w:r>
              <w:rPr>
                <w:spacing w:val="-1"/>
              </w:rPr>
              <w:t>土壤和沉积物 铜、锌、铅、镍、铬的测</w:t>
            </w:r>
            <w:r>
              <w:rPr>
                <w:spacing w:val="-1"/>
              </w:rPr>
              <w:t>定火焰原子吸收分光光度法</w:t>
            </w:r>
          </w:p>
        </w:tc>
        <w:tc>
          <w:tcPr>
            <w:tcW w:w="2182" w:type="dxa"/>
            <w:vAlign w:val="top"/>
            <w:tcBorders>
              <w:left w:val="single" w:color="000000" w:sz="4" w:space="0"/>
              <w:right w:val="nil"/>
            </w:tcBorders>
          </w:tcPr>
          <w:p>
            <w:pPr>
              <w:ind w:left="543"/>
              <w:spacing w:before="25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491-2019</w:t>
            </w:r>
          </w:p>
        </w:tc>
      </w:tr>
      <w:tr>
        <w:trPr>
          <w:trHeight w:val="626" w:hRule="atLeast"/>
        </w:trPr>
        <w:tc>
          <w:tcPr>
            <w:tcW w:w="869" w:type="dxa"/>
            <w:vAlign w:val="top"/>
            <w:tcBorders>
              <w:right w:val="single" w:color="000000" w:sz="4" w:space="0"/>
              <w:left w:val="nil"/>
            </w:tcBorders>
          </w:tcPr>
          <w:p>
            <w:pPr>
              <w:ind w:left="401"/>
              <w:spacing w:before="25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21" w:type="dxa"/>
            <w:vAlign w:val="top"/>
            <w:tcBorders>
              <w:left w:val="single" w:color="000000" w:sz="4" w:space="0"/>
              <w:right w:val="single" w:color="000000" w:sz="4" w:space="0"/>
            </w:tcBorders>
          </w:tcPr>
          <w:p>
            <w:pPr>
              <w:pStyle w:val="TableText"/>
              <w:ind w:left="755"/>
              <w:spacing w:before="228" w:line="221" w:lineRule="auto"/>
              <w:rPr/>
            </w:pPr>
            <w:r>
              <w:rPr/>
              <w:t>镍</w:t>
            </w:r>
          </w:p>
        </w:tc>
        <w:tc>
          <w:tcPr>
            <w:tcW w:w="3963" w:type="dxa"/>
            <w:vAlign w:val="top"/>
            <w:tcBorders>
              <w:left w:val="single" w:color="000000" w:sz="4" w:space="0"/>
              <w:right w:val="single" w:color="000000" w:sz="4" w:space="0"/>
            </w:tcBorders>
          </w:tcPr>
          <w:p>
            <w:pPr>
              <w:pStyle w:val="TableText"/>
              <w:ind w:left="725" w:right="138" w:hanging="580"/>
              <w:spacing w:before="72" w:line="239" w:lineRule="auto"/>
              <w:rPr/>
            </w:pPr>
            <w:r>
              <w:rPr>
                <w:spacing w:val="-1"/>
              </w:rPr>
              <w:t>土壤和沉积物 铜、锌、铅、镍、铬的测</w:t>
            </w:r>
            <w:r>
              <w:rPr>
                <w:spacing w:val="-1"/>
              </w:rPr>
              <w:t>定火焰原子吸收分光光度法</w:t>
            </w:r>
          </w:p>
        </w:tc>
        <w:tc>
          <w:tcPr>
            <w:tcW w:w="2182" w:type="dxa"/>
            <w:vAlign w:val="top"/>
            <w:tcBorders>
              <w:left w:val="single" w:color="000000" w:sz="4" w:space="0"/>
              <w:right w:val="nil"/>
            </w:tcBorders>
          </w:tcPr>
          <w:p>
            <w:pPr>
              <w:ind w:left="543"/>
              <w:spacing w:before="2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491-2019</w:t>
            </w:r>
          </w:p>
        </w:tc>
      </w:tr>
      <w:tr>
        <w:trPr>
          <w:trHeight w:val="650" w:hRule="atLeast"/>
        </w:trPr>
        <w:tc>
          <w:tcPr>
            <w:tcW w:w="869" w:type="dxa"/>
            <w:vAlign w:val="top"/>
            <w:tcBorders>
              <w:right w:val="single" w:color="000000" w:sz="4" w:space="0"/>
              <w:left w:val="nil"/>
              <w:bottom w:val="single" w:color="000000" w:sz="10" w:space="0"/>
            </w:tcBorders>
          </w:tcPr>
          <w:p>
            <w:pPr>
              <w:ind w:left="397"/>
              <w:spacing w:before="26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721" w:type="dxa"/>
            <w:vAlign w:val="top"/>
            <w:tcBorders>
              <w:left w:val="single" w:color="000000" w:sz="4" w:space="0"/>
              <w:right w:val="single" w:color="000000" w:sz="4" w:space="0"/>
              <w:bottom w:val="single" w:color="000000" w:sz="10" w:space="0"/>
            </w:tcBorders>
          </w:tcPr>
          <w:p>
            <w:pPr>
              <w:pStyle w:val="TableText"/>
              <w:ind w:left="755"/>
              <w:spacing w:before="230" w:line="221" w:lineRule="auto"/>
              <w:rPr/>
            </w:pPr>
            <w:r>
              <w:rPr/>
              <w:t>锌</w:t>
            </w:r>
          </w:p>
        </w:tc>
        <w:tc>
          <w:tcPr>
            <w:tcW w:w="3963" w:type="dxa"/>
            <w:vAlign w:val="top"/>
            <w:tcBorders>
              <w:left w:val="single" w:color="000000" w:sz="4" w:space="0"/>
              <w:right w:val="single" w:color="000000" w:sz="4" w:space="0"/>
              <w:bottom w:val="single" w:color="000000" w:sz="10" w:space="0"/>
            </w:tcBorders>
          </w:tcPr>
          <w:p>
            <w:pPr>
              <w:pStyle w:val="TableText"/>
              <w:ind w:left="725" w:right="138" w:hanging="580"/>
              <w:spacing w:before="73" w:line="249" w:lineRule="auto"/>
              <w:rPr/>
            </w:pPr>
            <w:r>
              <w:rPr>
                <w:spacing w:val="-1"/>
              </w:rPr>
              <w:t>土壤和沉积物 铜、锌、铅、镍、铬的测</w:t>
            </w:r>
            <w:r>
              <w:rPr>
                <w:spacing w:val="-1"/>
              </w:rPr>
              <w:t>定火焰原子吸收分光光度法</w:t>
            </w:r>
          </w:p>
        </w:tc>
        <w:tc>
          <w:tcPr>
            <w:tcW w:w="2182" w:type="dxa"/>
            <w:vAlign w:val="top"/>
            <w:tcBorders>
              <w:left w:val="single" w:color="000000" w:sz="4" w:space="0"/>
              <w:right w:val="nil"/>
              <w:bottom w:val="single" w:color="000000" w:sz="10" w:space="0"/>
            </w:tcBorders>
          </w:tcPr>
          <w:p>
            <w:pPr>
              <w:ind w:left="543"/>
              <w:spacing w:before="26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HJ 491-2019</w:t>
            </w:r>
          </w:p>
        </w:tc>
      </w:tr>
    </w:tbl>
    <w:p>
      <w:pPr>
        <w:ind w:left="618"/>
        <w:spacing w:before="113"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）监测结果</w:t>
      </w:r>
    </w:p>
    <w:p>
      <w:pPr>
        <w:ind w:left="612"/>
        <w:spacing w:before="164" w:line="233" w:lineRule="auto"/>
        <w:rPr>
          <w:rFonts w:ascii="SimSun" w:hAnsi="SimSun" w:eastAsia="SimSun" w:cs="SimSun"/>
          <w:sz w:val="24"/>
          <w:szCs w:val="24"/>
        </w:rPr>
      </w:pPr>
      <w:r>
        <w:rPr>
          <w:rFonts w:ascii="SimSun" w:hAnsi="SimSun" w:eastAsia="SimSun" w:cs="SimSun"/>
          <w:sz w:val="24"/>
          <w:szCs w:val="24"/>
          <w:spacing w:val="-1"/>
        </w:rPr>
        <w:t>土壤环境监测结果见表</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4-15</w:t>
      </w:r>
      <w:r>
        <w:rPr>
          <w:rFonts w:ascii="SimSun" w:hAnsi="SimSun" w:eastAsia="SimSun" w:cs="SimSun"/>
          <w:sz w:val="24"/>
          <w:szCs w:val="24"/>
          <w:spacing w:val="-1"/>
        </w:rPr>
        <w:t>。</w:t>
      </w:r>
    </w:p>
    <w:p>
      <w:pPr>
        <w:ind w:left="2744"/>
        <w:spacing w:before="86"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2"/>
        </w:rPr>
        <w:t>4-15        </w:t>
      </w:r>
      <w:r>
        <w:rPr>
          <w:rFonts w:ascii="SimSun" w:hAnsi="SimSun" w:eastAsia="SimSun" w:cs="SimSun"/>
          <w:sz w:val="24"/>
          <w:szCs w:val="24"/>
          <w:b/>
          <w:bCs/>
          <w:spacing w:val="-2"/>
        </w:rPr>
        <w:t>土壤监测结果统计表</w:t>
      </w:r>
    </w:p>
    <w:p>
      <w:pPr>
        <w:spacing w:line="130" w:lineRule="exact"/>
        <w:rPr/>
      </w:pPr>
      <w:r/>
    </w:p>
    <w:tbl>
      <w:tblPr>
        <w:tblStyle w:val="TableNormal"/>
        <w:tblW w:w="8730"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81"/>
        <w:gridCol w:w="2086"/>
        <w:gridCol w:w="888"/>
        <w:gridCol w:w="1532"/>
        <w:gridCol w:w="1630"/>
        <w:gridCol w:w="1913"/>
      </w:tblGrid>
      <w:tr>
        <w:trPr>
          <w:trHeight w:val="320" w:hRule="atLeast"/>
        </w:trPr>
        <w:tc>
          <w:tcPr>
            <w:tcW w:w="681" w:type="dxa"/>
            <w:vAlign w:val="top"/>
            <w:tcBorders>
              <w:right w:val="single" w:color="000000" w:sz="2" w:space="0"/>
              <w:left w:val="nil"/>
              <w:top w:val="single" w:color="000000" w:sz="10" w:space="0"/>
            </w:tcBorders>
          </w:tcPr>
          <w:p>
            <w:pPr>
              <w:pStyle w:val="TableText"/>
              <w:ind w:left="144"/>
              <w:spacing w:before="55" w:line="222" w:lineRule="auto"/>
              <w:rPr/>
            </w:pPr>
            <w:r>
              <w:rPr>
                <w:b/>
                <w:bCs/>
                <w:spacing w:val="-4"/>
              </w:rPr>
              <w:t>序号</w:t>
            </w:r>
          </w:p>
        </w:tc>
        <w:tc>
          <w:tcPr>
            <w:tcW w:w="2086" w:type="dxa"/>
            <w:vAlign w:val="top"/>
            <w:tcBorders>
              <w:left w:val="single" w:color="000000" w:sz="2" w:space="0"/>
              <w:right w:val="single" w:color="000000" w:sz="2" w:space="0"/>
              <w:top w:val="single" w:color="000000" w:sz="10" w:space="0"/>
            </w:tcBorders>
          </w:tcPr>
          <w:p>
            <w:pPr>
              <w:pStyle w:val="TableText"/>
              <w:ind w:left="626"/>
              <w:spacing w:before="55" w:line="221" w:lineRule="auto"/>
              <w:rPr/>
            </w:pPr>
            <w:r>
              <w:rPr>
                <w:b/>
                <w:bCs/>
                <w:spacing w:val="-4"/>
              </w:rPr>
              <w:t>监测项目</w:t>
            </w:r>
          </w:p>
        </w:tc>
        <w:tc>
          <w:tcPr>
            <w:tcW w:w="888" w:type="dxa"/>
            <w:vAlign w:val="top"/>
            <w:tcBorders>
              <w:left w:val="single" w:color="000000" w:sz="2" w:space="0"/>
              <w:right w:val="single" w:color="000000" w:sz="2" w:space="0"/>
              <w:top w:val="single" w:color="000000" w:sz="10" w:space="0"/>
            </w:tcBorders>
          </w:tcPr>
          <w:p>
            <w:pPr>
              <w:pStyle w:val="TableText"/>
              <w:ind w:left="238"/>
              <w:spacing w:before="55" w:line="221" w:lineRule="auto"/>
              <w:rPr/>
            </w:pPr>
            <w:r>
              <w:rPr>
                <w:b/>
                <w:bCs/>
                <w:spacing w:val="-5"/>
              </w:rPr>
              <w:t>单位</w:t>
            </w:r>
          </w:p>
        </w:tc>
        <w:tc>
          <w:tcPr>
            <w:tcW w:w="1532" w:type="dxa"/>
            <w:vAlign w:val="top"/>
            <w:tcBorders>
              <w:left w:val="single" w:color="000000" w:sz="2" w:space="0"/>
              <w:right w:val="single" w:color="000000" w:sz="2" w:space="0"/>
              <w:top w:val="single" w:color="000000" w:sz="10" w:space="0"/>
            </w:tcBorders>
          </w:tcPr>
          <w:p>
            <w:pPr>
              <w:ind w:left="672"/>
              <w:spacing w:before="93"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p>
        </w:tc>
        <w:tc>
          <w:tcPr>
            <w:tcW w:w="1630" w:type="dxa"/>
            <w:vAlign w:val="top"/>
            <w:tcBorders>
              <w:left w:val="single" w:color="000000" w:sz="2" w:space="0"/>
              <w:right w:val="single" w:color="000000" w:sz="2" w:space="0"/>
              <w:top w:val="single" w:color="000000" w:sz="10" w:space="0"/>
            </w:tcBorders>
          </w:tcPr>
          <w:p>
            <w:pPr>
              <w:ind w:left="710"/>
              <w:spacing w:before="93"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w:t>
            </w:r>
          </w:p>
        </w:tc>
        <w:tc>
          <w:tcPr>
            <w:tcW w:w="1913" w:type="dxa"/>
            <w:vAlign w:val="top"/>
            <w:tcBorders>
              <w:left w:val="single" w:color="000000" w:sz="2" w:space="0"/>
              <w:right w:val="nil"/>
              <w:top w:val="single" w:color="000000" w:sz="10" w:space="0"/>
            </w:tcBorders>
          </w:tcPr>
          <w:p>
            <w:pPr>
              <w:ind w:left="850"/>
              <w:spacing w:before="93"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w:t>
            </w:r>
          </w:p>
        </w:tc>
      </w:tr>
      <w:tr>
        <w:trPr>
          <w:trHeight w:val="379" w:hRule="atLeast"/>
        </w:trPr>
        <w:tc>
          <w:tcPr>
            <w:tcW w:w="681" w:type="dxa"/>
            <w:vAlign w:val="top"/>
            <w:tcBorders>
              <w:right w:val="single" w:color="000000" w:sz="2" w:space="0"/>
              <w:left w:val="nil"/>
            </w:tcBorders>
          </w:tcPr>
          <w:p>
            <w:pPr>
              <w:ind w:left="319"/>
              <w:spacing w:before="118"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86" w:type="dxa"/>
            <w:vAlign w:val="top"/>
            <w:tcBorders>
              <w:left w:val="single" w:color="000000" w:sz="2" w:space="0"/>
              <w:right w:val="single" w:color="000000" w:sz="2" w:space="0"/>
            </w:tcBorders>
          </w:tcPr>
          <w:p>
            <w:pPr>
              <w:ind w:left="909"/>
              <w:spacing w:before="11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888" w:type="dxa"/>
            <w:vAlign w:val="top"/>
            <w:tcBorders>
              <w:left w:val="single" w:color="000000" w:sz="2" w:space="0"/>
              <w:right w:val="single" w:color="000000" w:sz="2" w:space="0"/>
            </w:tcBorders>
          </w:tcPr>
          <w:p>
            <w:pPr>
              <w:pStyle w:val="TableText"/>
              <w:ind w:left="132"/>
              <w:spacing w:before="86" w:line="221" w:lineRule="auto"/>
              <w:rPr/>
            </w:pPr>
            <w:r>
              <w:rPr>
                <w:spacing w:val="-2"/>
              </w:rPr>
              <w:t>无量纲</w:t>
            </w:r>
          </w:p>
        </w:tc>
        <w:tc>
          <w:tcPr>
            <w:tcW w:w="1532" w:type="dxa"/>
            <w:vAlign w:val="top"/>
            <w:tcBorders>
              <w:left w:val="single" w:color="000000" w:sz="2" w:space="0"/>
              <w:right w:val="single" w:color="000000" w:sz="2" w:space="0"/>
            </w:tcBorders>
          </w:tcPr>
          <w:p>
            <w:pPr>
              <w:ind w:left="640"/>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w:t>
            </w:r>
          </w:p>
        </w:tc>
        <w:tc>
          <w:tcPr>
            <w:tcW w:w="1630" w:type="dxa"/>
            <w:vAlign w:val="top"/>
            <w:tcBorders>
              <w:left w:val="single" w:color="000000" w:sz="2" w:space="0"/>
              <w:right w:val="single" w:color="000000" w:sz="2" w:space="0"/>
            </w:tcBorders>
          </w:tcPr>
          <w:p>
            <w:pPr>
              <w:ind w:left="689"/>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w:t>
            </w:r>
          </w:p>
        </w:tc>
        <w:tc>
          <w:tcPr>
            <w:tcW w:w="1913" w:type="dxa"/>
            <w:vAlign w:val="top"/>
            <w:tcBorders>
              <w:left w:val="single" w:color="000000" w:sz="2" w:space="0"/>
              <w:right w:val="nil"/>
            </w:tcBorders>
          </w:tcPr>
          <w:p>
            <w:pPr>
              <w:ind w:left="831"/>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w:t>
            </w:r>
          </w:p>
        </w:tc>
      </w:tr>
      <w:tr>
        <w:trPr>
          <w:trHeight w:val="376" w:hRule="atLeast"/>
        </w:trPr>
        <w:tc>
          <w:tcPr>
            <w:tcW w:w="681" w:type="dxa"/>
            <w:vAlign w:val="top"/>
            <w:tcBorders>
              <w:right w:val="single" w:color="000000" w:sz="2" w:space="0"/>
              <w:left w:val="nil"/>
            </w:tcBorders>
          </w:tcPr>
          <w:p>
            <w:pPr>
              <w:ind w:left="299"/>
              <w:spacing w:before="118"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86" w:type="dxa"/>
            <w:vAlign w:val="top"/>
            <w:tcBorders>
              <w:left w:val="single" w:color="000000" w:sz="2" w:space="0"/>
              <w:right w:val="single" w:color="000000" w:sz="2" w:space="0"/>
            </w:tcBorders>
          </w:tcPr>
          <w:p>
            <w:pPr>
              <w:pStyle w:val="TableText"/>
              <w:ind w:left="941"/>
              <w:spacing w:before="81" w:line="221" w:lineRule="auto"/>
              <w:rPr/>
            </w:pPr>
            <w:r>
              <w:rPr/>
              <w:t>砷</w:t>
            </w:r>
          </w:p>
        </w:tc>
        <w:tc>
          <w:tcPr>
            <w:tcW w:w="888" w:type="dxa"/>
            <w:vAlign w:val="top"/>
            <w:tcBorders>
              <w:left w:val="single" w:color="000000" w:sz="2" w:space="0"/>
              <w:right w:val="single" w:color="000000" w:sz="2" w:space="0"/>
            </w:tcBorders>
          </w:tcPr>
          <w:p>
            <w:pPr>
              <w:ind w:left="172"/>
              <w:spacing w:before="11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583"/>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2.90</w:t>
            </w:r>
          </w:p>
        </w:tc>
        <w:tc>
          <w:tcPr>
            <w:tcW w:w="1630" w:type="dxa"/>
            <w:vAlign w:val="top"/>
            <w:tcBorders>
              <w:left w:val="single" w:color="000000" w:sz="2" w:space="0"/>
              <w:right w:val="single" w:color="000000" w:sz="2" w:space="0"/>
            </w:tcBorders>
          </w:tcPr>
          <w:p>
            <w:pPr>
              <w:ind w:left="653"/>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1.86</w:t>
            </w:r>
          </w:p>
        </w:tc>
        <w:tc>
          <w:tcPr>
            <w:tcW w:w="1913" w:type="dxa"/>
            <w:vAlign w:val="top"/>
            <w:tcBorders>
              <w:left w:val="single" w:color="000000" w:sz="2" w:space="0"/>
              <w:right w:val="nil"/>
            </w:tcBorders>
          </w:tcPr>
          <w:p>
            <w:pPr>
              <w:ind w:left="795"/>
              <w:spacing w:before="11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1.89</w:t>
            </w:r>
          </w:p>
        </w:tc>
      </w:tr>
      <w:tr>
        <w:trPr>
          <w:trHeight w:val="376" w:hRule="atLeast"/>
        </w:trPr>
        <w:tc>
          <w:tcPr>
            <w:tcW w:w="681" w:type="dxa"/>
            <w:vAlign w:val="top"/>
            <w:tcBorders>
              <w:right w:val="single" w:color="000000" w:sz="2" w:space="0"/>
              <w:left w:val="nil"/>
            </w:tcBorders>
          </w:tcPr>
          <w:p>
            <w:pPr>
              <w:ind w:left="303"/>
              <w:spacing w:before="12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86" w:type="dxa"/>
            <w:vAlign w:val="top"/>
            <w:tcBorders>
              <w:left w:val="single" w:color="000000" w:sz="2" w:space="0"/>
              <w:right w:val="single" w:color="000000" w:sz="2" w:space="0"/>
            </w:tcBorders>
          </w:tcPr>
          <w:p>
            <w:pPr>
              <w:pStyle w:val="TableText"/>
              <w:ind w:left="943"/>
              <w:spacing w:before="83" w:line="221" w:lineRule="auto"/>
              <w:rPr/>
            </w:pPr>
            <w:r>
              <w:rPr/>
              <w:t>汞</w:t>
            </w:r>
          </w:p>
        </w:tc>
        <w:tc>
          <w:tcPr>
            <w:tcW w:w="888" w:type="dxa"/>
            <w:vAlign w:val="top"/>
            <w:tcBorders>
              <w:left w:val="single" w:color="000000" w:sz="2" w:space="0"/>
              <w:right w:val="single" w:color="000000" w:sz="2" w:space="0"/>
            </w:tcBorders>
          </w:tcPr>
          <w:p>
            <w:pPr>
              <w:ind w:left="172"/>
              <w:spacing w:before="120"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539"/>
              <w:spacing w:before="12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0.118</w:t>
            </w:r>
          </w:p>
        </w:tc>
        <w:tc>
          <w:tcPr>
            <w:tcW w:w="1630" w:type="dxa"/>
            <w:vAlign w:val="top"/>
            <w:tcBorders>
              <w:left w:val="single" w:color="000000" w:sz="2" w:space="0"/>
              <w:right w:val="single" w:color="000000" w:sz="2" w:space="0"/>
            </w:tcBorders>
          </w:tcPr>
          <w:p>
            <w:pPr>
              <w:ind w:left="583"/>
              <w:spacing w:before="12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0.085</w:t>
            </w:r>
          </w:p>
        </w:tc>
        <w:tc>
          <w:tcPr>
            <w:tcW w:w="1913" w:type="dxa"/>
            <w:vAlign w:val="top"/>
            <w:tcBorders>
              <w:left w:val="single" w:color="000000" w:sz="2" w:space="0"/>
              <w:right w:val="nil"/>
            </w:tcBorders>
          </w:tcPr>
          <w:p>
            <w:pPr>
              <w:ind w:left="725"/>
              <w:spacing w:before="12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0.099</w:t>
            </w:r>
          </w:p>
        </w:tc>
      </w:tr>
      <w:tr>
        <w:trPr>
          <w:trHeight w:val="376" w:hRule="atLeast"/>
        </w:trPr>
        <w:tc>
          <w:tcPr>
            <w:tcW w:w="681" w:type="dxa"/>
            <w:vAlign w:val="top"/>
            <w:tcBorders>
              <w:right w:val="single" w:color="000000" w:sz="2" w:space="0"/>
              <w:left w:val="nil"/>
            </w:tcBorders>
          </w:tcPr>
          <w:p>
            <w:pPr>
              <w:ind w:left="298"/>
              <w:spacing w:before="123"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86" w:type="dxa"/>
            <w:vAlign w:val="top"/>
            <w:tcBorders>
              <w:left w:val="single" w:color="000000" w:sz="2" w:space="0"/>
              <w:right w:val="single" w:color="000000" w:sz="2" w:space="0"/>
            </w:tcBorders>
          </w:tcPr>
          <w:p>
            <w:pPr>
              <w:pStyle w:val="TableText"/>
              <w:ind w:left="940"/>
              <w:spacing w:before="89" w:line="223" w:lineRule="auto"/>
              <w:rPr/>
            </w:pPr>
            <w:r>
              <w:rPr/>
              <w:t>镉</w:t>
            </w:r>
          </w:p>
        </w:tc>
        <w:tc>
          <w:tcPr>
            <w:tcW w:w="888" w:type="dxa"/>
            <w:vAlign w:val="top"/>
            <w:tcBorders>
              <w:left w:val="single" w:color="000000" w:sz="2" w:space="0"/>
              <w:right w:val="single" w:color="000000" w:sz="2" w:space="0"/>
            </w:tcBorders>
          </w:tcPr>
          <w:p>
            <w:pPr>
              <w:ind w:left="172"/>
              <w:spacing w:before="12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587"/>
              <w:spacing w:before="12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0.27</w:t>
            </w:r>
          </w:p>
        </w:tc>
        <w:tc>
          <w:tcPr>
            <w:tcW w:w="1630" w:type="dxa"/>
            <w:vAlign w:val="top"/>
            <w:tcBorders>
              <w:left w:val="single" w:color="000000" w:sz="2" w:space="0"/>
              <w:right w:val="single" w:color="000000" w:sz="2" w:space="0"/>
            </w:tcBorders>
          </w:tcPr>
          <w:p>
            <w:pPr>
              <w:ind w:left="636"/>
              <w:spacing w:before="12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w:t>
            </w:r>
          </w:p>
        </w:tc>
        <w:tc>
          <w:tcPr>
            <w:tcW w:w="1913" w:type="dxa"/>
            <w:vAlign w:val="top"/>
            <w:tcBorders>
              <w:left w:val="single" w:color="000000" w:sz="2" w:space="0"/>
              <w:right w:val="nil"/>
            </w:tcBorders>
          </w:tcPr>
          <w:p>
            <w:pPr>
              <w:ind w:left="778"/>
              <w:spacing w:before="12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w:t>
            </w:r>
          </w:p>
        </w:tc>
      </w:tr>
      <w:tr>
        <w:trPr>
          <w:trHeight w:val="378" w:hRule="atLeast"/>
        </w:trPr>
        <w:tc>
          <w:tcPr>
            <w:tcW w:w="681" w:type="dxa"/>
            <w:vAlign w:val="top"/>
            <w:tcBorders>
              <w:right w:val="single" w:color="000000" w:sz="2" w:space="0"/>
              <w:left w:val="nil"/>
            </w:tcBorders>
          </w:tcPr>
          <w:p>
            <w:pPr>
              <w:ind w:left="305"/>
              <w:spacing w:before="12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86" w:type="dxa"/>
            <w:vAlign w:val="top"/>
            <w:tcBorders>
              <w:left w:val="single" w:color="000000" w:sz="2" w:space="0"/>
              <w:right w:val="single" w:color="000000" w:sz="2" w:space="0"/>
            </w:tcBorders>
          </w:tcPr>
          <w:p>
            <w:pPr>
              <w:pStyle w:val="TableText"/>
              <w:ind w:left="942"/>
              <w:spacing w:before="91" w:line="222" w:lineRule="auto"/>
              <w:rPr/>
            </w:pPr>
            <w:r>
              <w:rPr/>
              <w:t>铜</w:t>
            </w:r>
          </w:p>
        </w:tc>
        <w:tc>
          <w:tcPr>
            <w:tcW w:w="888" w:type="dxa"/>
            <w:vAlign w:val="top"/>
            <w:tcBorders>
              <w:left w:val="single" w:color="000000" w:sz="2" w:space="0"/>
              <w:right w:val="single" w:color="000000" w:sz="2" w:space="0"/>
            </w:tcBorders>
          </w:tcPr>
          <w:p>
            <w:pPr>
              <w:ind w:left="172"/>
              <w:spacing w:before="12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589"/>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56.2</w:t>
            </w:r>
          </w:p>
        </w:tc>
        <w:tc>
          <w:tcPr>
            <w:tcW w:w="1630" w:type="dxa"/>
            <w:vAlign w:val="top"/>
            <w:tcBorders>
              <w:left w:val="single" w:color="000000" w:sz="2" w:space="0"/>
              <w:right w:val="single" w:color="000000" w:sz="2" w:space="0"/>
            </w:tcBorders>
          </w:tcPr>
          <w:p>
            <w:pPr>
              <w:ind w:left="632"/>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42.1</w:t>
            </w:r>
          </w:p>
        </w:tc>
        <w:tc>
          <w:tcPr>
            <w:tcW w:w="1913" w:type="dxa"/>
            <w:vAlign w:val="top"/>
            <w:tcBorders>
              <w:left w:val="single" w:color="000000" w:sz="2" w:space="0"/>
              <w:right w:val="nil"/>
            </w:tcBorders>
          </w:tcPr>
          <w:p>
            <w:pPr>
              <w:ind w:left="779"/>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38.5</w:t>
            </w:r>
          </w:p>
        </w:tc>
      </w:tr>
      <w:tr>
        <w:trPr>
          <w:trHeight w:val="376" w:hRule="atLeast"/>
        </w:trPr>
        <w:tc>
          <w:tcPr>
            <w:tcW w:w="681" w:type="dxa"/>
            <w:vAlign w:val="top"/>
            <w:tcBorders>
              <w:right w:val="single" w:color="000000" w:sz="2" w:space="0"/>
              <w:left w:val="nil"/>
            </w:tcBorders>
          </w:tcPr>
          <w:p>
            <w:pPr>
              <w:ind w:left="304"/>
              <w:spacing w:before="12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86" w:type="dxa"/>
            <w:vAlign w:val="top"/>
            <w:tcBorders>
              <w:left w:val="single" w:color="000000" w:sz="2" w:space="0"/>
              <w:right w:val="single" w:color="000000" w:sz="2" w:space="0"/>
            </w:tcBorders>
          </w:tcPr>
          <w:p>
            <w:pPr>
              <w:pStyle w:val="TableText"/>
              <w:ind w:left="942"/>
              <w:spacing w:before="92" w:line="225" w:lineRule="auto"/>
              <w:rPr/>
            </w:pPr>
            <w:r>
              <w:rPr/>
              <w:t>铅</w:t>
            </w:r>
          </w:p>
        </w:tc>
        <w:tc>
          <w:tcPr>
            <w:tcW w:w="888" w:type="dxa"/>
            <w:vAlign w:val="top"/>
            <w:tcBorders>
              <w:left w:val="single" w:color="000000" w:sz="2" w:space="0"/>
              <w:right w:val="single" w:color="000000" w:sz="2" w:space="0"/>
            </w:tcBorders>
          </w:tcPr>
          <w:p>
            <w:pPr>
              <w:ind w:left="172"/>
              <w:spacing w:before="12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604"/>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14.7</w:t>
            </w:r>
          </w:p>
        </w:tc>
        <w:tc>
          <w:tcPr>
            <w:tcW w:w="1630" w:type="dxa"/>
            <w:vAlign w:val="top"/>
            <w:tcBorders>
              <w:left w:val="single" w:color="000000" w:sz="2" w:space="0"/>
              <w:right w:val="single" w:color="000000" w:sz="2" w:space="0"/>
            </w:tcBorders>
          </w:tcPr>
          <w:p>
            <w:pPr>
              <w:ind w:left="653"/>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14.0</w:t>
            </w:r>
          </w:p>
        </w:tc>
        <w:tc>
          <w:tcPr>
            <w:tcW w:w="1913" w:type="dxa"/>
            <w:vAlign w:val="top"/>
            <w:tcBorders>
              <w:left w:val="single" w:color="000000" w:sz="2" w:space="0"/>
              <w:right w:val="nil"/>
            </w:tcBorders>
          </w:tcPr>
          <w:p>
            <w:pPr>
              <w:ind w:left="832"/>
              <w:spacing w:before="12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9.8</w:t>
            </w:r>
          </w:p>
        </w:tc>
      </w:tr>
      <w:tr>
        <w:trPr>
          <w:trHeight w:val="376" w:hRule="atLeast"/>
        </w:trPr>
        <w:tc>
          <w:tcPr>
            <w:tcW w:w="681" w:type="dxa"/>
            <w:vAlign w:val="top"/>
            <w:tcBorders>
              <w:right w:val="single" w:color="000000" w:sz="2" w:space="0"/>
              <w:left w:val="nil"/>
            </w:tcBorders>
          </w:tcPr>
          <w:p>
            <w:pPr>
              <w:ind w:left="303"/>
              <w:spacing w:before="132"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086" w:type="dxa"/>
            <w:vAlign w:val="top"/>
            <w:tcBorders>
              <w:left w:val="single" w:color="000000" w:sz="2" w:space="0"/>
              <w:right w:val="single" w:color="000000" w:sz="2" w:space="0"/>
            </w:tcBorders>
          </w:tcPr>
          <w:p>
            <w:pPr>
              <w:pStyle w:val="TableText"/>
              <w:ind w:left="941"/>
              <w:spacing w:before="95" w:line="221" w:lineRule="auto"/>
              <w:rPr/>
            </w:pPr>
            <w:r>
              <w:rPr/>
              <w:t>镍</w:t>
            </w:r>
          </w:p>
        </w:tc>
        <w:tc>
          <w:tcPr>
            <w:tcW w:w="888" w:type="dxa"/>
            <w:vAlign w:val="top"/>
            <w:tcBorders>
              <w:left w:val="single" w:color="000000" w:sz="2" w:space="0"/>
              <w:right w:val="single" w:color="000000" w:sz="2" w:space="0"/>
            </w:tcBorders>
          </w:tcPr>
          <w:p>
            <w:pPr>
              <w:ind w:left="172"/>
              <w:spacing w:before="132"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614"/>
              <w:spacing w:before="132"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1630" w:type="dxa"/>
            <w:vAlign w:val="top"/>
            <w:tcBorders>
              <w:left w:val="single" w:color="000000" w:sz="2" w:space="0"/>
              <w:right w:val="single" w:color="000000" w:sz="2" w:space="0"/>
            </w:tcBorders>
          </w:tcPr>
          <w:p>
            <w:pPr>
              <w:ind w:left="659"/>
              <w:spacing w:before="132"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205</w:t>
            </w:r>
          </w:p>
        </w:tc>
        <w:tc>
          <w:tcPr>
            <w:tcW w:w="1913" w:type="dxa"/>
            <w:vAlign w:val="top"/>
            <w:tcBorders>
              <w:left w:val="single" w:color="000000" w:sz="2" w:space="0"/>
              <w:right w:val="nil"/>
            </w:tcBorders>
          </w:tcPr>
          <w:p>
            <w:pPr>
              <w:ind w:left="801"/>
              <w:spacing w:before="132"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212</w:t>
            </w:r>
          </w:p>
        </w:tc>
      </w:tr>
      <w:tr>
        <w:trPr>
          <w:trHeight w:val="338" w:hRule="atLeast"/>
        </w:trPr>
        <w:tc>
          <w:tcPr>
            <w:tcW w:w="681" w:type="dxa"/>
            <w:vAlign w:val="top"/>
            <w:tcBorders>
              <w:right w:val="single" w:color="000000" w:sz="2" w:space="0"/>
              <w:left w:val="nil"/>
              <w:bottom w:val="single" w:color="000000" w:sz="10" w:space="0"/>
            </w:tcBorders>
          </w:tcPr>
          <w:p>
            <w:pPr>
              <w:ind w:left="308"/>
              <w:spacing w:before="104"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086" w:type="dxa"/>
            <w:vAlign w:val="top"/>
            <w:tcBorders>
              <w:left w:val="single" w:color="000000" w:sz="2" w:space="0"/>
              <w:right w:val="single" w:color="000000" w:sz="2" w:space="0"/>
              <w:bottom w:val="single" w:color="000000" w:sz="10" w:space="0"/>
            </w:tcBorders>
          </w:tcPr>
          <w:p>
            <w:pPr>
              <w:pStyle w:val="TableText"/>
              <w:ind w:left="941"/>
              <w:spacing w:before="68" w:line="223" w:lineRule="auto"/>
              <w:rPr/>
            </w:pPr>
            <w:r>
              <w:rPr/>
              <w:t>铬</w:t>
            </w:r>
          </w:p>
        </w:tc>
        <w:tc>
          <w:tcPr>
            <w:tcW w:w="888" w:type="dxa"/>
            <w:vAlign w:val="top"/>
            <w:tcBorders>
              <w:left w:val="single" w:color="000000" w:sz="2" w:space="0"/>
              <w:right w:val="single" w:color="000000" w:sz="2" w:space="0"/>
              <w:bottom w:val="single" w:color="000000" w:sz="10" w:space="0"/>
            </w:tcBorders>
          </w:tcPr>
          <w:p>
            <w:pPr>
              <w:ind w:left="172"/>
              <w:spacing w:before="10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bottom w:val="single" w:color="000000" w:sz="10" w:space="0"/>
            </w:tcBorders>
          </w:tcPr>
          <w:p>
            <w:pPr>
              <w:ind w:left="592"/>
              <w:spacing w:before="10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89.8</w:t>
            </w:r>
          </w:p>
        </w:tc>
        <w:tc>
          <w:tcPr>
            <w:tcW w:w="1630" w:type="dxa"/>
            <w:vAlign w:val="top"/>
            <w:tcBorders>
              <w:left w:val="single" w:color="000000" w:sz="2" w:space="0"/>
              <w:right w:val="single" w:color="000000" w:sz="2" w:space="0"/>
              <w:bottom w:val="single" w:color="000000" w:sz="10" w:space="0"/>
            </w:tcBorders>
          </w:tcPr>
          <w:p>
            <w:pPr>
              <w:ind w:left="637"/>
              <w:spacing w:before="10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92.5</w:t>
            </w:r>
          </w:p>
        </w:tc>
        <w:tc>
          <w:tcPr>
            <w:tcW w:w="1913" w:type="dxa"/>
            <w:vAlign w:val="top"/>
            <w:tcBorders>
              <w:left w:val="single" w:color="000000" w:sz="2" w:space="0"/>
              <w:right w:val="nil"/>
              <w:bottom w:val="single" w:color="000000" w:sz="10" w:space="0"/>
            </w:tcBorders>
          </w:tcPr>
          <w:p>
            <w:pPr>
              <w:ind w:left="783"/>
              <w:spacing w:before="10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86.0</w:t>
            </w:r>
          </w:p>
        </w:tc>
      </w:tr>
    </w:tbl>
    <w:p>
      <w:pPr>
        <w:pStyle w:val="BodyText"/>
        <w:rPr/>
      </w:pPr>
      <w:r/>
    </w:p>
    <w:p>
      <w:pPr>
        <w:sectPr>
          <w:headerReference w:type="default" r:id="rId95"/>
          <w:footerReference w:type="default" r:id="rId112"/>
          <w:pgSz w:w="11907" w:h="16839"/>
          <w:pgMar w:top="1582" w:right="1591" w:bottom="1235" w:left="1579" w:header="1241" w:footer="992" w:gutter="0"/>
        </w:sectPr>
        <w:rPr/>
      </w:pPr>
    </w:p>
    <w:p>
      <w:pPr>
        <w:spacing w:line="119" w:lineRule="exact"/>
        <w:rPr/>
      </w:pPr>
      <w:r/>
    </w:p>
    <w:tbl>
      <w:tblPr>
        <w:tblStyle w:val="TableNormal"/>
        <w:tblW w:w="8730" w:type="dxa"/>
        <w:tblInd w:w="2" w:type="dxa"/>
        <w:tblLayout w:type="fixed"/>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Pr>
      <w:tblGrid>
        <w:gridCol w:w="681"/>
        <w:gridCol w:w="2086"/>
        <w:gridCol w:w="888"/>
        <w:gridCol w:w="1532"/>
        <w:gridCol w:w="1630"/>
        <w:gridCol w:w="1913"/>
      </w:tblGrid>
      <w:tr>
        <w:trPr>
          <w:trHeight w:val="322" w:hRule="atLeast"/>
        </w:trPr>
        <w:tc>
          <w:tcPr>
            <w:tcW w:w="681" w:type="dxa"/>
            <w:vAlign w:val="top"/>
            <w:tcBorders>
              <w:right w:val="single" w:color="000000" w:sz="2" w:space="0"/>
              <w:left w:val="nil"/>
            </w:tcBorders>
          </w:tcPr>
          <w:p>
            <w:pPr>
              <w:ind w:left="303"/>
              <w:spacing w:before="88"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086" w:type="dxa"/>
            <w:vAlign w:val="top"/>
            <w:tcBorders>
              <w:left w:val="single" w:color="000000" w:sz="2" w:space="0"/>
              <w:right w:val="single" w:color="000000" w:sz="2" w:space="0"/>
            </w:tcBorders>
          </w:tcPr>
          <w:p>
            <w:pPr>
              <w:pStyle w:val="TableText"/>
              <w:ind w:left="941"/>
              <w:spacing w:before="51" w:line="221" w:lineRule="auto"/>
              <w:rPr/>
            </w:pPr>
            <w:r>
              <w:rPr/>
              <w:t>锌</w:t>
            </w:r>
          </w:p>
        </w:tc>
        <w:tc>
          <w:tcPr>
            <w:tcW w:w="888" w:type="dxa"/>
            <w:vAlign w:val="top"/>
            <w:tcBorders>
              <w:left w:val="single" w:color="000000" w:sz="2" w:space="0"/>
              <w:right w:val="single" w:color="000000" w:sz="2" w:space="0"/>
            </w:tcBorders>
          </w:tcPr>
          <w:p>
            <w:pPr>
              <w:ind w:left="172"/>
              <w:spacing w:before="88"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mg/kg</w:t>
            </w:r>
          </w:p>
        </w:tc>
        <w:tc>
          <w:tcPr>
            <w:tcW w:w="1532" w:type="dxa"/>
            <w:vAlign w:val="top"/>
            <w:tcBorders>
              <w:left w:val="single" w:color="000000" w:sz="2" w:space="0"/>
              <w:right w:val="single" w:color="000000" w:sz="2" w:space="0"/>
            </w:tcBorders>
          </w:tcPr>
          <w:p>
            <w:pPr>
              <w:ind w:left="592"/>
              <w:spacing w:before="90"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85.0</w:t>
            </w:r>
          </w:p>
        </w:tc>
        <w:tc>
          <w:tcPr>
            <w:tcW w:w="1630" w:type="dxa"/>
            <w:vAlign w:val="top"/>
            <w:tcBorders>
              <w:left w:val="single" w:color="000000" w:sz="2" w:space="0"/>
              <w:right w:val="single" w:color="000000" w:sz="2" w:space="0"/>
            </w:tcBorders>
          </w:tcPr>
          <w:p>
            <w:pPr>
              <w:ind w:left="636"/>
              <w:spacing w:before="90"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76.4</w:t>
            </w:r>
          </w:p>
        </w:tc>
        <w:tc>
          <w:tcPr>
            <w:tcW w:w="1913" w:type="dxa"/>
            <w:vAlign w:val="top"/>
            <w:tcBorders>
              <w:left w:val="single" w:color="000000" w:sz="2" w:space="0"/>
              <w:right w:val="nil"/>
            </w:tcBorders>
          </w:tcPr>
          <w:p>
            <w:pPr>
              <w:ind w:left="779"/>
              <w:spacing w:before="90"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68.0</w:t>
            </w:r>
          </w:p>
        </w:tc>
      </w:tr>
    </w:tbl>
    <w:p>
      <w:pPr>
        <w:ind w:left="130"/>
        <w:spacing w:before="127" w:line="221" w:lineRule="auto"/>
        <w:rPr>
          <w:rFonts w:ascii="SimSun" w:hAnsi="SimSun" w:eastAsia="SimSun" w:cs="SimSun"/>
          <w:sz w:val="21"/>
          <w:szCs w:val="21"/>
        </w:rPr>
      </w:pPr>
      <w:r>
        <w:rPr>
          <w:rFonts w:ascii="SimSun" w:hAnsi="SimSun" w:eastAsia="SimSun" w:cs="SimSun"/>
          <w:sz w:val="21"/>
          <w:szCs w:val="21"/>
          <w:spacing w:val="-1"/>
        </w:rPr>
        <w:t>注：</w:t>
      </w:r>
      <w:r>
        <w:rPr>
          <w:rFonts w:ascii="Times New Roman" w:hAnsi="Times New Roman" w:eastAsia="Times New Roman" w:cs="Times New Roman"/>
          <w:sz w:val="21"/>
          <w:szCs w:val="21"/>
          <w:spacing w:val="-1"/>
        </w:rPr>
        <w:t>L</w:t>
      </w:r>
      <w:r>
        <w:rPr>
          <w:rFonts w:ascii="SimSun" w:hAnsi="SimSun" w:eastAsia="SimSun" w:cs="SimSun"/>
          <w:sz w:val="21"/>
          <w:szCs w:val="21"/>
          <w:spacing w:val="-1"/>
        </w:rPr>
        <w:t>为低于检出限</w:t>
      </w:r>
    </w:p>
    <w:p>
      <w:pPr>
        <w:ind w:left="618"/>
        <w:spacing w:before="122"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）评价方法</w:t>
      </w:r>
    </w:p>
    <w:p>
      <w:pPr>
        <w:ind w:left="610"/>
        <w:spacing w:before="164" w:line="218" w:lineRule="auto"/>
        <w:rPr>
          <w:rFonts w:ascii="SimSun" w:hAnsi="SimSun" w:eastAsia="SimSun" w:cs="SimSun"/>
          <w:sz w:val="24"/>
          <w:szCs w:val="24"/>
        </w:rPr>
      </w:pPr>
      <w:r>
        <w:rPr>
          <w:rFonts w:ascii="SimSun" w:hAnsi="SimSun" w:eastAsia="SimSun" w:cs="SimSun"/>
          <w:sz w:val="24"/>
          <w:szCs w:val="24"/>
          <w:spacing w:val="-3"/>
        </w:rPr>
        <w:t>评价方法采用标准指数法，计算公式如下：</w:t>
      </w:r>
    </w:p>
    <w:p>
      <w:pPr>
        <w:ind w:left="1926"/>
        <w:spacing w:before="202" w:line="230" w:lineRule="auto"/>
        <w:rPr>
          <w:rFonts w:ascii="Times New Roman" w:hAnsi="Times New Roman" w:eastAsia="Times New Roman" w:cs="Times New Roman"/>
          <w:sz w:val="16"/>
          <w:szCs w:val="16"/>
        </w:rPr>
      </w:pPr>
      <w:r>
        <w:rPr>
          <w:rFonts w:ascii="Times New Roman" w:hAnsi="Times New Roman" w:eastAsia="Times New Roman" w:cs="Times New Roman"/>
          <w:sz w:val="24"/>
          <w:szCs w:val="24"/>
          <w:spacing w:val="-1"/>
        </w:rPr>
        <w:t>P</w:t>
      </w:r>
      <w:r>
        <w:rPr>
          <w:rFonts w:ascii="Times New Roman" w:hAnsi="Times New Roman" w:eastAsia="Times New Roman" w:cs="Times New Roman"/>
          <w:sz w:val="16"/>
          <w:szCs w:val="16"/>
          <w:spacing w:val="-1"/>
          <w:position w:val="-2"/>
        </w:rPr>
        <w:t>i</w:t>
      </w:r>
      <w:r>
        <w:rPr>
          <w:rFonts w:ascii="Times New Roman" w:hAnsi="Times New Roman" w:eastAsia="Times New Roman" w:cs="Times New Roman"/>
          <w:sz w:val="24"/>
          <w:szCs w:val="24"/>
          <w:spacing w:val="-1"/>
        </w:rPr>
        <w:t>=C</w:t>
      </w:r>
      <w:r>
        <w:rPr>
          <w:rFonts w:ascii="Times New Roman" w:hAnsi="Times New Roman" w:eastAsia="Times New Roman" w:cs="Times New Roman"/>
          <w:sz w:val="16"/>
          <w:szCs w:val="16"/>
          <w:spacing w:val="-1"/>
          <w:position w:val="-2"/>
        </w:rPr>
        <w:t>i</w:t>
      </w:r>
      <w:r>
        <w:rPr>
          <w:rFonts w:ascii="Times New Roman" w:hAnsi="Times New Roman" w:eastAsia="Times New Roman" w:cs="Times New Roman"/>
          <w:sz w:val="24"/>
          <w:szCs w:val="24"/>
          <w:spacing w:val="-1"/>
        </w:rPr>
        <w:t>/S</w:t>
      </w:r>
      <w:r>
        <w:rPr>
          <w:rFonts w:ascii="Times New Roman" w:hAnsi="Times New Roman" w:eastAsia="Times New Roman" w:cs="Times New Roman"/>
          <w:sz w:val="16"/>
          <w:szCs w:val="16"/>
          <w:spacing w:val="-1"/>
          <w:position w:val="-2"/>
        </w:rPr>
        <w:t>i</w:t>
      </w:r>
    </w:p>
    <w:p>
      <w:pPr>
        <w:ind w:left="616"/>
        <w:spacing w:before="127"/>
        <w:rPr>
          <w:rFonts w:ascii="SimSun" w:hAnsi="SimSun" w:eastAsia="SimSun" w:cs="SimSun"/>
          <w:sz w:val="24"/>
          <w:szCs w:val="24"/>
        </w:rPr>
      </w:pPr>
      <w:r>
        <w:rPr>
          <w:rFonts w:ascii="SimSun" w:hAnsi="SimSun" w:eastAsia="SimSun" w:cs="SimSun"/>
          <w:sz w:val="24"/>
          <w:szCs w:val="24"/>
          <w:spacing w:val="-4"/>
        </w:rPr>
        <w:t>式中：</w:t>
      </w:r>
      <w:r>
        <w:rPr>
          <w:rFonts w:ascii="Times New Roman" w:hAnsi="Times New Roman" w:eastAsia="Times New Roman" w:cs="Times New Roman"/>
          <w:sz w:val="24"/>
          <w:szCs w:val="24"/>
          <w:spacing w:val="-4"/>
        </w:rPr>
        <w:t>P</w:t>
      </w:r>
      <w:r>
        <w:rPr>
          <w:rFonts w:ascii="Times New Roman" w:hAnsi="Times New Roman" w:eastAsia="Times New Roman" w:cs="Times New Roman"/>
          <w:sz w:val="16"/>
          <w:szCs w:val="16"/>
          <w:spacing w:val="-4"/>
          <w:position w:val="-3"/>
        </w:rPr>
        <w:t>i</w:t>
      </w:r>
      <w:r>
        <w:rPr>
          <w:rFonts w:ascii="Times New Roman" w:hAnsi="Times New Roman" w:eastAsia="Times New Roman" w:cs="Times New Roman"/>
          <w:sz w:val="24"/>
          <w:szCs w:val="24"/>
          <w:spacing w:val="-4"/>
        </w:rPr>
        <w:t>—</w:t>
      </w:r>
      <w:r>
        <w:rPr>
          <w:rFonts w:ascii="SimSun" w:hAnsi="SimSun" w:eastAsia="SimSun" w:cs="SimSun"/>
          <w:sz w:val="24"/>
          <w:szCs w:val="24"/>
          <w:spacing w:val="-4"/>
        </w:rPr>
        <w:t>第</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4"/>
        </w:rPr>
        <w:t>i </w:t>
      </w:r>
      <w:r>
        <w:rPr>
          <w:rFonts w:ascii="SimSun" w:hAnsi="SimSun" w:eastAsia="SimSun" w:cs="SimSun"/>
          <w:sz w:val="24"/>
          <w:szCs w:val="24"/>
          <w:spacing w:val="-4"/>
        </w:rPr>
        <w:t>种污染物的污染指数；</w:t>
      </w:r>
    </w:p>
    <w:p>
      <w:pPr>
        <w:ind w:left="1330"/>
        <w:spacing w:before="157" w:line="223"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Times New Roman" w:hAnsi="Times New Roman" w:eastAsia="Times New Roman" w:cs="Times New Roman"/>
          <w:sz w:val="16"/>
          <w:szCs w:val="16"/>
          <w:spacing w:val="-1"/>
          <w:position w:val="-3"/>
        </w:rPr>
        <w:t>i</w:t>
      </w:r>
      <w:r>
        <w:rPr>
          <w:rFonts w:ascii="Times New Roman" w:hAnsi="Times New Roman" w:eastAsia="Times New Roman" w:cs="Times New Roman"/>
          <w:sz w:val="24"/>
          <w:szCs w:val="24"/>
          <w:spacing w:val="-1"/>
        </w:rPr>
        <w:t>—</w:t>
      </w:r>
      <w:r>
        <w:rPr>
          <w:rFonts w:ascii="SimSun" w:hAnsi="SimSun" w:eastAsia="SimSun" w:cs="SimSun"/>
          <w:sz w:val="24"/>
          <w:szCs w:val="24"/>
          <w:spacing w:val="-1"/>
        </w:rPr>
        <w:t>第</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种污染物的实测浓度，</w:t>
      </w:r>
      <w:r>
        <w:rPr>
          <w:rFonts w:ascii="Times New Roman" w:hAnsi="Times New Roman" w:eastAsia="Times New Roman" w:cs="Times New Roman"/>
          <w:sz w:val="24"/>
          <w:szCs w:val="24"/>
          <w:spacing w:val="-1"/>
        </w:rPr>
        <w:t>mg/kg</w:t>
      </w:r>
      <w:r>
        <w:rPr>
          <w:rFonts w:ascii="SimSun" w:hAnsi="SimSun" w:eastAsia="SimSun" w:cs="SimSun"/>
          <w:sz w:val="24"/>
          <w:szCs w:val="24"/>
          <w:spacing w:val="-1"/>
        </w:rPr>
        <w:t>；</w:t>
      </w:r>
    </w:p>
    <w:p>
      <w:pPr>
        <w:ind w:left="1337"/>
        <w:spacing w:before="175" w:line="223" w:lineRule="auto"/>
        <w:rPr>
          <w:rFonts w:ascii="SimSun" w:hAnsi="SimSun" w:eastAsia="SimSun" w:cs="SimSun"/>
          <w:sz w:val="24"/>
          <w:szCs w:val="24"/>
        </w:rPr>
      </w:pPr>
      <w:r>
        <w:rPr>
          <w:rFonts w:ascii="Times New Roman" w:hAnsi="Times New Roman" w:eastAsia="Times New Roman" w:cs="Times New Roman"/>
          <w:sz w:val="24"/>
          <w:szCs w:val="24"/>
          <w:spacing w:val="-16"/>
        </w:rPr>
        <w:t>S</w:t>
      </w:r>
      <w:r>
        <w:rPr>
          <w:rFonts w:ascii="Times New Roman" w:hAnsi="Times New Roman" w:eastAsia="Times New Roman" w:cs="Times New Roman"/>
          <w:sz w:val="16"/>
          <w:szCs w:val="16"/>
          <w:spacing w:val="-1"/>
          <w:position w:val="-3"/>
        </w:rPr>
        <w:t>i</w:t>
      </w:r>
      <w:r>
        <w:rPr>
          <w:rFonts w:ascii="Times New Roman" w:hAnsi="Times New Roman" w:eastAsia="Times New Roman" w:cs="Times New Roman"/>
          <w:sz w:val="24"/>
          <w:szCs w:val="24"/>
          <w:spacing w:val="-1"/>
        </w:rPr>
        <w:t>—</w:t>
      </w:r>
      <w:r>
        <w:rPr>
          <w:rFonts w:ascii="SimSun" w:hAnsi="SimSun" w:eastAsia="SimSun" w:cs="SimSun"/>
          <w:sz w:val="24"/>
          <w:szCs w:val="24"/>
          <w:spacing w:val="-1"/>
        </w:rPr>
        <w:t>第</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种污染物的评价标准，</w:t>
      </w:r>
      <w:r>
        <w:rPr>
          <w:rFonts w:ascii="Times New Roman" w:hAnsi="Times New Roman" w:eastAsia="Times New Roman" w:cs="Times New Roman"/>
          <w:sz w:val="24"/>
          <w:szCs w:val="24"/>
          <w:spacing w:val="-1"/>
        </w:rPr>
        <w:t>mg/kg</w:t>
      </w:r>
      <w:r>
        <w:rPr>
          <w:rFonts w:ascii="SimSun" w:hAnsi="SimSun" w:eastAsia="SimSun" w:cs="SimSun"/>
          <w:sz w:val="24"/>
          <w:szCs w:val="24"/>
          <w:spacing w:val="-1"/>
        </w:rPr>
        <w:t>。</w:t>
      </w:r>
    </w:p>
    <w:p>
      <w:pPr>
        <w:ind w:left="606"/>
        <w:spacing w:before="179"/>
        <w:rPr>
          <w:rFonts w:ascii="SimSun" w:hAnsi="SimSun" w:eastAsia="SimSun" w:cs="SimSun"/>
          <w:sz w:val="24"/>
          <w:szCs w:val="24"/>
        </w:rPr>
      </w:pPr>
      <w:r>
        <w:rPr>
          <w:rFonts w:ascii="Times New Roman" w:hAnsi="Times New Roman" w:eastAsia="Times New Roman" w:cs="Times New Roman"/>
          <w:sz w:val="24"/>
          <w:szCs w:val="24"/>
          <w:spacing w:val="-2"/>
        </w:rPr>
        <w:t>P</w:t>
      </w:r>
      <w:r>
        <w:rPr>
          <w:rFonts w:ascii="Times New Roman" w:hAnsi="Times New Roman" w:eastAsia="Times New Roman" w:cs="Times New Roman"/>
          <w:sz w:val="16"/>
          <w:szCs w:val="16"/>
          <w:spacing w:val="-2"/>
          <w:position w:val="-3"/>
        </w:rPr>
        <w:t>i</w:t>
      </w: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，则不能满足标准要求，反之则满足标准要求。</w:t>
      </w:r>
    </w:p>
    <w:p>
      <w:pPr>
        <w:ind w:left="618"/>
        <w:spacing w:before="154"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）评价标准</w:t>
      </w:r>
    </w:p>
    <w:p>
      <w:pPr>
        <w:ind w:left="131" w:right="108" w:firstLine="480"/>
        <w:spacing w:before="245" w:line="352" w:lineRule="auto"/>
        <w:rPr>
          <w:rFonts w:ascii="SimSun" w:hAnsi="SimSun" w:eastAsia="SimSun" w:cs="SimSun"/>
          <w:sz w:val="24"/>
          <w:szCs w:val="24"/>
        </w:rPr>
      </w:pPr>
      <w:r>
        <w:rPr>
          <w:rFonts w:ascii="SimSun" w:hAnsi="SimSun" w:eastAsia="SimSun" w:cs="SimSun"/>
          <w:sz w:val="24"/>
          <w:szCs w:val="24"/>
          <w:spacing w:val="-1"/>
        </w:rPr>
        <w:t>本次土壤环境质量现状评价采用</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1"/>
        </w:rPr>
        <w:t>GB36600-2018</w:t>
      </w:r>
      <w:r>
        <w:rPr>
          <w:rFonts w:ascii="SimSun" w:hAnsi="SimSun" w:eastAsia="SimSun" w:cs="SimSun"/>
          <w:sz w:val="24"/>
          <w:szCs w:val="24"/>
          <w:spacing w:val="-1"/>
        </w:rPr>
        <w:t>《土壤环境质量  建设用地土</w:t>
      </w:r>
      <w:r>
        <w:rPr>
          <w:rFonts w:ascii="SimSun" w:hAnsi="SimSun" w:eastAsia="SimSun" w:cs="SimSun"/>
          <w:sz w:val="24"/>
          <w:szCs w:val="24"/>
          <w:spacing w:val="-2"/>
        </w:rPr>
        <w:t>壤环境风险管控标准（试行）》中第二类用地筛选标准限值。</w:t>
      </w:r>
    </w:p>
    <w:p>
      <w:pPr>
        <w:ind w:left="618"/>
        <w:spacing w:before="21" w:line="232"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）评价结果</w:t>
      </w:r>
    </w:p>
    <w:p>
      <w:pPr>
        <w:ind w:left="610"/>
        <w:spacing w:before="166" w:line="232" w:lineRule="auto"/>
        <w:rPr>
          <w:rFonts w:ascii="SimSun" w:hAnsi="SimSun" w:eastAsia="SimSun" w:cs="SimSun"/>
          <w:sz w:val="24"/>
          <w:szCs w:val="24"/>
        </w:rPr>
      </w:pPr>
      <w:r>
        <w:rPr>
          <w:rFonts w:ascii="SimSun" w:hAnsi="SimSun" w:eastAsia="SimSun" w:cs="SimSun"/>
          <w:sz w:val="24"/>
          <w:szCs w:val="24"/>
          <w:spacing w:val="-2"/>
        </w:rPr>
        <w:t>评价结果见表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4-16</w:t>
      </w:r>
      <w:r>
        <w:rPr>
          <w:rFonts w:ascii="SimSun" w:hAnsi="SimSun" w:eastAsia="SimSun" w:cs="SimSun"/>
          <w:sz w:val="24"/>
          <w:szCs w:val="24"/>
          <w:spacing w:val="-2"/>
        </w:rPr>
        <w:t>。</w:t>
      </w:r>
    </w:p>
    <w:p>
      <w:pPr>
        <w:ind w:left="1856"/>
        <w:spacing w:before="167" w:line="217" w:lineRule="auto"/>
        <w:rPr>
          <w:rFonts w:ascii="Times New Roman" w:hAnsi="Times New Roman" w:eastAsia="Times New Roman" w:cs="Times New Roman"/>
          <w:sz w:val="21"/>
          <w:szCs w:val="21"/>
        </w:rPr>
      </w:pPr>
      <w:r>
        <w:rPr>
          <w:rFonts w:ascii="SimSun" w:hAnsi="SimSun" w:eastAsia="SimSun" w:cs="SimSun"/>
          <w:sz w:val="24"/>
          <w:szCs w:val="24"/>
          <w:b/>
          <w:bCs/>
          <w:spacing w:val="-1"/>
        </w:rPr>
        <w:t>表</w:t>
      </w:r>
      <w:r>
        <w:rPr>
          <w:rFonts w:ascii="SimSun" w:hAnsi="SimSun" w:eastAsia="SimSun" w:cs="SimSun"/>
          <w:sz w:val="24"/>
          <w:szCs w:val="24"/>
          <w:spacing w:val="-38"/>
        </w:rPr>
        <w:t xml:space="preserve"> </w:t>
      </w:r>
      <w:r>
        <w:rPr>
          <w:rFonts w:ascii="Times New Roman" w:hAnsi="Times New Roman" w:eastAsia="Times New Roman" w:cs="Times New Roman"/>
          <w:sz w:val="24"/>
          <w:szCs w:val="24"/>
          <w:b/>
          <w:bCs/>
          <w:spacing w:val="-1"/>
        </w:rPr>
        <w:t>4-16      </w:t>
      </w:r>
      <w:r>
        <w:rPr>
          <w:rFonts w:ascii="SimSun" w:hAnsi="SimSun" w:eastAsia="SimSun" w:cs="SimSun"/>
          <w:sz w:val="24"/>
          <w:szCs w:val="24"/>
          <w:b/>
          <w:bCs/>
          <w:spacing w:val="-1"/>
        </w:rPr>
        <w:t>土壤环境质量现状评价结果表</w:t>
      </w:r>
      <w:r>
        <w:rPr>
          <w:rFonts w:ascii="SimSun" w:hAnsi="SimSun" w:eastAsia="SimSun" w:cs="SimSun"/>
          <w:sz w:val="24"/>
          <w:szCs w:val="24"/>
          <w:spacing w:val="-1"/>
        </w:rPr>
        <w:t xml:space="preserve">         </w:t>
      </w:r>
      <w:r>
        <w:rPr>
          <w:rFonts w:ascii="SimSun" w:hAnsi="SimSun" w:eastAsia="SimSun" w:cs="SimSun"/>
          <w:sz w:val="21"/>
          <w:szCs w:val="21"/>
          <w:spacing w:val="-1"/>
        </w:rPr>
        <w:t>单位：</w:t>
      </w:r>
      <w:r>
        <w:rPr>
          <w:rFonts w:ascii="Times New Roman" w:hAnsi="Times New Roman" w:eastAsia="Times New Roman" w:cs="Times New Roman"/>
          <w:sz w:val="21"/>
          <w:szCs w:val="21"/>
          <w:spacing w:val="-1"/>
        </w:rPr>
        <w:t>mg/kg</w:t>
      </w:r>
    </w:p>
    <w:p>
      <w:pPr>
        <w:spacing w:line="73" w:lineRule="exact"/>
        <w:rPr/>
      </w:pPr>
      <w:r/>
    </w:p>
    <w:tbl>
      <w:tblPr>
        <w:tblStyle w:val="TableNormal"/>
        <w:tblW w:w="8735"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68"/>
        <w:gridCol w:w="2110"/>
        <w:gridCol w:w="1685"/>
        <w:gridCol w:w="1767"/>
        <w:gridCol w:w="2105"/>
      </w:tblGrid>
      <w:tr>
        <w:trPr>
          <w:trHeight w:val="321" w:hRule="atLeast"/>
        </w:trPr>
        <w:tc>
          <w:tcPr>
            <w:tcW w:w="1068" w:type="dxa"/>
            <w:vAlign w:val="top"/>
            <w:vMerge w:val="restart"/>
            <w:tcBorders>
              <w:left w:val="nil"/>
              <w:top w:val="single" w:color="000000" w:sz="10" w:space="0"/>
              <w:bottom w:val="nil"/>
            </w:tcBorders>
          </w:tcPr>
          <w:p>
            <w:pPr>
              <w:pStyle w:val="TableText"/>
              <w:ind w:left="336"/>
              <w:spacing w:before="221" w:line="222" w:lineRule="auto"/>
              <w:rPr/>
            </w:pPr>
            <w:r>
              <w:rPr>
                <w:b/>
                <w:bCs/>
                <w:spacing w:val="-4"/>
              </w:rPr>
              <w:t>序号</w:t>
            </w:r>
          </w:p>
        </w:tc>
        <w:tc>
          <w:tcPr>
            <w:tcW w:w="2110" w:type="dxa"/>
            <w:vAlign w:val="top"/>
            <w:vMerge w:val="restart"/>
            <w:tcBorders>
              <w:top w:val="single" w:color="000000" w:sz="10" w:space="0"/>
              <w:bottom w:val="nil"/>
            </w:tcBorders>
          </w:tcPr>
          <w:p>
            <w:pPr>
              <w:pStyle w:val="TableText"/>
              <w:ind w:left="638"/>
              <w:spacing w:before="221" w:line="221" w:lineRule="auto"/>
              <w:rPr/>
            </w:pPr>
            <w:r>
              <w:rPr>
                <w:b/>
                <w:bCs/>
                <w:spacing w:val="-4"/>
              </w:rPr>
              <w:t>监测项目</w:t>
            </w:r>
          </w:p>
        </w:tc>
        <w:tc>
          <w:tcPr>
            <w:tcW w:w="1685" w:type="dxa"/>
            <w:vAlign w:val="top"/>
            <w:tcBorders>
              <w:top w:val="single" w:color="000000" w:sz="10" w:space="0"/>
            </w:tcBorders>
          </w:tcPr>
          <w:p>
            <w:pPr>
              <w:ind w:left="746"/>
              <w:spacing w:before="93"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rPr>
              <w:t>1#</w:t>
            </w:r>
          </w:p>
        </w:tc>
        <w:tc>
          <w:tcPr>
            <w:tcW w:w="1767" w:type="dxa"/>
            <w:vAlign w:val="top"/>
            <w:tcBorders>
              <w:top w:val="single" w:color="000000" w:sz="10" w:space="0"/>
            </w:tcBorders>
          </w:tcPr>
          <w:p>
            <w:pPr>
              <w:ind w:left="777"/>
              <w:spacing w:before="93"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2#</w:t>
            </w:r>
          </w:p>
        </w:tc>
        <w:tc>
          <w:tcPr>
            <w:tcW w:w="2105" w:type="dxa"/>
            <w:vAlign w:val="top"/>
            <w:tcBorders>
              <w:right w:val="nil"/>
              <w:top w:val="single" w:color="000000" w:sz="10" w:space="0"/>
            </w:tcBorders>
          </w:tcPr>
          <w:p>
            <w:pPr>
              <w:ind w:left="944"/>
              <w:spacing w:before="93"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rPr>
              <w:t>3#</w:t>
            </w:r>
          </w:p>
        </w:tc>
      </w:tr>
      <w:tr>
        <w:trPr>
          <w:trHeight w:val="316" w:hRule="atLeast"/>
        </w:trPr>
        <w:tc>
          <w:tcPr>
            <w:tcW w:w="1068" w:type="dxa"/>
            <w:vAlign w:val="top"/>
            <w:vMerge w:val="continue"/>
            <w:tcBorders>
              <w:left w:val="nil"/>
              <w:top w:val="nil"/>
            </w:tcBorders>
          </w:tcPr>
          <w:p>
            <w:pPr>
              <w:rPr>
                <w:rFonts w:ascii="Arial"/>
                <w:sz w:val="21"/>
              </w:rPr>
            </w:pPr>
            <w:r/>
          </w:p>
        </w:tc>
        <w:tc>
          <w:tcPr>
            <w:tcW w:w="2110" w:type="dxa"/>
            <w:vAlign w:val="top"/>
            <w:vMerge w:val="continue"/>
            <w:tcBorders>
              <w:top w:val="nil"/>
            </w:tcBorders>
          </w:tcPr>
          <w:p>
            <w:pPr>
              <w:rPr>
                <w:rFonts w:ascii="Arial"/>
                <w:sz w:val="21"/>
              </w:rPr>
            </w:pPr>
            <w:r/>
          </w:p>
        </w:tc>
        <w:tc>
          <w:tcPr>
            <w:tcW w:w="1685" w:type="dxa"/>
            <w:vAlign w:val="top"/>
          </w:tcPr>
          <w:p>
            <w:pPr>
              <w:pStyle w:val="TableText"/>
              <w:ind w:left="425"/>
              <w:spacing w:before="52" w:line="221" w:lineRule="auto"/>
              <w:rPr/>
            </w:pPr>
            <w:r>
              <w:rPr>
                <w:b/>
                <w:bCs/>
                <w:spacing w:val="-4"/>
              </w:rPr>
              <w:t>污染指数</w:t>
            </w:r>
          </w:p>
        </w:tc>
        <w:tc>
          <w:tcPr>
            <w:tcW w:w="1767" w:type="dxa"/>
            <w:vAlign w:val="top"/>
          </w:tcPr>
          <w:p>
            <w:pPr>
              <w:pStyle w:val="TableText"/>
              <w:ind w:left="466"/>
              <w:spacing w:before="52" w:line="221" w:lineRule="auto"/>
              <w:rPr/>
            </w:pPr>
            <w:r>
              <w:rPr>
                <w:b/>
                <w:bCs/>
                <w:spacing w:val="-4"/>
              </w:rPr>
              <w:t>污染指数</w:t>
            </w:r>
          </w:p>
        </w:tc>
        <w:tc>
          <w:tcPr>
            <w:tcW w:w="2105" w:type="dxa"/>
            <w:vAlign w:val="top"/>
            <w:tcBorders>
              <w:right w:val="nil"/>
            </w:tcBorders>
          </w:tcPr>
          <w:p>
            <w:pPr>
              <w:pStyle w:val="TableText"/>
              <w:ind w:left="634"/>
              <w:spacing w:before="52" w:line="221" w:lineRule="auto"/>
              <w:rPr/>
            </w:pPr>
            <w:r>
              <w:rPr>
                <w:b/>
                <w:bCs/>
                <w:spacing w:val="-4"/>
              </w:rPr>
              <w:t>污染指数</w:t>
            </w:r>
          </w:p>
        </w:tc>
      </w:tr>
      <w:tr>
        <w:trPr>
          <w:trHeight w:val="314" w:hRule="atLeast"/>
        </w:trPr>
        <w:tc>
          <w:tcPr>
            <w:tcW w:w="1068" w:type="dxa"/>
            <w:vAlign w:val="top"/>
            <w:tcBorders>
              <w:left w:val="nil"/>
            </w:tcBorders>
          </w:tcPr>
          <w:p>
            <w:pPr>
              <w:ind w:left="511"/>
              <w:spacing w:before="86"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10" w:type="dxa"/>
            <w:vAlign w:val="top"/>
          </w:tcPr>
          <w:p>
            <w:pPr>
              <w:ind w:left="921"/>
              <w:spacing w:before="8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pH</w:t>
            </w:r>
          </w:p>
        </w:tc>
        <w:tc>
          <w:tcPr>
            <w:tcW w:w="1685" w:type="dxa"/>
            <w:vAlign w:val="top"/>
          </w:tcPr>
          <w:p>
            <w:pPr>
              <w:ind w:left="809"/>
              <w:spacing w:before="86"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67" w:type="dxa"/>
            <w:vAlign w:val="top"/>
          </w:tcPr>
          <w:p>
            <w:pPr>
              <w:ind w:left="849"/>
              <w:spacing w:before="86"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105" w:type="dxa"/>
            <w:vAlign w:val="top"/>
            <w:tcBorders>
              <w:right w:val="nil"/>
            </w:tcBorders>
          </w:tcPr>
          <w:p>
            <w:pPr>
              <w:ind w:left="1017"/>
              <w:spacing w:before="86"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14" w:hRule="atLeast"/>
        </w:trPr>
        <w:tc>
          <w:tcPr>
            <w:tcW w:w="1068" w:type="dxa"/>
            <w:vAlign w:val="top"/>
            <w:tcBorders>
              <w:left w:val="nil"/>
            </w:tcBorders>
          </w:tcPr>
          <w:p>
            <w:pPr>
              <w:ind w:left="491"/>
              <w:spacing w:before="88"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10" w:type="dxa"/>
            <w:vAlign w:val="top"/>
          </w:tcPr>
          <w:p>
            <w:pPr>
              <w:pStyle w:val="TableText"/>
              <w:ind w:left="953"/>
              <w:spacing w:before="51" w:line="221" w:lineRule="auto"/>
              <w:rPr/>
            </w:pPr>
            <w:r>
              <w:rPr/>
              <w:t>砷</w:t>
            </w:r>
          </w:p>
        </w:tc>
        <w:tc>
          <w:tcPr>
            <w:tcW w:w="1685" w:type="dxa"/>
            <w:vAlign w:val="top"/>
          </w:tcPr>
          <w:p>
            <w:pPr>
              <w:ind w:left="660"/>
              <w:spacing w:before="88"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1767" w:type="dxa"/>
            <w:vAlign w:val="top"/>
          </w:tcPr>
          <w:p>
            <w:pPr>
              <w:ind w:left="701"/>
              <w:spacing w:before="88"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0.13</w:t>
            </w:r>
          </w:p>
        </w:tc>
        <w:tc>
          <w:tcPr>
            <w:tcW w:w="2105" w:type="dxa"/>
            <w:vAlign w:val="top"/>
            <w:tcBorders>
              <w:right w:val="nil"/>
            </w:tcBorders>
          </w:tcPr>
          <w:p>
            <w:pPr>
              <w:ind w:left="869"/>
              <w:spacing w:before="88"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0.22</w:t>
            </w:r>
          </w:p>
        </w:tc>
      </w:tr>
      <w:tr>
        <w:trPr>
          <w:trHeight w:val="314" w:hRule="atLeast"/>
        </w:trPr>
        <w:tc>
          <w:tcPr>
            <w:tcW w:w="1068" w:type="dxa"/>
            <w:vAlign w:val="top"/>
            <w:tcBorders>
              <w:left w:val="nil"/>
            </w:tcBorders>
          </w:tcPr>
          <w:p>
            <w:pPr>
              <w:ind w:left="495"/>
              <w:spacing w:before="9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10" w:type="dxa"/>
            <w:vAlign w:val="top"/>
          </w:tcPr>
          <w:p>
            <w:pPr>
              <w:pStyle w:val="TableText"/>
              <w:ind w:left="955"/>
              <w:spacing w:before="56" w:line="218" w:lineRule="auto"/>
              <w:rPr/>
            </w:pPr>
            <w:r>
              <w:rPr/>
              <w:t>汞</w:t>
            </w:r>
          </w:p>
        </w:tc>
        <w:tc>
          <w:tcPr>
            <w:tcW w:w="1685" w:type="dxa"/>
            <w:vAlign w:val="top"/>
          </w:tcPr>
          <w:p>
            <w:pPr>
              <w:ind w:left="660"/>
              <w:spacing w:before="9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c>
          <w:tcPr>
            <w:tcW w:w="1767" w:type="dxa"/>
            <w:vAlign w:val="top"/>
          </w:tcPr>
          <w:p>
            <w:pPr>
              <w:ind w:left="701"/>
              <w:spacing w:before="9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0.03</w:t>
            </w:r>
          </w:p>
        </w:tc>
        <w:tc>
          <w:tcPr>
            <w:tcW w:w="2105" w:type="dxa"/>
            <w:vAlign w:val="top"/>
            <w:tcBorders>
              <w:right w:val="nil"/>
            </w:tcBorders>
          </w:tcPr>
          <w:p>
            <w:pPr>
              <w:ind w:left="869"/>
              <w:spacing w:before="9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w:t>
            </w:r>
          </w:p>
        </w:tc>
      </w:tr>
      <w:tr>
        <w:trPr>
          <w:trHeight w:val="317" w:hRule="atLeast"/>
        </w:trPr>
        <w:tc>
          <w:tcPr>
            <w:tcW w:w="1068" w:type="dxa"/>
            <w:vAlign w:val="top"/>
            <w:tcBorders>
              <w:left w:val="nil"/>
            </w:tcBorders>
          </w:tcPr>
          <w:p>
            <w:pPr>
              <w:ind w:left="490"/>
              <w:spacing w:before="9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10" w:type="dxa"/>
            <w:vAlign w:val="top"/>
          </w:tcPr>
          <w:p>
            <w:pPr>
              <w:pStyle w:val="TableText"/>
              <w:ind w:left="952"/>
              <w:spacing w:before="59" w:line="218" w:lineRule="auto"/>
              <w:rPr/>
            </w:pPr>
            <w:r>
              <w:rPr/>
              <w:t>镉</w:t>
            </w:r>
          </w:p>
        </w:tc>
        <w:tc>
          <w:tcPr>
            <w:tcW w:w="1685" w:type="dxa"/>
            <w:vAlign w:val="top"/>
          </w:tcPr>
          <w:p>
            <w:pPr>
              <w:ind w:left="660"/>
              <w:spacing w:before="9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0.20</w:t>
            </w:r>
          </w:p>
        </w:tc>
        <w:tc>
          <w:tcPr>
            <w:tcW w:w="1767" w:type="dxa"/>
            <w:vAlign w:val="top"/>
          </w:tcPr>
          <w:p>
            <w:pPr>
              <w:ind w:left="701"/>
              <w:spacing w:before="9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w:t>
            </w:r>
          </w:p>
        </w:tc>
        <w:tc>
          <w:tcPr>
            <w:tcW w:w="2105" w:type="dxa"/>
            <w:vAlign w:val="top"/>
            <w:tcBorders>
              <w:right w:val="nil"/>
            </w:tcBorders>
          </w:tcPr>
          <w:p>
            <w:pPr>
              <w:ind w:left="869"/>
              <w:spacing w:before="95"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r>
      <w:tr>
        <w:trPr>
          <w:trHeight w:val="314" w:hRule="atLeast"/>
        </w:trPr>
        <w:tc>
          <w:tcPr>
            <w:tcW w:w="1068" w:type="dxa"/>
            <w:vAlign w:val="top"/>
            <w:tcBorders>
              <w:left w:val="nil"/>
            </w:tcBorders>
          </w:tcPr>
          <w:p>
            <w:pPr>
              <w:ind w:left="497"/>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10" w:type="dxa"/>
            <w:vAlign w:val="top"/>
          </w:tcPr>
          <w:p>
            <w:pPr>
              <w:pStyle w:val="TableText"/>
              <w:ind w:left="954"/>
              <w:spacing w:before="58" w:line="216" w:lineRule="auto"/>
              <w:rPr/>
            </w:pPr>
            <w:r>
              <w:rPr/>
              <w:t>铜</w:t>
            </w:r>
          </w:p>
        </w:tc>
        <w:tc>
          <w:tcPr>
            <w:tcW w:w="1685" w:type="dxa"/>
            <w:vAlign w:val="top"/>
          </w:tcPr>
          <w:p>
            <w:pPr>
              <w:ind w:left="660"/>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1767" w:type="dxa"/>
            <w:vAlign w:val="top"/>
          </w:tcPr>
          <w:p>
            <w:pPr>
              <w:ind w:left="701"/>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w:t>
            </w:r>
          </w:p>
        </w:tc>
        <w:tc>
          <w:tcPr>
            <w:tcW w:w="2105" w:type="dxa"/>
            <w:vAlign w:val="top"/>
            <w:tcBorders>
              <w:right w:val="nil"/>
            </w:tcBorders>
          </w:tcPr>
          <w:p>
            <w:pPr>
              <w:ind w:left="869"/>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0.31</w:t>
            </w:r>
          </w:p>
        </w:tc>
      </w:tr>
      <w:tr>
        <w:trPr>
          <w:trHeight w:val="314" w:hRule="atLeast"/>
        </w:trPr>
        <w:tc>
          <w:tcPr>
            <w:tcW w:w="1068" w:type="dxa"/>
            <w:vAlign w:val="top"/>
            <w:tcBorders>
              <w:left w:val="nil"/>
            </w:tcBorders>
          </w:tcPr>
          <w:p>
            <w:pPr>
              <w:ind w:left="496"/>
              <w:spacing w:before="97"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110" w:type="dxa"/>
            <w:vAlign w:val="top"/>
          </w:tcPr>
          <w:p>
            <w:pPr>
              <w:pStyle w:val="TableText"/>
              <w:ind w:left="954"/>
              <w:spacing w:before="60" w:line="214" w:lineRule="auto"/>
              <w:rPr/>
            </w:pPr>
            <w:r>
              <w:rPr/>
              <w:t>铅</w:t>
            </w:r>
          </w:p>
        </w:tc>
        <w:tc>
          <w:tcPr>
            <w:tcW w:w="1685" w:type="dxa"/>
            <w:vAlign w:val="top"/>
          </w:tcPr>
          <w:p>
            <w:pPr>
              <w:ind w:left="660"/>
              <w:spacing w:before="97"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767" w:type="dxa"/>
            <w:vAlign w:val="top"/>
          </w:tcPr>
          <w:p>
            <w:pPr>
              <w:ind w:left="701"/>
              <w:spacing w:before="97"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0.38</w:t>
            </w:r>
          </w:p>
        </w:tc>
        <w:tc>
          <w:tcPr>
            <w:tcW w:w="2105" w:type="dxa"/>
            <w:vAlign w:val="top"/>
            <w:tcBorders>
              <w:right w:val="nil"/>
            </w:tcBorders>
          </w:tcPr>
          <w:p>
            <w:pPr>
              <w:ind w:left="869"/>
              <w:spacing w:before="97"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w:t>
            </w:r>
          </w:p>
        </w:tc>
      </w:tr>
      <w:tr>
        <w:trPr>
          <w:trHeight w:val="314" w:hRule="atLeast"/>
        </w:trPr>
        <w:tc>
          <w:tcPr>
            <w:tcW w:w="1068" w:type="dxa"/>
            <w:vAlign w:val="top"/>
            <w:tcBorders>
              <w:left w:val="nil"/>
            </w:tcBorders>
          </w:tcPr>
          <w:p>
            <w:pPr>
              <w:ind w:left="494"/>
              <w:spacing w:before="99"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110" w:type="dxa"/>
            <w:vAlign w:val="top"/>
          </w:tcPr>
          <w:p>
            <w:pPr>
              <w:pStyle w:val="TableText"/>
              <w:ind w:left="953"/>
              <w:spacing w:before="65" w:line="210" w:lineRule="auto"/>
              <w:rPr/>
            </w:pPr>
            <w:r>
              <w:rPr/>
              <w:t>镍</w:t>
            </w:r>
          </w:p>
        </w:tc>
        <w:tc>
          <w:tcPr>
            <w:tcW w:w="1685" w:type="dxa"/>
            <w:vAlign w:val="top"/>
          </w:tcPr>
          <w:p>
            <w:pPr>
              <w:ind w:left="660"/>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0.24</w:t>
            </w:r>
          </w:p>
        </w:tc>
        <w:tc>
          <w:tcPr>
            <w:tcW w:w="1767" w:type="dxa"/>
            <w:vAlign w:val="top"/>
          </w:tcPr>
          <w:p>
            <w:pPr>
              <w:ind w:left="701"/>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0.22</w:t>
            </w:r>
          </w:p>
        </w:tc>
        <w:tc>
          <w:tcPr>
            <w:tcW w:w="2105" w:type="dxa"/>
            <w:vAlign w:val="top"/>
            <w:tcBorders>
              <w:right w:val="nil"/>
            </w:tcBorders>
          </w:tcPr>
          <w:p>
            <w:pPr>
              <w:ind w:left="869"/>
              <w:spacing w:before="95"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0.26</w:t>
            </w:r>
          </w:p>
        </w:tc>
      </w:tr>
      <w:tr>
        <w:trPr>
          <w:trHeight w:val="317" w:hRule="atLeast"/>
        </w:trPr>
        <w:tc>
          <w:tcPr>
            <w:tcW w:w="1068" w:type="dxa"/>
            <w:vAlign w:val="top"/>
            <w:tcBorders>
              <w:left w:val="nil"/>
            </w:tcBorders>
          </w:tcPr>
          <w:p>
            <w:pPr>
              <w:ind w:left="500"/>
              <w:spacing w:before="104"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110" w:type="dxa"/>
            <w:vAlign w:val="top"/>
          </w:tcPr>
          <w:p>
            <w:pPr>
              <w:pStyle w:val="TableText"/>
              <w:ind w:left="953"/>
              <w:spacing w:before="68" w:line="210" w:lineRule="auto"/>
              <w:rPr/>
            </w:pPr>
            <w:r>
              <w:rPr/>
              <w:t>铬</w:t>
            </w:r>
          </w:p>
        </w:tc>
        <w:tc>
          <w:tcPr>
            <w:tcW w:w="1685" w:type="dxa"/>
            <w:vAlign w:val="top"/>
          </w:tcPr>
          <w:p>
            <w:pPr>
              <w:ind w:left="713"/>
              <w:spacing w:before="9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p>
        </w:tc>
        <w:tc>
          <w:tcPr>
            <w:tcW w:w="1767" w:type="dxa"/>
            <w:vAlign w:val="top"/>
          </w:tcPr>
          <w:p>
            <w:pPr>
              <w:ind w:left="701"/>
              <w:spacing w:before="9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w:t>
            </w:r>
          </w:p>
        </w:tc>
        <w:tc>
          <w:tcPr>
            <w:tcW w:w="2105" w:type="dxa"/>
            <w:vAlign w:val="top"/>
            <w:tcBorders>
              <w:right w:val="nil"/>
            </w:tcBorders>
          </w:tcPr>
          <w:p>
            <w:pPr>
              <w:ind w:left="869"/>
              <w:spacing w:before="97"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r>
      <w:tr>
        <w:trPr>
          <w:trHeight w:val="336" w:hRule="atLeast"/>
        </w:trPr>
        <w:tc>
          <w:tcPr>
            <w:tcW w:w="1068" w:type="dxa"/>
            <w:vAlign w:val="top"/>
            <w:tcBorders>
              <w:left w:val="nil"/>
              <w:bottom w:val="single" w:color="000000" w:sz="10" w:space="0"/>
            </w:tcBorders>
          </w:tcPr>
          <w:p>
            <w:pPr>
              <w:ind w:left="495"/>
              <w:spacing w:before="104"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110" w:type="dxa"/>
            <w:vAlign w:val="top"/>
            <w:tcBorders>
              <w:bottom w:val="single" w:color="000000" w:sz="10" w:space="0"/>
            </w:tcBorders>
          </w:tcPr>
          <w:p>
            <w:pPr>
              <w:pStyle w:val="TableText"/>
              <w:ind w:left="953"/>
              <w:spacing w:before="67" w:line="221" w:lineRule="auto"/>
              <w:rPr/>
            </w:pPr>
            <w:r>
              <w:rPr/>
              <w:t>锌</w:t>
            </w:r>
          </w:p>
        </w:tc>
        <w:tc>
          <w:tcPr>
            <w:tcW w:w="1685" w:type="dxa"/>
            <w:vAlign w:val="top"/>
            <w:tcBorders>
              <w:bottom w:val="single" w:color="000000" w:sz="10" w:space="0"/>
            </w:tcBorders>
          </w:tcPr>
          <w:p>
            <w:pPr>
              <w:ind w:left="660"/>
              <w:spacing w:before="100" w:line="22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0.24</w:t>
            </w:r>
          </w:p>
        </w:tc>
        <w:tc>
          <w:tcPr>
            <w:tcW w:w="1767" w:type="dxa"/>
            <w:vAlign w:val="top"/>
            <w:tcBorders>
              <w:bottom w:val="single" w:color="000000" w:sz="10" w:space="0"/>
            </w:tcBorders>
          </w:tcPr>
          <w:p>
            <w:pPr>
              <w:ind w:left="701"/>
              <w:spacing w:before="100" w:line="22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0.21</w:t>
            </w:r>
          </w:p>
        </w:tc>
        <w:tc>
          <w:tcPr>
            <w:tcW w:w="2105" w:type="dxa"/>
            <w:vAlign w:val="top"/>
            <w:tcBorders>
              <w:right w:val="nil"/>
              <w:bottom w:val="single" w:color="000000" w:sz="10" w:space="0"/>
            </w:tcBorders>
          </w:tcPr>
          <w:p>
            <w:pPr>
              <w:ind w:left="869"/>
              <w:spacing w:before="100" w:line="22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0.26</w:t>
            </w:r>
          </w:p>
        </w:tc>
      </w:tr>
    </w:tbl>
    <w:p>
      <w:pPr>
        <w:ind w:left="130" w:right="106" w:firstLine="509"/>
        <w:spacing w:before="113" w:line="354" w:lineRule="auto"/>
        <w:jc w:val="both"/>
        <w:rPr>
          <w:rFonts w:ascii="SimSun" w:hAnsi="SimSun" w:eastAsia="SimSun" w:cs="SimSun"/>
          <w:sz w:val="24"/>
          <w:szCs w:val="24"/>
        </w:rPr>
      </w:pPr>
      <w:r>
        <w:rPr>
          <w:rFonts w:ascii="SimSun" w:hAnsi="SimSun" w:eastAsia="SimSun" w:cs="SimSun"/>
          <w:sz w:val="24"/>
          <w:szCs w:val="24"/>
          <w:spacing w:val="8"/>
        </w:rPr>
        <w:t>由表 </w:t>
      </w:r>
      <w:r>
        <w:rPr>
          <w:rFonts w:ascii="Times New Roman" w:hAnsi="Times New Roman" w:eastAsia="Times New Roman" w:cs="Times New Roman"/>
          <w:sz w:val="24"/>
          <w:szCs w:val="24"/>
          <w:spacing w:val="8"/>
        </w:rPr>
        <w:t>4-16  </w:t>
      </w:r>
      <w:r>
        <w:rPr>
          <w:rFonts w:ascii="SimSun" w:hAnsi="SimSun" w:eastAsia="SimSun" w:cs="SimSun"/>
          <w:sz w:val="24"/>
          <w:szCs w:val="24"/>
          <w:spacing w:val="8"/>
        </w:rPr>
        <w:t>可知，各监测点的污染物污染指数均小于</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8"/>
        </w:rPr>
        <w:t>1</w:t>
      </w:r>
      <w:r>
        <w:rPr>
          <w:rFonts w:ascii="SimSun" w:hAnsi="SimSun" w:eastAsia="SimSun" w:cs="SimSun"/>
          <w:sz w:val="24"/>
          <w:szCs w:val="24"/>
          <w:spacing w:val="8"/>
        </w:rPr>
        <w:t>，监测指标均符合</w:t>
      </w:r>
      <w:r>
        <w:rPr>
          <w:rFonts w:ascii="Times New Roman" w:hAnsi="Times New Roman" w:eastAsia="Times New Roman" w:cs="Times New Roman"/>
          <w:sz w:val="24"/>
          <w:szCs w:val="24"/>
          <w:spacing w:val="-2"/>
        </w:rPr>
        <w:t>GB15618-2018</w:t>
      </w:r>
      <w:r>
        <w:rPr>
          <w:rFonts w:ascii="SimSun" w:hAnsi="SimSun" w:eastAsia="SimSun" w:cs="SimSun"/>
          <w:sz w:val="24"/>
          <w:szCs w:val="24"/>
          <w:spacing w:val="-2"/>
        </w:rPr>
        <w:t>《土壤环境质量  农用地土壤污染风险管控标准》中表 </w:t>
      </w:r>
      <w:r>
        <w:rPr>
          <w:rFonts w:ascii="Times New Roman" w:hAnsi="Times New Roman" w:eastAsia="Times New Roman" w:cs="Times New Roman"/>
          <w:sz w:val="24"/>
          <w:szCs w:val="24"/>
          <w:spacing w:val="-2"/>
        </w:rPr>
        <w:t>1  </w:t>
      </w:r>
      <w:r>
        <w:rPr>
          <w:rFonts w:ascii="SimSun" w:hAnsi="SimSun" w:eastAsia="SimSun" w:cs="SimSun"/>
          <w:sz w:val="24"/>
          <w:szCs w:val="24"/>
          <w:spacing w:val="-2"/>
        </w:rPr>
        <w:t>中农用地</w:t>
      </w:r>
      <w:r>
        <w:rPr>
          <w:rFonts w:ascii="SimSun" w:hAnsi="SimSun" w:eastAsia="SimSun" w:cs="SimSun"/>
          <w:sz w:val="24"/>
          <w:szCs w:val="24"/>
          <w:spacing w:val="-2"/>
        </w:rPr>
        <w:t>土壤污染风险筛选值要求，表明区域内土壤环境质量良好。</w:t>
      </w:r>
    </w:p>
    <w:p>
      <w:pPr>
        <w:ind w:left="128"/>
        <w:spacing w:before="285"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4.2.5 </w:t>
      </w:r>
      <w:r>
        <w:rPr>
          <w:rFonts w:ascii="SimSun" w:hAnsi="SimSun" w:eastAsia="SimSun" w:cs="SimSun"/>
          <w:sz w:val="24"/>
          <w:szCs w:val="24"/>
          <w:b/>
          <w:bCs/>
          <w:spacing w:val="-2"/>
        </w:rPr>
        <w:t>生态环境质量现状评价</w:t>
      </w:r>
    </w:p>
    <w:p>
      <w:pPr>
        <w:pStyle w:val="BodyText"/>
        <w:spacing w:line="345" w:lineRule="auto"/>
        <w:rPr/>
      </w:pPr>
      <w:r/>
    </w:p>
    <w:p>
      <w:pPr>
        <w:ind w:left="618"/>
        <w:spacing w:before="79"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）生态环境信息获取</w:t>
      </w:r>
    </w:p>
    <w:p>
      <w:pPr>
        <w:spacing w:line="233" w:lineRule="auto"/>
        <w:sectPr>
          <w:footerReference w:type="default" r:id="rId113"/>
          <w:pgSz w:w="11907" w:h="16839"/>
          <w:pgMar w:top="1582" w:right="1591" w:bottom="1235" w:left="1579" w:header="1241" w:footer="992" w:gutter="0"/>
        </w:sectPr>
        <w:rPr>
          <w:rFonts w:ascii="SimSun" w:hAnsi="SimSun" w:eastAsia="SimSun" w:cs="SimSun"/>
          <w:sz w:val="24"/>
          <w:szCs w:val="24"/>
        </w:rPr>
      </w:pPr>
    </w:p>
    <w:p>
      <w:pPr>
        <w:ind w:left="112" w:right="90" w:firstLine="471"/>
        <w:spacing w:before="232" w:line="360" w:lineRule="auto"/>
        <w:jc w:val="both"/>
        <w:rPr>
          <w:rFonts w:ascii="SimSun" w:hAnsi="SimSun" w:eastAsia="SimSun" w:cs="SimSun"/>
          <w:sz w:val="24"/>
          <w:szCs w:val="24"/>
        </w:rPr>
      </w:pPr>
      <w:r>
        <w:rPr>
          <w:rFonts w:ascii="SimSun" w:hAnsi="SimSun" w:eastAsia="SimSun" w:cs="SimSun"/>
          <w:sz w:val="24"/>
          <w:szCs w:val="24"/>
          <w:spacing w:val="10"/>
        </w:rPr>
        <w:t>评价区植被现状调查是应用植被生态学野外调查的方法确定植被的群落类</w:t>
      </w:r>
      <w:r>
        <w:rPr>
          <w:rFonts w:ascii="SimSun" w:hAnsi="SimSun" w:eastAsia="SimSun" w:cs="SimSun"/>
          <w:sz w:val="24"/>
          <w:szCs w:val="24"/>
          <w:spacing w:val="2"/>
        </w:rPr>
        <w:t>型、对评价区生态系统中的宏观结构、功能、人类活动等群落水平上作出分析和</w:t>
      </w:r>
      <w:r>
        <w:rPr>
          <w:rFonts w:ascii="SimSun" w:hAnsi="SimSun" w:eastAsia="SimSun" w:cs="SimSun"/>
          <w:sz w:val="24"/>
          <w:szCs w:val="24"/>
          <w:spacing w:val="-3"/>
        </w:rPr>
        <w:t>比较，为该区实施可持续发展战略提供理论基础。</w:t>
      </w:r>
    </w:p>
    <w:p>
      <w:pPr>
        <w:ind w:left="584"/>
        <w:spacing w:line="217" w:lineRule="auto"/>
        <w:rPr>
          <w:rFonts w:ascii="SimSun" w:hAnsi="SimSun" w:eastAsia="SimSun" w:cs="SimSun"/>
          <w:sz w:val="24"/>
          <w:szCs w:val="24"/>
        </w:rPr>
      </w:pPr>
      <w:r>
        <w:rPr>
          <w:rFonts w:ascii="SimSun" w:hAnsi="SimSun" w:eastAsia="SimSun" w:cs="SimSun"/>
          <w:sz w:val="24"/>
          <w:szCs w:val="24"/>
          <w:spacing w:val="-1"/>
        </w:rPr>
        <w:t>①植被类型与特征确定</w:t>
      </w:r>
    </w:p>
    <w:p>
      <w:pPr>
        <w:ind w:left="104" w:firstLine="480"/>
        <w:spacing w:before="186" w:line="357" w:lineRule="auto"/>
        <w:rPr>
          <w:rFonts w:ascii="SimSun" w:hAnsi="SimSun" w:eastAsia="SimSun" w:cs="SimSun"/>
          <w:sz w:val="24"/>
          <w:szCs w:val="24"/>
        </w:rPr>
      </w:pPr>
      <w:r>
        <w:rPr>
          <w:rFonts w:ascii="SimSun" w:hAnsi="SimSun" w:eastAsia="SimSun" w:cs="SimSun"/>
          <w:sz w:val="24"/>
          <w:szCs w:val="24"/>
          <w:spacing w:val="-2"/>
        </w:rPr>
        <w:t>根据现场植被调查的实际数据结合遥感影像数据，作为植被类型划分的依据。</w:t>
      </w:r>
      <w:r>
        <w:rPr>
          <w:rFonts w:ascii="SimSun" w:hAnsi="SimSun" w:eastAsia="SimSun" w:cs="SimSun"/>
          <w:sz w:val="24"/>
          <w:szCs w:val="24"/>
          <w:spacing w:val="-5"/>
        </w:rPr>
        <w:t>对场区周围</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5"/>
        </w:rPr>
        <w:t>500m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5"/>
        </w:rPr>
        <w:t>范围内的植物和植被进行调</w:t>
      </w:r>
      <w:r>
        <w:rPr>
          <w:rFonts w:ascii="SimSun" w:hAnsi="SimSun" w:eastAsia="SimSun" w:cs="SimSun"/>
          <w:sz w:val="24"/>
          <w:szCs w:val="24"/>
          <w:spacing w:val="-6"/>
        </w:rPr>
        <w:t>查。在调查过程中，</w:t>
      </w:r>
      <w:r>
        <w:rPr>
          <w:rFonts w:ascii="SimSun" w:hAnsi="SimSun" w:eastAsia="SimSun" w:cs="SimSun"/>
          <w:sz w:val="24"/>
          <w:szCs w:val="24"/>
          <w:spacing w:val="-37"/>
        </w:rPr>
        <w:t xml:space="preserve"> </w:t>
      </w:r>
      <w:r>
        <w:rPr>
          <w:rFonts w:ascii="SimSun" w:hAnsi="SimSun" w:eastAsia="SimSun" w:cs="SimSun"/>
          <w:sz w:val="24"/>
          <w:szCs w:val="24"/>
          <w:spacing w:val="-6"/>
        </w:rPr>
        <w:t>确定评价区内的</w:t>
      </w:r>
      <w:r>
        <w:rPr>
          <w:rFonts w:ascii="SimSun" w:hAnsi="SimSun" w:eastAsia="SimSun" w:cs="SimSun"/>
          <w:sz w:val="24"/>
          <w:szCs w:val="24"/>
          <w:spacing w:val="-2"/>
        </w:rPr>
        <w:t>植物种类、经济植物的种类及植物资源状况、珍稀濒危植物的种类及生存状况等。</w:t>
      </w:r>
    </w:p>
    <w:p>
      <w:pPr>
        <w:ind w:left="583"/>
        <w:spacing w:before="12" w:line="217" w:lineRule="auto"/>
        <w:rPr>
          <w:rFonts w:ascii="SimSun" w:hAnsi="SimSun" w:eastAsia="SimSun" w:cs="SimSun"/>
          <w:sz w:val="24"/>
          <w:szCs w:val="24"/>
        </w:rPr>
      </w:pPr>
      <w:r>
        <w:rPr>
          <w:rFonts w:ascii="SimSun" w:hAnsi="SimSun" w:eastAsia="SimSun" w:cs="SimSun"/>
          <w:sz w:val="24"/>
          <w:szCs w:val="24"/>
          <w:spacing w:val="-2"/>
        </w:rPr>
        <w:t>②调查方法</w:t>
      </w:r>
    </w:p>
    <w:p>
      <w:pPr>
        <w:ind w:left="105" w:right="95" w:firstLine="479"/>
        <w:spacing w:before="185" w:line="360" w:lineRule="auto"/>
        <w:rPr>
          <w:rFonts w:ascii="SimSun" w:hAnsi="SimSun" w:eastAsia="SimSun" w:cs="SimSun"/>
          <w:sz w:val="24"/>
          <w:szCs w:val="24"/>
        </w:rPr>
      </w:pPr>
      <w:r>
        <w:rPr>
          <w:rFonts w:ascii="SimSun" w:hAnsi="SimSun" w:eastAsia="SimSun" w:cs="SimSun"/>
          <w:sz w:val="24"/>
          <w:szCs w:val="24"/>
          <w:spacing w:val="3"/>
        </w:rPr>
        <w:t>地面调查主要采取以实地调查为主，普查、</w:t>
      </w:r>
      <w:r>
        <w:rPr>
          <w:rFonts w:ascii="SimSun" w:hAnsi="SimSun" w:eastAsia="SimSun" w:cs="SimSun"/>
          <w:sz w:val="24"/>
          <w:szCs w:val="24"/>
          <w:spacing w:val="2"/>
        </w:rPr>
        <w:t>详查相结合的方法。实地调查掌</w:t>
      </w:r>
      <w:r>
        <w:rPr>
          <w:rFonts w:ascii="SimSun" w:hAnsi="SimSun" w:eastAsia="SimSun" w:cs="SimSun"/>
          <w:sz w:val="24"/>
          <w:szCs w:val="24"/>
          <w:spacing w:val="2"/>
        </w:rPr>
        <w:t>握项目区范围内自然生态环境的基本情况及各种水土保持项目的情况。通过对技</w:t>
      </w:r>
      <w:r>
        <w:rPr>
          <w:rFonts w:ascii="SimSun" w:hAnsi="SimSun" w:eastAsia="SimSun" w:cs="SimSun"/>
          <w:sz w:val="24"/>
          <w:szCs w:val="24"/>
          <w:spacing w:val="2"/>
        </w:rPr>
        <w:t>术人员、政府管理部门、周边工业、企业等访问调查，了解生态现状及近几年各</w:t>
      </w:r>
      <w:r>
        <w:rPr>
          <w:rFonts w:ascii="SimSun" w:hAnsi="SimSun" w:eastAsia="SimSun" w:cs="SimSun"/>
          <w:sz w:val="24"/>
          <w:szCs w:val="24"/>
          <w:spacing w:val="2"/>
        </w:rPr>
        <w:t>种因素的变化、水土流失严重程度、生态环境建设的规划与设想等，遥感卫星影</w:t>
      </w:r>
      <w:r>
        <w:rPr>
          <w:rFonts w:ascii="SimSun" w:hAnsi="SimSun" w:eastAsia="SimSun" w:cs="SimSun"/>
          <w:sz w:val="24"/>
          <w:szCs w:val="24"/>
          <w:spacing w:val="-2"/>
        </w:rPr>
        <w:t>像详见附图。</w:t>
      </w:r>
    </w:p>
    <w:p>
      <w:pPr>
        <w:ind w:left="591"/>
        <w:spacing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）土地利用现状</w:t>
      </w:r>
    </w:p>
    <w:p>
      <w:pPr>
        <w:ind w:left="101" w:right="84" w:firstLine="485"/>
        <w:spacing w:before="149" w:line="342" w:lineRule="auto"/>
        <w:rPr>
          <w:rFonts w:ascii="SimSun" w:hAnsi="SimSun" w:eastAsia="SimSun" w:cs="SimSun"/>
          <w:sz w:val="24"/>
          <w:szCs w:val="24"/>
        </w:rPr>
      </w:pPr>
      <w:r>
        <w:rPr>
          <w:rFonts w:ascii="SimSun" w:hAnsi="SimSun" w:eastAsia="SimSun" w:cs="SimSun"/>
          <w:sz w:val="24"/>
          <w:szCs w:val="24"/>
          <w:spacing w:val="2"/>
        </w:rPr>
        <w:t>本项目养殖区占地面积 </w:t>
      </w:r>
      <w:r>
        <w:rPr>
          <w:rFonts w:ascii="Times New Roman" w:hAnsi="Times New Roman" w:eastAsia="Times New Roman" w:cs="Times New Roman"/>
          <w:sz w:val="24"/>
          <w:szCs w:val="24"/>
          <w:spacing w:val="2"/>
        </w:rPr>
        <w:t>66300m</w:t>
      </w:r>
      <w:r>
        <w:rPr>
          <w:rFonts w:ascii="Times New Roman" w:hAnsi="Times New Roman" w:eastAsia="Times New Roman" w:cs="Times New Roman"/>
          <w:sz w:val="16"/>
          <w:szCs w:val="16"/>
          <w:spacing w:val="2"/>
          <w:position w:val="10"/>
        </w:rPr>
        <w:t>2 </w:t>
      </w:r>
      <w:r>
        <w:rPr>
          <w:rFonts w:ascii="SimSun" w:hAnsi="SimSun" w:eastAsia="SimSun" w:cs="SimSun"/>
          <w:sz w:val="24"/>
          <w:szCs w:val="24"/>
          <w:spacing w:val="2"/>
        </w:rPr>
        <w:t>，根据《土地利用现</w:t>
      </w:r>
      <w:r>
        <w:rPr>
          <w:rFonts w:ascii="SimSun" w:hAnsi="SimSun" w:eastAsia="SimSun" w:cs="SimSun"/>
          <w:sz w:val="24"/>
          <w:szCs w:val="24"/>
          <w:spacing w:val="1"/>
        </w:rPr>
        <w:t>状分类》（</w:t>
      </w:r>
      <w:r>
        <w:rPr>
          <w:rFonts w:ascii="Times New Roman" w:hAnsi="Times New Roman" w:eastAsia="Times New Roman" w:cs="Times New Roman"/>
          <w:sz w:val="24"/>
          <w:szCs w:val="24"/>
        </w:rPr>
        <w:t>GBT</w:t>
      </w:r>
      <w:r>
        <w:rPr>
          <w:rFonts w:ascii="Times New Roman" w:hAnsi="Times New Roman" w:eastAsia="Times New Roman" w:cs="Times New Roman"/>
          <w:sz w:val="24"/>
          <w:szCs w:val="24"/>
          <w:spacing w:val="1"/>
        </w:rPr>
        <w:t>21010-</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1"/>
        </w:rPr>
        <w:t>2017</w:t>
      </w:r>
      <w:r>
        <w:rPr>
          <w:rFonts w:ascii="SimSun" w:hAnsi="SimSun" w:eastAsia="SimSun" w:cs="SimSun"/>
          <w:sz w:val="24"/>
          <w:szCs w:val="24"/>
          <w:spacing w:val="9"/>
        </w:rPr>
        <w:t>），</w:t>
      </w:r>
      <w:r>
        <w:rPr>
          <w:rFonts w:ascii="SimSun" w:hAnsi="SimSun" w:eastAsia="SimSun" w:cs="SimSun"/>
          <w:sz w:val="24"/>
          <w:szCs w:val="24"/>
          <w:spacing w:val="1"/>
        </w:rPr>
        <w:t>按二级类型划分，</w:t>
      </w:r>
      <w:r>
        <w:rPr>
          <w:rFonts w:ascii="SimSun" w:hAnsi="SimSun" w:eastAsia="SimSun" w:cs="SimSun"/>
          <w:sz w:val="24"/>
          <w:szCs w:val="24"/>
          <w:spacing w:val="-67"/>
        </w:rPr>
        <w:t xml:space="preserve"> </w:t>
      </w:r>
      <w:r>
        <w:rPr>
          <w:rFonts w:ascii="SimSun" w:hAnsi="SimSun" w:eastAsia="SimSun" w:cs="SimSun"/>
          <w:sz w:val="24"/>
          <w:szCs w:val="24"/>
          <w:spacing w:val="1"/>
        </w:rPr>
        <w:t>占地类型为天然牧草</w:t>
      </w:r>
      <w:r>
        <w:rPr>
          <w:rFonts w:ascii="SimSun" w:hAnsi="SimSun" w:eastAsia="SimSun" w:cs="SimSun"/>
          <w:sz w:val="24"/>
          <w:szCs w:val="24"/>
        </w:rPr>
        <w:t>地，评价范围内土地利用现状详</w:t>
      </w:r>
      <w:r>
        <w:rPr>
          <w:rFonts w:ascii="SimSun" w:hAnsi="SimSun" w:eastAsia="SimSun" w:cs="SimSun"/>
          <w:sz w:val="24"/>
          <w:szCs w:val="24"/>
          <w:spacing w:val="-1"/>
        </w:rPr>
        <w:t>见表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3-18</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，评价范围内土地利用现状详见表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4-1</w:t>
      </w:r>
      <w:r>
        <w:rPr>
          <w:rFonts w:ascii="Times New Roman" w:hAnsi="Times New Roman" w:eastAsia="Times New Roman" w:cs="Times New Roman"/>
          <w:sz w:val="24"/>
          <w:szCs w:val="24"/>
          <w:spacing w:val="-2"/>
        </w:rPr>
        <w:t>7</w:t>
      </w:r>
      <w:r>
        <w:rPr>
          <w:rFonts w:ascii="SimSun" w:hAnsi="SimSun" w:eastAsia="SimSun" w:cs="SimSun"/>
          <w:sz w:val="24"/>
          <w:szCs w:val="24"/>
          <w:spacing w:val="-2"/>
        </w:rPr>
        <w:t>，土地利用现状详见附图。</w:t>
      </w:r>
    </w:p>
    <w:p>
      <w:pPr>
        <w:ind w:left="2358"/>
        <w:spacing w:before="1" w:line="231"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spacing w:val="-2"/>
        </w:rPr>
        <w:t>4-17      </w:t>
      </w:r>
      <w:r>
        <w:rPr>
          <w:rFonts w:ascii="SimSun" w:hAnsi="SimSun" w:eastAsia="SimSun" w:cs="SimSun"/>
          <w:sz w:val="24"/>
          <w:szCs w:val="24"/>
          <w:b/>
          <w:bCs/>
          <w:spacing w:val="-2"/>
        </w:rPr>
        <w:t>本项目评价范围内土地利用现状</w:t>
      </w:r>
    </w:p>
    <w:p>
      <w:pPr>
        <w:spacing w:line="130" w:lineRule="exact"/>
        <w:rPr/>
      </w:pPr>
      <w:r/>
    </w:p>
    <w:tbl>
      <w:tblPr>
        <w:tblStyle w:val="TableNormal"/>
        <w:tblW w:w="8596" w:type="dxa"/>
        <w:tblInd w:w="6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2"/>
        <w:gridCol w:w="1601"/>
        <w:gridCol w:w="1349"/>
        <w:gridCol w:w="1673"/>
        <w:gridCol w:w="1549"/>
        <w:gridCol w:w="1332"/>
      </w:tblGrid>
      <w:tr>
        <w:trPr>
          <w:trHeight w:val="319" w:hRule="atLeast"/>
        </w:trPr>
        <w:tc>
          <w:tcPr>
            <w:tcW w:w="2693" w:type="dxa"/>
            <w:vAlign w:val="top"/>
            <w:gridSpan w:val="2"/>
            <w:tcBorders>
              <w:left w:val="nil"/>
              <w:top w:val="single" w:color="000000" w:sz="10" w:space="0"/>
            </w:tcBorders>
          </w:tcPr>
          <w:p>
            <w:pPr>
              <w:pStyle w:val="TableText"/>
              <w:ind w:left="942"/>
              <w:spacing w:before="57" w:line="221" w:lineRule="auto"/>
              <w:rPr/>
            </w:pPr>
            <w:r>
              <w:rPr>
                <w:spacing w:val="-3"/>
              </w:rPr>
              <w:t>一级类型</w:t>
            </w:r>
          </w:p>
        </w:tc>
        <w:tc>
          <w:tcPr>
            <w:tcW w:w="3022" w:type="dxa"/>
            <w:vAlign w:val="top"/>
            <w:gridSpan w:val="2"/>
            <w:tcBorders>
              <w:top w:val="single" w:color="000000" w:sz="10" w:space="0"/>
            </w:tcBorders>
          </w:tcPr>
          <w:p>
            <w:pPr>
              <w:pStyle w:val="TableText"/>
              <w:ind w:left="1099"/>
              <w:spacing w:before="57" w:line="221" w:lineRule="auto"/>
              <w:rPr/>
            </w:pPr>
            <w:r>
              <w:rPr>
                <w:spacing w:val="-3"/>
              </w:rPr>
              <w:t>二级类型</w:t>
            </w:r>
          </w:p>
        </w:tc>
        <w:tc>
          <w:tcPr>
            <w:tcW w:w="2881" w:type="dxa"/>
            <w:vAlign w:val="top"/>
            <w:gridSpan w:val="2"/>
            <w:tcBorders>
              <w:right w:val="nil"/>
              <w:top w:val="single" w:color="000000" w:sz="10" w:space="0"/>
            </w:tcBorders>
          </w:tcPr>
          <w:p>
            <w:pPr>
              <w:pStyle w:val="TableText"/>
              <w:ind w:left="1112"/>
              <w:spacing w:before="51" w:line="216" w:lineRule="auto"/>
              <w:rPr>
                <w:sz w:val="22"/>
                <w:szCs w:val="22"/>
              </w:rPr>
            </w:pPr>
            <w:r>
              <w:rPr>
                <w:sz w:val="22"/>
                <w:szCs w:val="22"/>
                <w:spacing w:val="-2"/>
              </w:rPr>
              <w:t>评价区</w:t>
            </w:r>
          </w:p>
        </w:tc>
      </w:tr>
      <w:tr>
        <w:trPr>
          <w:trHeight w:val="313" w:hRule="atLeast"/>
        </w:trPr>
        <w:tc>
          <w:tcPr>
            <w:tcW w:w="1092" w:type="dxa"/>
            <w:vAlign w:val="top"/>
            <w:tcBorders>
              <w:left w:val="nil"/>
            </w:tcBorders>
          </w:tcPr>
          <w:p>
            <w:pPr>
              <w:pStyle w:val="TableText"/>
              <w:ind w:left="140"/>
              <w:spacing w:before="55" w:line="218" w:lineRule="auto"/>
              <w:rPr/>
            </w:pPr>
            <w:r>
              <w:rPr>
                <w:spacing w:val="-2"/>
              </w:rPr>
              <w:t>类型编码</w:t>
            </w:r>
          </w:p>
        </w:tc>
        <w:tc>
          <w:tcPr>
            <w:tcW w:w="1601" w:type="dxa"/>
            <w:vAlign w:val="top"/>
          </w:tcPr>
          <w:p>
            <w:pPr>
              <w:pStyle w:val="TableText"/>
              <w:ind w:left="384"/>
              <w:spacing w:before="55" w:line="218" w:lineRule="auto"/>
              <w:rPr/>
            </w:pPr>
            <w:r>
              <w:rPr>
                <w:spacing w:val="-2"/>
              </w:rPr>
              <w:t>类别名称</w:t>
            </w:r>
          </w:p>
        </w:tc>
        <w:tc>
          <w:tcPr>
            <w:tcW w:w="1349" w:type="dxa"/>
            <w:vAlign w:val="top"/>
          </w:tcPr>
          <w:p>
            <w:pPr>
              <w:pStyle w:val="TableText"/>
              <w:ind w:left="258"/>
              <w:spacing w:before="55" w:line="218" w:lineRule="auto"/>
              <w:rPr/>
            </w:pPr>
            <w:r>
              <w:rPr>
                <w:spacing w:val="-2"/>
              </w:rPr>
              <w:t>类型编码</w:t>
            </w:r>
          </w:p>
        </w:tc>
        <w:tc>
          <w:tcPr>
            <w:tcW w:w="1673" w:type="dxa"/>
            <w:vAlign w:val="top"/>
          </w:tcPr>
          <w:p>
            <w:pPr>
              <w:pStyle w:val="TableText"/>
              <w:ind w:left="419"/>
              <w:spacing w:before="55" w:line="218" w:lineRule="auto"/>
              <w:rPr/>
            </w:pPr>
            <w:r>
              <w:rPr>
                <w:spacing w:val="-2"/>
              </w:rPr>
              <w:t>类别名称</w:t>
            </w:r>
          </w:p>
        </w:tc>
        <w:tc>
          <w:tcPr>
            <w:tcW w:w="1549" w:type="dxa"/>
            <w:vAlign w:val="top"/>
          </w:tcPr>
          <w:p>
            <w:pPr>
              <w:pStyle w:val="TableText"/>
              <w:ind w:left="202"/>
              <w:spacing w:before="33" w:line="226" w:lineRule="auto"/>
              <w:rPr>
                <w:sz w:val="22"/>
                <w:szCs w:val="22"/>
              </w:rPr>
            </w:pPr>
            <w:r>
              <w:rPr>
                <w:sz w:val="22"/>
                <w:szCs w:val="22"/>
                <w:spacing w:val="-1"/>
              </w:rPr>
              <w:t>面积（hm</w:t>
            </w:r>
            <w:r>
              <w:rPr>
                <w:sz w:val="11"/>
                <w:szCs w:val="11"/>
                <w:spacing w:val="-1"/>
                <w:position w:val="10"/>
              </w:rPr>
              <w:t>2</w:t>
            </w:r>
            <w:r>
              <w:rPr>
                <w:sz w:val="22"/>
                <w:szCs w:val="22"/>
                <w:spacing w:val="-1"/>
              </w:rPr>
              <w:t>）</w:t>
            </w:r>
          </w:p>
        </w:tc>
        <w:tc>
          <w:tcPr>
            <w:tcW w:w="1332" w:type="dxa"/>
            <w:vAlign w:val="top"/>
            <w:tcBorders>
              <w:right w:val="nil"/>
            </w:tcBorders>
          </w:tcPr>
          <w:p>
            <w:pPr>
              <w:pStyle w:val="TableText"/>
              <w:ind w:left="210"/>
              <w:spacing w:before="49" w:line="213" w:lineRule="auto"/>
              <w:rPr>
                <w:sz w:val="22"/>
                <w:szCs w:val="22"/>
              </w:rPr>
            </w:pPr>
            <w:r>
              <w:rPr>
                <w:sz w:val="22"/>
                <w:szCs w:val="22"/>
                <w:spacing w:val="-9"/>
              </w:rPr>
              <w:t>占比（%）</w:t>
            </w:r>
          </w:p>
        </w:tc>
      </w:tr>
      <w:tr>
        <w:trPr>
          <w:trHeight w:val="313" w:hRule="atLeast"/>
        </w:trPr>
        <w:tc>
          <w:tcPr>
            <w:tcW w:w="1092" w:type="dxa"/>
            <w:vAlign w:val="top"/>
            <w:tcBorders>
              <w:left w:val="nil"/>
            </w:tcBorders>
          </w:tcPr>
          <w:p>
            <w:pPr>
              <w:ind w:left="507"/>
              <w:spacing w:before="91"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601" w:type="dxa"/>
            <w:vAlign w:val="top"/>
          </w:tcPr>
          <w:p>
            <w:pPr>
              <w:pStyle w:val="TableText"/>
              <w:ind w:left="597"/>
              <w:spacing w:before="58" w:line="215" w:lineRule="auto"/>
              <w:rPr/>
            </w:pPr>
            <w:r>
              <w:rPr>
                <w:spacing w:val="-2"/>
              </w:rPr>
              <w:t>林地</w:t>
            </w:r>
          </w:p>
        </w:tc>
        <w:tc>
          <w:tcPr>
            <w:tcW w:w="1349" w:type="dxa"/>
            <w:vAlign w:val="top"/>
          </w:tcPr>
          <w:p>
            <w:pPr>
              <w:ind w:left="522"/>
              <w:spacing w:before="91"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1673" w:type="dxa"/>
            <w:vAlign w:val="top"/>
          </w:tcPr>
          <w:p>
            <w:pPr>
              <w:pStyle w:val="TableText"/>
              <w:ind w:left="419"/>
              <w:spacing w:before="58" w:line="215" w:lineRule="auto"/>
              <w:rPr/>
            </w:pPr>
            <w:r>
              <w:rPr>
                <w:spacing w:val="-2"/>
              </w:rPr>
              <w:t>乔木林地</w:t>
            </w:r>
          </w:p>
        </w:tc>
        <w:tc>
          <w:tcPr>
            <w:tcW w:w="1549" w:type="dxa"/>
            <w:vAlign w:val="top"/>
          </w:tcPr>
          <w:p>
            <w:pPr>
              <w:pStyle w:val="TableText"/>
              <w:ind w:left="558"/>
              <w:spacing w:before="52" w:line="210" w:lineRule="auto"/>
              <w:rPr>
                <w:sz w:val="22"/>
                <w:szCs w:val="22"/>
              </w:rPr>
            </w:pPr>
            <w:r>
              <w:rPr>
                <w:sz w:val="22"/>
                <w:szCs w:val="22"/>
                <w:spacing w:val="-2"/>
              </w:rPr>
              <w:t>0.07</w:t>
            </w:r>
          </w:p>
        </w:tc>
        <w:tc>
          <w:tcPr>
            <w:tcW w:w="1332" w:type="dxa"/>
            <w:vAlign w:val="top"/>
            <w:tcBorders>
              <w:right w:val="nil"/>
            </w:tcBorders>
          </w:tcPr>
          <w:p>
            <w:pPr>
              <w:pStyle w:val="TableText"/>
              <w:ind w:left="449"/>
              <w:spacing w:before="52" w:line="210" w:lineRule="auto"/>
              <w:rPr>
                <w:sz w:val="22"/>
                <w:szCs w:val="22"/>
              </w:rPr>
            </w:pPr>
            <w:r>
              <w:rPr>
                <w:sz w:val="22"/>
                <w:szCs w:val="22"/>
                <w:spacing w:val="-2"/>
              </w:rPr>
              <w:t>0.05</w:t>
            </w:r>
          </w:p>
        </w:tc>
      </w:tr>
      <w:tr>
        <w:trPr>
          <w:trHeight w:val="313" w:hRule="atLeast"/>
        </w:trPr>
        <w:tc>
          <w:tcPr>
            <w:tcW w:w="1092" w:type="dxa"/>
            <w:vAlign w:val="top"/>
            <w:tcBorders>
              <w:left w:val="nil"/>
            </w:tcBorders>
          </w:tcPr>
          <w:p>
            <w:pPr>
              <w:ind w:left="502"/>
              <w:spacing w:before="9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601" w:type="dxa"/>
            <w:vAlign w:val="top"/>
          </w:tcPr>
          <w:p>
            <w:pPr>
              <w:pStyle w:val="TableText"/>
              <w:ind w:left="598"/>
              <w:spacing w:before="61" w:line="212" w:lineRule="auto"/>
              <w:rPr/>
            </w:pPr>
            <w:r>
              <w:rPr>
                <w:spacing w:val="-2"/>
              </w:rPr>
              <w:t>草地</w:t>
            </w:r>
          </w:p>
        </w:tc>
        <w:tc>
          <w:tcPr>
            <w:tcW w:w="1349" w:type="dxa"/>
            <w:vAlign w:val="top"/>
          </w:tcPr>
          <w:p>
            <w:pPr>
              <w:ind w:left="517"/>
              <w:spacing w:before="94"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401</w:t>
            </w:r>
          </w:p>
        </w:tc>
        <w:tc>
          <w:tcPr>
            <w:tcW w:w="1673" w:type="dxa"/>
            <w:vAlign w:val="top"/>
          </w:tcPr>
          <w:p>
            <w:pPr>
              <w:pStyle w:val="TableText"/>
              <w:ind w:left="317"/>
              <w:spacing w:before="61" w:line="212" w:lineRule="auto"/>
              <w:rPr/>
            </w:pPr>
            <w:r>
              <w:rPr>
                <w:spacing w:val="-2"/>
              </w:rPr>
              <w:t>天然牧草地</w:t>
            </w:r>
          </w:p>
        </w:tc>
        <w:tc>
          <w:tcPr>
            <w:tcW w:w="1549" w:type="dxa"/>
            <w:vAlign w:val="top"/>
          </w:tcPr>
          <w:p>
            <w:pPr>
              <w:pStyle w:val="TableText"/>
              <w:ind w:left="462"/>
              <w:spacing w:before="56" w:line="207" w:lineRule="auto"/>
              <w:rPr>
                <w:sz w:val="22"/>
                <w:szCs w:val="22"/>
              </w:rPr>
            </w:pPr>
            <w:r>
              <w:rPr>
                <w:sz w:val="22"/>
                <w:szCs w:val="22"/>
                <w:spacing w:val="-4"/>
              </w:rPr>
              <w:t>130.80</w:t>
            </w:r>
          </w:p>
        </w:tc>
        <w:tc>
          <w:tcPr>
            <w:tcW w:w="1332" w:type="dxa"/>
            <w:vAlign w:val="top"/>
            <w:tcBorders>
              <w:right w:val="nil"/>
            </w:tcBorders>
          </w:tcPr>
          <w:p>
            <w:pPr>
              <w:pStyle w:val="TableText"/>
              <w:ind w:left="393"/>
              <w:spacing w:before="56" w:line="207" w:lineRule="auto"/>
              <w:rPr>
                <w:sz w:val="22"/>
                <w:szCs w:val="22"/>
              </w:rPr>
            </w:pPr>
            <w:r>
              <w:rPr>
                <w:sz w:val="22"/>
                <w:szCs w:val="22"/>
                <w:spacing w:val="-2"/>
              </w:rPr>
              <w:t>95.29</w:t>
            </w:r>
          </w:p>
        </w:tc>
      </w:tr>
      <w:tr>
        <w:trPr>
          <w:trHeight w:val="313" w:hRule="atLeast"/>
        </w:trPr>
        <w:tc>
          <w:tcPr>
            <w:tcW w:w="1092" w:type="dxa"/>
            <w:vAlign w:val="top"/>
            <w:tcBorders>
              <w:left w:val="nil"/>
            </w:tcBorders>
          </w:tcPr>
          <w:p>
            <w:pPr>
              <w:ind w:left="507"/>
              <w:spacing w:before="98"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601" w:type="dxa"/>
            <w:vAlign w:val="top"/>
          </w:tcPr>
          <w:p>
            <w:pPr>
              <w:pStyle w:val="TableText"/>
              <w:ind w:left="384"/>
              <w:spacing w:before="66" w:line="208" w:lineRule="auto"/>
              <w:rPr/>
            </w:pPr>
            <w:r>
              <w:rPr>
                <w:spacing w:val="-2"/>
              </w:rPr>
              <w:t>特殊用地</w:t>
            </w:r>
          </w:p>
        </w:tc>
        <w:tc>
          <w:tcPr>
            <w:tcW w:w="1349" w:type="dxa"/>
            <w:vAlign w:val="top"/>
          </w:tcPr>
          <w:p>
            <w:pPr>
              <w:ind w:left="522"/>
              <w:spacing w:before="98"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905</w:t>
            </w:r>
          </w:p>
        </w:tc>
        <w:tc>
          <w:tcPr>
            <w:tcW w:w="1673" w:type="dxa"/>
            <w:vAlign w:val="top"/>
          </w:tcPr>
          <w:p>
            <w:pPr>
              <w:pStyle w:val="TableText"/>
              <w:ind w:left="419"/>
              <w:spacing w:before="66" w:line="208" w:lineRule="auto"/>
              <w:rPr/>
            </w:pPr>
            <w:r>
              <w:rPr>
                <w:spacing w:val="-2"/>
              </w:rPr>
              <w:t>殡葬用地</w:t>
            </w:r>
          </w:p>
        </w:tc>
        <w:tc>
          <w:tcPr>
            <w:tcW w:w="1549" w:type="dxa"/>
            <w:vAlign w:val="top"/>
          </w:tcPr>
          <w:p>
            <w:pPr>
              <w:pStyle w:val="TableText"/>
              <w:ind w:left="558"/>
              <w:spacing w:before="59" w:line="204" w:lineRule="auto"/>
              <w:rPr>
                <w:sz w:val="22"/>
                <w:szCs w:val="22"/>
              </w:rPr>
            </w:pPr>
            <w:r>
              <w:rPr>
                <w:sz w:val="22"/>
                <w:szCs w:val="22"/>
                <w:spacing w:val="-2"/>
              </w:rPr>
              <w:t>0.40</w:t>
            </w:r>
          </w:p>
        </w:tc>
        <w:tc>
          <w:tcPr>
            <w:tcW w:w="1332" w:type="dxa"/>
            <w:vAlign w:val="top"/>
            <w:tcBorders>
              <w:right w:val="nil"/>
            </w:tcBorders>
          </w:tcPr>
          <w:p>
            <w:pPr>
              <w:pStyle w:val="TableText"/>
              <w:ind w:left="449"/>
              <w:spacing w:before="59" w:line="204" w:lineRule="auto"/>
              <w:rPr>
                <w:sz w:val="22"/>
                <w:szCs w:val="22"/>
              </w:rPr>
            </w:pPr>
            <w:r>
              <w:rPr>
                <w:sz w:val="22"/>
                <w:szCs w:val="22"/>
                <w:spacing w:val="-2"/>
              </w:rPr>
              <w:t>0.29</w:t>
            </w:r>
          </w:p>
        </w:tc>
      </w:tr>
      <w:tr>
        <w:trPr>
          <w:trHeight w:val="316" w:hRule="atLeast"/>
        </w:trPr>
        <w:tc>
          <w:tcPr>
            <w:tcW w:w="1092" w:type="dxa"/>
            <w:vAlign w:val="top"/>
            <w:tcBorders>
              <w:left w:val="nil"/>
            </w:tcBorders>
          </w:tcPr>
          <w:p>
            <w:pPr>
              <w:ind w:left="471"/>
              <w:spacing w:before="104"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601" w:type="dxa"/>
            <w:vAlign w:val="top"/>
          </w:tcPr>
          <w:p>
            <w:pPr>
              <w:pStyle w:val="TableText"/>
              <w:ind w:left="180"/>
              <w:spacing w:before="71" w:line="206" w:lineRule="auto"/>
              <w:rPr/>
            </w:pPr>
            <w:r>
              <w:rPr>
                <w:spacing w:val="-2"/>
              </w:rPr>
              <w:t>交通运输用地</w:t>
            </w:r>
          </w:p>
        </w:tc>
        <w:tc>
          <w:tcPr>
            <w:tcW w:w="1349" w:type="dxa"/>
            <w:vAlign w:val="top"/>
          </w:tcPr>
          <w:p>
            <w:pPr>
              <w:ind w:left="485"/>
              <w:spacing w:before="104"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1003</w:t>
            </w:r>
          </w:p>
        </w:tc>
        <w:tc>
          <w:tcPr>
            <w:tcW w:w="1673" w:type="dxa"/>
            <w:vAlign w:val="top"/>
          </w:tcPr>
          <w:p>
            <w:pPr>
              <w:pStyle w:val="TableText"/>
              <w:ind w:left="425"/>
              <w:spacing w:before="71" w:line="206" w:lineRule="auto"/>
              <w:rPr/>
            </w:pPr>
            <w:r>
              <w:rPr>
                <w:spacing w:val="-3"/>
              </w:rPr>
              <w:t>公路用地</w:t>
            </w:r>
          </w:p>
        </w:tc>
        <w:tc>
          <w:tcPr>
            <w:tcW w:w="1549" w:type="dxa"/>
            <w:vAlign w:val="top"/>
          </w:tcPr>
          <w:p>
            <w:pPr>
              <w:pStyle w:val="TableText"/>
              <w:ind w:left="561"/>
              <w:spacing w:before="66" w:line="201" w:lineRule="auto"/>
              <w:rPr>
                <w:sz w:val="22"/>
                <w:szCs w:val="22"/>
              </w:rPr>
            </w:pPr>
            <w:r>
              <w:rPr>
                <w:sz w:val="22"/>
                <w:szCs w:val="22"/>
                <w:spacing w:val="-3"/>
              </w:rPr>
              <w:t>5.98</w:t>
            </w:r>
          </w:p>
        </w:tc>
        <w:tc>
          <w:tcPr>
            <w:tcW w:w="1332" w:type="dxa"/>
            <w:vAlign w:val="top"/>
            <w:tcBorders>
              <w:right w:val="nil"/>
            </w:tcBorders>
          </w:tcPr>
          <w:p>
            <w:pPr>
              <w:pStyle w:val="TableText"/>
              <w:ind w:left="446"/>
              <w:spacing w:before="66" w:line="201" w:lineRule="auto"/>
              <w:rPr>
                <w:sz w:val="22"/>
                <w:szCs w:val="22"/>
              </w:rPr>
            </w:pPr>
            <w:r>
              <w:rPr>
                <w:sz w:val="22"/>
                <w:szCs w:val="22"/>
                <w:spacing w:val="-2"/>
              </w:rPr>
              <w:t>4.36</w:t>
            </w:r>
          </w:p>
        </w:tc>
      </w:tr>
      <w:tr>
        <w:trPr>
          <w:trHeight w:val="337" w:hRule="atLeast"/>
        </w:trPr>
        <w:tc>
          <w:tcPr>
            <w:tcW w:w="5715" w:type="dxa"/>
            <w:vAlign w:val="top"/>
            <w:gridSpan w:val="4"/>
            <w:tcBorders>
              <w:left w:val="nil"/>
              <w:bottom w:val="single" w:color="000000" w:sz="10" w:space="0"/>
            </w:tcBorders>
          </w:tcPr>
          <w:p>
            <w:pPr>
              <w:pStyle w:val="TableText"/>
              <w:ind w:left="2652"/>
              <w:spacing w:before="67" w:line="218" w:lineRule="auto"/>
              <w:rPr>
                <w:sz w:val="22"/>
                <w:szCs w:val="22"/>
              </w:rPr>
            </w:pPr>
            <w:r>
              <w:rPr>
                <w:sz w:val="22"/>
                <w:szCs w:val="22"/>
                <w:spacing w:val="-2"/>
              </w:rPr>
              <w:t>合计</w:t>
            </w:r>
          </w:p>
        </w:tc>
        <w:tc>
          <w:tcPr>
            <w:tcW w:w="1549" w:type="dxa"/>
            <w:vAlign w:val="top"/>
            <w:tcBorders>
              <w:bottom w:val="single" w:color="000000" w:sz="10" w:space="0"/>
            </w:tcBorders>
          </w:tcPr>
          <w:p>
            <w:pPr>
              <w:pStyle w:val="TableText"/>
              <w:ind w:left="462"/>
              <w:spacing w:before="67" w:line="218" w:lineRule="auto"/>
              <w:rPr>
                <w:sz w:val="22"/>
                <w:szCs w:val="22"/>
              </w:rPr>
            </w:pPr>
            <w:r>
              <w:rPr>
                <w:sz w:val="22"/>
                <w:szCs w:val="22"/>
                <w:spacing w:val="-4"/>
              </w:rPr>
              <w:t>137.26</w:t>
            </w:r>
          </w:p>
        </w:tc>
        <w:tc>
          <w:tcPr>
            <w:tcW w:w="1332" w:type="dxa"/>
            <w:vAlign w:val="top"/>
            <w:tcBorders>
              <w:right w:val="nil"/>
              <w:bottom w:val="single" w:color="000000" w:sz="10" w:space="0"/>
            </w:tcBorders>
          </w:tcPr>
          <w:p>
            <w:pPr>
              <w:pStyle w:val="TableText"/>
              <w:ind w:left="353"/>
              <w:spacing w:before="67" w:line="218" w:lineRule="auto"/>
              <w:rPr>
                <w:sz w:val="22"/>
                <w:szCs w:val="22"/>
              </w:rPr>
            </w:pPr>
            <w:r>
              <w:rPr>
                <w:sz w:val="22"/>
                <w:szCs w:val="22"/>
                <w:spacing w:val="-4"/>
              </w:rPr>
              <w:t>100.00</w:t>
            </w:r>
          </w:p>
        </w:tc>
      </w:tr>
    </w:tbl>
    <w:p>
      <w:pPr>
        <w:ind w:left="591"/>
        <w:spacing w:before="11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）植被及动物现状</w:t>
      </w:r>
    </w:p>
    <w:p>
      <w:pPr>
        <w:ind w:left="88" w:right="84" w:firstLine="496"/>
        <w:spacing w:before="162" w:line="360" w:lineRule="auto"/>
        <w:rPr>
          <w:rFonts w:ascii="SimSun" w:hAnsi="SimSun" w:eastAsia="SimSun" w:cs="SimSun"/>
          <w:sz w:val="24"/>
          <w:szCs w:val="24"/>
        </w:rPr>
      </w:pPr>
      <w:r>
        <w:rPr>
          <w:rFonts w:ascii="SimSun" w:hAnsi="SimSun" w:eastAsia="SimSun" w:cs="SimSun"/>
          <w:sz w:val="24"/>
          <w:szCs w:val="24"/>
          <w:spacing w:val="-3"/>
        </w:rPr>
        <w:t>根据张新时等主编的</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100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万中国植被类型图区划，评价区植被分区数分属</w:t>
      </w:r>
      <w:r>
        <w:rPr>
          <w:rFonts w:ascii="SimSun" w:hAnsi="SimSun" w:eastAsia="SimSun" w:cs="SimSun"/>
          <w:sz w:val="24"/>
          <w:szCs w:val="24"/>
          <w:spacing w:val="3"/>
        </w:rPr>
        <w:t>“温带草原区域</w:t>
      </w:r>
      <w:r>
        <w:rPr>
          <w:rFonts w:ascii="Times New Roman" w:hAnsi="Times New Roman" w:eastAsia="Times New Roman" w:cs="Times New Roman"/>
          <w:sz w:val="24"/>
          <w:szCs w:val="24"/>
          <w:spacing w:val="3"/>
        </w:rPr>
        <w:t>—</w:t>
      </w:r>
      <w:r>
        <w:rPr>
          <w:rFonts w:ascii="SimSun" w:hAnsi="SimSun" w:eastAsia="SimSun" w:cs="SimSun"/>
          <w:sz w:val="24"/>
          <w:szCs w:val="24"/>
          <w:spacing w:val="3"/>
        </w:rPr>
        <w:t>温带北部典型草原亚地带</w:t>
      </w:r>
      <w:r>
        <w:rPr>
          <w:rFonts w:ascii="Times New Roman" w:hAnsi="Times New Roman" w:eastAsia="Times New Roman" w:cs="Times New Roman"/>
          <w:sz w:val="24"/>
          <w:szCs w:val="24"/>
          <w:spacing w:val="3"/>
        </w:rPr>
        <w:t>—</w:t>
      </w:r>
      <w:r>
        <w:rPr>
          <w:rFonts w:ascii="SimSun" w:hAnsi="SimSun" w:eastAsia="SimSun" w:cs="SimSun"/>
          <w:sz w:val="24"/>
          <w:szCs w:val="24"/>
          <w:spacing w:val="3"/>
        </w:rPr>
        <w:t>内蒙古高原东部大针茅、克氏针茅</w:t>
      </w:r>
      <w:r>
        <w:rPr>
          <w:rFonts w:ascii="SimSun" w:hAnsi="SimSun" w:eastAsia="SimSun" w:cs="SimSun"/>
          <w:sz w:val="24"/>
          <w:szCs w:val="24"/>
          <w:spacing w:val="3"/>
        </w:rPr>
        <w:t>草原区</w:t>
      </w:r>
      <w:r>
        <w:rPr>
          <w:rFonts w:ascii="Times New Roman" w:hAnsi="Times New Roman" w:eastAsia="Times New Roman" w:cs="Times New Roman"/>
          <w:sz w:val="24"/>
          <w:szCs w:val="24"/>
          <w:spacing w:val="3"/>
        </w:rPr>
        <w:t>—</w:t>
      </w:r>
      <w:r>
        <w:rPr>
          <w:rFonts w:ascii="SimSun" w:hAnsi="SimSun" w:eastAsia="SimSun" w:cs="SimSun"/>
          <w:sz w:val="24"/>
          <w:szCs w:val="24"/>
          <w:spacing w:val="3"/>
        </w:rPr>
        <w:t>锡林郭勒大针茅、羊草草原小区”，地区明显不同的生态地理条</w:t>
      </w:r>
      <w:r>
        <w:rPr>
          <w:rFonts w:ascii="SimSun" w:hAnsi="SimSun" w:eastAsia="SimSun" w:cs="SimSun"/>
          <w:sz w:val="24"/>
          <w:szCs w:val="24"/>
          <w:spacing w:val="2"/>
        </w:rPr>
        <w:t>件，为</w:t>
      </w:r>
      <w:r>
        <w:rPr>
          <w:rFonts w:ascii="SimSun" w:hAnsi="SimSun" w:eastAsia="SimSun" w:cs="SimSun"/>
          <w:sz w:val="24"/>
          <w:szCs w:val="24"/>
          <w:spacing w:val="3"/>
        </w:rPr>
        <w:t>各种植被的不同群落类型形成，提供了适宜的生存环境。羊草草原是地</w:t>
      </w:r>
      <w:r>
        <w:rPr>
          <w:rFonts w:ascii="SimSun" w:hAnsi="SimSun" w:eastAsia="SimSun" w:cs="SimSun"/>
          <w:sz w:val="24"/>
          <w:szCs w:val="24"/>
          <w:spacing w:val="2"/>
        </w:rPr>
        <w:t>区分布最</w:t>
      </w:r>
    </w:p>
    <w:p>
      <w:pPr>
        <w:spacing w:line="360" w:lineRule="auto"/>
        <w:sectPr>
          <w:headerReference w:type="default" r:id="rId114"/>
          <w:footerReference w:type="default" r:id="rId115"/>
          <w:pgSz w:w="11907" w:h="16839"/>
          <w:pgMar w:top="1582" w:right="1613" w:bottom="1235" w:left="1606" w:header="1241" w:footer="992" w:gutter="0"/>
        </w:sectPr>
        <w:rPr>
          <w:rFonts w:ascii="SimSun" w:hAnsi="SimSun" w:eastAsia="SimSun" w:cs="SimSun"/>
          <w:sz w:val="24"/>
          <w:szCs w:val="24"/>
        </w:rPr>
      </w:pPr>
    </w:p>
    <w:p>
      <w:pPr>
        <w:ind w:left="126" w:right="106" w:firstLine="5"/>
        <w:spacing w:before="231" w:line="348" w:lineRule="auto"/>
        <w:rPr>
          <w:rFonts w:ascii="SimSun" w:hAnsi="SimSun" w:eastAsia="SimSun" w:cs="SimSun"/>
          <w:sz w:val="24"/>
          <w:szCs w:val="24"/>
        </w:rPr>
      </w:pPr>
      <w:r>
        <w:rPr>
          <w:rFonts w:ascii="SimSun" w:hAnsi="SimSun" w:eastAsia="SimSun" w:cs="SimSun"/>
          <w:sz w:val="24"/>
          <w:szCs w:val="24"/>
        </w:rPr>
        <w:t>广的草原类型，</w:t>
      </w:r>
      <w:r>
        <w:rPr>
          <w:rFonts w:ascii="SimSun" w:hAnsi="SimSun" w:eastAsia="SimSun" w:cs="SimSun"/>
          <w:sz w:val="24"/>
          <w:szCs w:val="24"/>
          <w:spacing w:val="-67"/>
        </w:rPr>
        <w:t xml:space="preserve"> </w:t>
      </w:r>
      <w:r>
        <w:rPr>
          <w:rFonts w:ascii="SimSun" w:hAnsi="SimSun" w:eastAsia="SimSun" w:cs="SimSun"/>
          <w:sz w:val="24"/>
          <w:szCs w:val="24"/>
        </w:rPr>
        <w:t>占据着丘陵坡地下部及坡麓、丘陵宽谷，还出现于河滩</w:t>
      </w:r>
      <w:r>
        <w:rPr>
          <w:rFonts w:ascii="SimSun" w:hAnsi="SimSun" w:eastAsia="SimSun" w:cs="SimSun"/>
          <w:sz w:val="24"/>
          <w:szCs w:val="24"/>
          <w:spacing w:val="-1"/>
        </w:rPr>
        <w:t>、盐化、</w:t>
      </w:r>
      <w:r>
        <w:rPr>
          <w:rFonts w:ascii="SimSun" w:hAnsi="SimSun" w:eastAsia="SimSun" w:cs="SimSun"/>
          <w:sz w:val="24"/>
          <w:szCs w:val="24"/>
          <w:spacing w:val="-1"/>
        </w:rPr>
        <w:t>碱化的低湿地上，生态幅很宽广，分布的土境条件复杂。评价区分布羊草</w:t>
      </w:r>
      <w:r>
        <w:rPr>
          <w:rFonts w:ascii="Times New Roman" w:hAnsi="Times New Roman" w:eastAsia="Times New Roman" w:cs="Times New Roman"/>
          <w:sz w:val="24"/>
          <w:szCs w:val="24"/>
          <w:spacing w:val="-1"/>
        </w:rPr>
        <w:t>+</w:t>
      </w:r>
      <w:r>
        <w:rPr>
          <w:rFonts w:ascii="SimSun" w:hAnsi="SimSun" w:eastAsia="SimSun" w:cs="SimSun"/>
          <w:sz w:val="24"/>
          <w:szCs w:val="24"/>
          <w:spacing w:val="-1"/>
        </w:rPr>
        <w:t>大针茅</w:t>
      </w:r>
      <w:r>
        <w:rPr>
          <w:rFonts w:ascii="Times New Roman" w:hAnsi="Times New Roman" w:eastAsia="Times New Roman" w:cs="Times New Roman"/>
          <w:sz w:val="24"/>
          <w:szCs w:val="24"/>
          <w:spacing w:val="-1"/>
        </w:rPr>
        <w:t>+</w:t>
      </w:r>
      <w:r>
        <w:rPr>
          <w:rFonts w:ascii="SimSun" w:hAnsi="SimSun" w:eastAsia="SimSun" w:cs="SimSun"/>
          <w:sz w:val="24"/>
          <w:szCs w:val="24"/>
          <w:spacing w:val="-1"/>
        </w:rPr>
        <w:t>杂类草群落，羊草具有强烈的根茎繁殖能力，排挤其他物种的侵入，因此，羊草</w:t>
      </w:r>
      <w:r>
        <w:rPr>
          <w:rFonts w:ascii="SimSun" w:hAnsi="SimSun" w:eastAsia="SimSun" w:cs="SimSun"/>
          <w:sz w:val="24"/>
          <w:szCs w:val="24"/>
          <w:spacing w:val="3"/>
        </w:rPr>
        <w:t>草原同其他类型相比种类组成比较单纯，代表</w:t>
      </w:r>
      <w:r>
        <w:rPr>
          <w:rFonts w:ascii="SimSun" w:hAnsi="SimSun" w:eastAsia="SimSun" w:cs="SimSun"/>
          <w:sz w:val="24"/>
          <w:szCs w:val="24"/>
          <w:spacing w:val="2"/>
        </w:rPr>
        <w:t>的是典型草原，植被类型图详见图</w:t>
      </w:r>
      <w:r>
        <w:rPr>
          <w:rFonts w:ascii="Times New Roman" w:hAnsi="Times New Roman" w:eastAsia="Times New Roman" w:cs="Times New Roman"/>
          <w:sz w:val="24"/>
          <w:szCs w:val="24"/>
          <w:spacing w:val="-2"/>
        </w:rPr>
        <w:t>4-4</w:t>
      </w:r>
      <w:r>
        <w:rPr>
          <w:rFonts w:ascii="SimSun" w:hAnsi="SimSun" w:eastAsia="SimSun" w:cs="SimSun"/>
          <w:sz w:val="24"/>
          <w:szCs w:val="24"/>
          <w:spacing w:val="-2"/>
        </w:rPr>
        <w:t>。</w:t>
      </w:r>
    </w:p>
    <w:p>
      <w:pPr>
        <w:ind w:left="3109"/>
        <w:spacing w:before="1" w:line="231"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4-18      </w:t>
      </w:r>
      <w:r>
        <w:rPr>
          <w:rFonts w:ascii="SimSun" w:hAnsi="SimSun" w:eastAsia="SimSun" w:cs="SimSun"/>
          <w:sz w:val="24"/>
          <w:szCs w:val="24"/>
          <w:b/>
          <w:bCs/>
          <w:spacing w:val="-2"/>
        </w:rPr>
        <w:t>评价区植被名录表</w:t>
      </w:r>
    </w:p>
    <w:p>
      <w:pPr>
        <w:spacing w:line="130"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86"/>
        <w:gridCol w:w="2533"/>
        <w:gridCol w:w="2309"/>
        <w:gridCol w:w="2307"/>
      </w:tblGrid>
      <w:tr>
        <w:trPr>
          <w:trHeight w:val="320" w:hRule="atLeast"/>
        </w:trPr>
        <w:tc>
          <w:tcPr>
            <w:tcW w:w="1586" w:type="dxa"/>
            <w:vAlign w:val="top"/>
            <w:tcBorders>
              <w:left w:val="nil"/>
              <w:top w:val="single" w:color="000000" w:sz="10" w:space="0"/>
            </w:tcBorders>
          </w:tcPr>
          <w:p>
            <w:pPr>
              <w:pStyle w:val="TableText"/>
              <w:ind w:left="536"/>
              <w:spacing w:before="51" w:line="217" w:lineRule="auto"/>
              <w:rPr>
                <w:sz w:val="22"/>
                <w:szCs w:val="22"/>
              </w:rPr>
            </w:pPr>
            <w:r>
              <w:rPr>
                <w:sz w:val="22"/>
                <w:szCs w:val="22"/>
                <w:spacing w:val="-6"/>
              </w:rPr>
              <w:t>性</w:t>
            </w:r>
            <w:r>
              <w:rPr>
                <w:sz w:val="22"/>
                <w:szCs w:val="22"/>
                <w:spacing w:val="10"/>
              </w:rPr>
              <w:t xml:space="preserve"> </w:t>
            </w:r>
            <w:r>
              <w:rPr>
                <w:sz w:val="22"/>
                <w:szCs w:val="22"/>
                <w:spacing w:val="-6"/>
              </w:rPr>
              <w:t>质</w:t>
            </w:r>
          </w:p>
        </w:tc>
        <w:tc>
          <w:tcPr>
            <w:tcW w:w="2533" w:type="dxa"/>
            <w:vAlign w:val="top"/>
            <w:tcBorders>
              <w:top w:val="single" w:color="000000" w:sz="10" w:space="0"/>
            </w:tcBorders>
          </w:tcPr>
          <w:p>
            <w:pPr>
              <w:pStyle w:val="TableText"/>
              <w:ind w:left="833"/>
              <w:spacing w:before="51" w:line="217" w:lineRule="auto"/>
              <w:rPr>
                <w:sz w:val="22"/>
                <w:szCs w:val="22"/>
              </w:rPr>
            </w:pPr>
            <w:r>
              <w:rPr>
                <w:sz w:val="22"/>
                <w:szCs w:val="22"/>
                <w:spacing w:val="-2"/>
              </w:rPr>
              <w:t>植被类型</w:t>
            </w:r>
          </w:p>
        </w:tc>
        <w:tc>
          <w:tcPr>
            <w:tcW w:w="2309" w:type="dxa"/>
            <w:vAlign w:val="top"/>
            <w:tcBorders>
              <w:top w:val="single" w:color="000000" w:sz="10" w:space="0"/>
            </w:tcBorders>
          </w:tcPr>
          <w:p>
            <w:pPr>
              <w:pStyle w:val="TableText"/>
              <w:ind w:left="664"/>
              <w:spacing w:before="51" w:line="217" w:lineRule="auto"/>
              <w:rPr>
                <w:sz w:val="22"/>
                <w:szCs w:val="22"/>
              </w:rPr>
            </w:pPr>
            <w:r>
              <w:rPr>
                <w:sz w:val="22"/>
                <w:szCs w:val="22"/>
                <w:spacing w:val="-1"/>
              </w:rPr>
              <w:t>面积(hm2)</w:t>
            </w:r>
          </w:p>
        </w:tc>
        <w:tc>
          <w:tcPr>
            <w:tcW w:w="2307" w:type="dxa"/>
            <w:vAlign w:val="top"/>
            <w:tcBorders>
              <w:right w:val="nil"/>
              <w:top w:val="single" w:color="000000" w:sz="10" w:space="0"/>
            </w:tcBorders>
          </w:tcPr>
          <w:p>
            <w:pPr>
              <w:pStyle w:val="TableText"/>
              <w:ind w:left="811"/>
              <w:spacing w:before="51" w:line="217" w:lineRule="auto"/>
              <w:rPr>
                <w:sz w:val="22"/>
                <w:szCs w:val="22"/>
              </w:rPr>
            </w:pPr>
            <w:r>
              <w:rPr>
                <w:sz w:val="22"/>
                <w:szCs w:val="22"/>
                <w:spacing w:val="-9"/>
              </w:rPr>
              <w:t>占比(%)</w:t>
            </w:r>
          </w:p>
        </w:tc>
      </w:tr>
      <w:tr>
        <w:trPr>
          <w:trHeight w:val="314" w:hRule="atLeast"/>
        </w:trPr>
        <w:tc>
          <w:tcPr>
            <w:tcW w:w="1586" w:type="dxa"/>
            <w:vAlign w:val="top"/>
            <w:vMerge w:val="restart"/>
            <w:tcBorders>
              <w:left w:val="nil"/>
              <w:bottom w:val="nil"/>
            </w:tcBorders>
          </w:tcPr>
          <w:p>
            <w:pPr>
              <w:pStyle w:val="TableText"/>
              <w:ind w:left="404"/>
              <w:spacing w:before="209" w:line="220" w:lineRule="auto"/>
              <w:rPr>
                <w:sz w:val="22"/>
                <w:szCs w:val="22"/>
              </w:rPr>
            </w:pPr>
            <w:r>
              <w:rPr>
                <w:sz w:val="22"/>
                <w:szCs w:val="22"/>
                <w:spacing w:val="-8"/>
              </w:rPr>
              <w:t>自然植被</w:t>
            </w:r>
          </w:p>
        </w:tc>
        <w:tc>
          <w:tcPr>
            <w:tcW w:w="2533" w:type="dxa"/>
            <w:vAlign w:val="top"/>
            <w:tcBorders>
              <w:bottom w:val="single" w:color="000000" w:sz="4" w:space="0"/>
            </w:tcBorders>
          </w:tcPr>
          <w:p>
            <w:pPr>
              <w:pStyle w:val="TableText"/>
              <w:ind w:left="837"/>
              <w:spacing w:before="47" w:line="215" w:lineRule="auto"/>
              <w:rPr>
                <w:sz w:val="22"/>
                <w:szCs w:val="22"/>
              </w:rPr>
            </w:pPr>
            <w:r>
              <w:rPr>
                <w:sz w:val="22"/>
                <w:szCs w:val="22"/>
                <w:spacing w:val="-2"/>
              </w:rPr>
              <w:t>典型草原</w:t>
            </w:r>
          </w:p>
        </w:tc>
        <w:tc>
          <w:tcPr>
            <w:tcW w:w="2309" w:type="dxa"/>
            <w:vAlign w:val="top"/>
            <w:tcBorders>
              <w:bottom w:val="single" w:color="000000" w:sz="4" w:space="0"/>
            </w:tcBorders>
          </w:tcPr>
          <w:p>
            <w:pPr>
              <w:pStyle w:val="TableText"/>
              <w:ind w:left="845"/>
              <w:spacing w:before="47" w:line="215" w:lineRule="auto"/>
              <w:rPr>
                <w:sz w:val="22"/>
                <w:szCs w:val="22"/>
              </w:rPr>
            </w:pPr>
            <w:r>
              <w:rPr>
                <w:sz w:val="22"/>
                <w:szCs w:val="22"/>
                <w:spacing w:val="-4"/>
              </w:rPr>
              <w:t>130.80</w:t>
            </w:r>
          </w:p>
        </w:tc>
        <w:tc>
          <w:tcPr>
            <w:tcW w:w="2307" w:type="dxa"/>
            <w:vAlign w:val="top"/>
            <w:tcBorders>
              <w:right w:val="nil"/>
              <w:bottom w:val="single" w:color="000000" w:sz="4" w:space="0"/>
            </w:tcBorders>
          </w:tcPr>
          <w:p>
            <w:pPr>
              <w:pStyle w:val="TableText"/>
              <w:ind w:left="883"/>
              <w:spacing w:before="47" w:line="215" w:lineRule="auto"/>
              <w:rPr>
                <w:sz w:val="22"/>
                <w:szCs w:val="22"/>
              </w:rPr>
            </w:pPr>
            <w:r>
              <w:rPr>
                <w:sz w:val="22"/>
                <w:szCs w:val="22"/>
                <w:spacing w:val="-2"/>
              </w:rPr>
              <w:t>95.29</w:t>
            </w:r>
          </w:p>
        </w:tc>
      </w:tr>
      <w:tr>
        <w:trPr>
          <w:trHeight w:val="309" w:hRule="atLeast"/>
        </w:trPr>
        <w:tc>
          <w:tcPr>
            <w:tcW w:w="1586" w:type="dxa"/>
            <w:vAlign w:val="top"/>
            <w:vMerge w:val="continue"/>
            <w:tcBorders>
              <w:left w:val="nil"/>
              <w:top w:val="nil"/>
            </w:tcBorders>
          </w:tcPr>
          <w:p>
            <w:pPr>
              <w:rPr>
                <w:rFonts w:ascii="Arial"/>
                <w:sz w:val="21"/>
              </w:rPr>
            </w:pPr>
            <w:r/>
          </w:p>
        </w:tc>
        <w:tc>
          <w:tcPr>
            <w:tcW w:w="2533" w:type="dxa"/>
            <w:vAlign w:val="top"/>
            <w:tcBorders>
              <w:top w:val="single" w:color="000000" w:sz="4" w:space="0"/>
            </w:tcBorders>
          </w:tcPr>
          <w:p>
            <w:pPr>
              <w:pStyle w:val="TableText"/>
              <w:ind w:left="1059"/>
              <w:spacing w:before="46" w:line="212" w:lineRule="auto"/>
              <w:rPr>
                <w:sz w:val="22"/>
                <w:szCs w:val="22"/>
              </w:rPr>
            </w:pPr>
            <w:r>
              <w:rPr>
                <w:sz w:val="22"/>
                <w:szCs w:val="22"/>
                <w:spacing w:val="-4"/>
              </w:rPr>
              <w:t>小计</w:t>
            </w:r>
          </w:p>
        </w:tc>
        <w:tc>
          <w:tcPr>
            <w:tcW w:w="2309" w:type="dxa"/>
            <w:vAlign w:val="top"/>
            <w:tcBorders>
              <w:top w:val="single" w:color="000000" w:sz="4" w:space="0"/>
            </w:tcBorders>
          </w:tcPr>
          <w:p>
            <w:pPr>
              <w:pStyle w:val="TableText"/>
              <w:ind w:left="845"/>
              <w:spacing w:before="46" w:line="212" w:lineRule="auto"/>
              <w:rPr>
                <w:sz w:val="22"/>
                <w:szCs w:val="22"/>
              </w:rPr>
            </w:pPr>
            <w:r>
              <w:rPr>
                <w:sz w:val="22"/>
                <w:szCs w:val="22"/>
                <w:spacing w:val="-4"/>
              </w:rPr>
              <w:t>130.80</w:t>
            </w:r>
          </w:p>
        </w:tc>
        <w:tc>
          <w:tcPr>
            <w:tcW w:w="2307" w:type="dxa"/>
            <w:vAlign w:val="top"/>
            <w:tcBorders>
              <w:right w:val="nil"/>
              <w:top w:val="single" w:color="000000" w:sz="4" w:space="0"/>
            </w:tcBorders>
          </w:tcPr>
          <w:p>
            <w:pPr>
              <w:pStyle w:val="TableText"/>
              <w:ind w:left="883"/>
              <w:spacing w:before="46" w:line="212" w:lineRule="auto"/>
              <w:rPr>
                <w:sz w:val="22"/>
                <w:szCs w:val="22"/>
              </w:rPr>
            </w:pPr>
            <w:r>
              <w:rPr>
                <w:sz w:val="22"/>
                <w:szCs w:val="22"/>
                <w:spacing w:val="-2"/>
              </w:rPr>
              <w:t>95.29</w:t>
            </w:r>
          </w:p>
        </w:tc>
      </w:tr>
      <w:tr>
        <w:trPr>
          <w:trHeight w:val="314" w:hRule="atLeast"/>
        </w:trPr>
        <w:tc>
          <w:tcPr>
            <w:tcW w:w="1586" w:type="dxa"/>
            <w:vAlign w:val="top"/>
            <w:vMerge w:val="restart"/>
            <w:tcBorders>
              <w:left w:val="nil"/>
              <w:bottom w:val="nil"/>
            </w:tcBorders>
          </w:tcPr>
          <w:p>
            <w:pPr>
              <w:pStyle w:val="TableText"/>
              <w:ind w:left="370"/>
              <w:spacing w:before="215" w:line="220" w:lineRule="auto"/>
              <w:rPr>
                <w:sz w:val="22"/>
                <w:szCs w:val="22"/>
              </w:rPr>
            </w:pPr>
            <w:r>
              <w:rPr>
                <w:sz w:val="22"/>
                <w:szCs w:val="22"/>
                <w:spacing w:val="-2"/>
              </w:rPr>
              <w:t>人工植被</w:t>
            </w:r>
          </w:p>
        </w:tc>
        <w:tc>
          <w:tcPr>
            <w:tcW w:w="2533" w:type="dxa"/>
            <w:vAlign w:val="top"/>
          </w:tcPr>
          <w:p>
            <w:pPr>
              <w:pStyle w:val="TableText"/>
              <w:ind w:left="944"/>
              <w:spacing w:before="53" w:line="210" w:lineRule="auto"/>
              <w:rPr>
                <w:sz w:val="22"/>
                <w:szCs w:val="22"/>
              </w:rPr>
            </w:pPr>
            <w:r>
              <w:rPr>
                <w:sz w:val="22"/>
                <w:szCs w:val="22"/>
                <w:spacing w:val="-2"/>
              </w:rPr>
              <w:t>人工林</w:t>
            </w:r>
          </w:p>
        </w:tc>
        <w:tc>
          <w:tcPr>
            <w:tcW w:w="2309" w:type="dxa"/>
            <w:vAlign w:val="top"/>
          </w:tcPr>
          <w:p>
            <w:pPr>
              <w:pStyle w:val="TableText"/>
              <w:ind w:left="941"/>
              <w:spacing w:before="53" w:line="210" w:lineRule="auto"/>
              <w:rPr>
                <w:sz w:val="22"/>
                <w:szCs w:val="22"/>
              </w:rPr>
            </w:pPr>
            <w:r>
              <w:rPr>
                <w:sz w:val="22"/>
                <w:szCs w:val="22"/>
                <w:spacing w:val="-2"/>
              </w:rPr>
              <w:t>0.07</w:t>
            </w:r>
          </w:p>
        </w:tc>
        <w:tc>
          <w:tcPr>
            <w:tcW w:w="2307" w:type="dxa"/>
            <w:vAlign w:val="top"/>
            <w:tcBorders>
              <w:right w:val="nil"/>
            </w:tcBorders>
          </w:tcPr>
          <w:p>
            <w:pPr>
              <w:pStyle w:val="TableText"/>
              <w:ind w:left="939"/>
              <w:spacing w:before="53" w:line="210" w:lineRule="auto"/>
              <w:rPr>
                <w:sz w:val="22"/>
                <w:szCs w:val="22"/>
              </w:rPr>
            </w:pPr>
            <w:r>
              <w:rPr>
                <w:sz w:val="22"/>
                <w:szCs w:val="22"/>
                <w:spacing w:val="-2"/>
              </w:rPr>
              <w:t>0.05</w:t>
            </w:r>
          </w:p>
        </w:tc>
      </w:tr>
      <w:tr>
        <w:trPr>
          <w:trHeight w:val="314" w:hRule="atLeast"/>
        </w:trPr>
        <w:tc>
          <w:tcPr>
            <w:tcW w:w="1586" w:type="dxa"/>
            <w:vAlign w:val="top"/>
            <w:vMerge w:val="continue"/>
            <w:tcBorders>
              <w:left w:val="nil"/>
              <w:top w:val="nil"/>
            </w:tcBorders>
          </w:tcPr>
          <w:p>
            <w:pPr>
              <w:rPr>
                <w:rFonts w:ascii="Arial"/>
                <w:sz w:val="21"/>
              </w:rPr>
            </w:pPr>
            <w:r/>
          </w:p>
        </w:tc>
        <w:tc>
          <w:tcPr>
            <w:tcW w:w="2533" w:type="dxa"/>
            <w:vAlign w:val="top"/>
          </w:tcPr>
          <w:p>
            <w:pPr>
              <w:pStyle w:val="TableText"/>
              <w:ind w:left="1059"/>
              <w:spacing w:before="57" w:line="207" w:lineRule="auto"/>
              <w:rPr>
                <w:sz w:val="22"/>
                <w:szCs w:val="22"/>
              </w:rPr>
            </w:pPr>
            <w:r>
              <w:rPr>
                <w:sz w:val="22"/>
                <w:szCs w:val="22"/>
                <w:spacing w:val="-4"/>
              </w:rPr>
              <w:t>小计</w:t>
            </w:r>
          </w:p>
        </w:tc>
        <w:tc>
          <w:tcPr>
            <w:tcW w:w="2309" w:type="dxa"/>
            <w:vAlign w:val="top"/>
          </w:tcPr>
          <w:p>
            <w:pPr>
              <w:pStyle w:val="TableText"/>
              <w:ind w:left="941"/>
              <w:spacing w:before="57" w:line="207" w:lineRule="auto"/>
              <w:rPr>
                <w:sz w:val="22"/>
                <w:szCs w:val="22"/>
              </w:rPr>
            </w:pPr>
            <w:r>
              <w:rPr>
                <w:sz w:val="22"/>
                <w:szCs w:val="22"/>
                <w:spacing w:val="-2"/>
              </w:rPr>
              <w:t>0.07</w:t>
            </w:r>
          </w:p>
        </w:tc>
        <w:tc>
          <w:tcPr>
            <w:tcW w:w="2307" w:type="dxa"/>
            <w:vAlign w:val="top"/>
            <w:tcBorders>
              <w:right w:val="nil"/>
            </w:tcBorders>
          </w:tcPr>
          <w:p>
            <w:pPr>
              <w:pStyle w:val="TableText"/>
              <w:ind w:left="939"/>
              <w:spacing w:before="57" w:line="207" w:lineRule="auto"/>
              <w:rPr>
                <w:sz w:val="22"/>
                <w:szCs w:val="22"/>
              </w:rPr>
            </w:pPr>
            <w:r>
              <w:rPr>
                <w:sz w:val="22"/>
                <w:szCs w:val="22"/>
                <w:spacing w:val="-2"/>
              </w:rPr>
              <w:t>0.05</w:t>
            </w:r>
          </w:p>
        </w:tc>
      </w:tr>
      <w:tr>
        <w:trPr>
          <w:trHeight w:val="316" w:hRule="atLeast"/>
        </w:trPr>
        <w:tc>
          <w:tcPr>
            <w:tcW w:w="1586" w:type="dxa"/>
            <w:vAlign w:val="top"/>
            <w:vMerge w:val="restart"/>
            <w:tcBorders>
              <w:left w:val="nil"/>
              <w:bottom w:val="nil"/>
            </w:tcBorders>
          </w:tcPr>
          <w:p>
            <w:pPr>
              <w:spacing w:line="309" w:lineRule="auto"/>
              <w:rPr>
                <w:rFonts w:ascii="Arial"/>
                <w:sz w:val="21"/>
              </w:rPr>
            </w:pPr>
            <w:r/>
          </w:p>
          <w:p>
            <w:pPr>
              <w:pStyle w:val="TableText"/>
              <w:ind w:left="590"/>
              <w:spacing w:before="72" w:line="221" w:lineRule="auto"/>
              <w:rPr>
                <w:sz w:val="22"/>
                <w:szCs w:val="22"/>
              </w:rPr>
            </w:pPr>
            <w:r>
              <w:rPr>
                <w:sz w:val="22"/>
                <w:szCs w:val="22"/>
                <w:spacing w:val="-2"/>
              </w:rPr>
              <w:t>其他</w:t>
            </w:r>
          </w:p>
        </w:tc>
        <w:tc>
          <w:tcPr>
            <w:tcW w:w="2533" w:type="dxa"/>
            <w:vAlign w:val="top"/>
          </w:tcPr>
          <w:p>
            <w:pPr>
              <w:pStyle w:val="TableText"/>
              <w:ind w:left="1060"/>
              <w:spacing w:before="61" w:line="205" w:lineRule="auto"/>
              <w:rPr>
                <w:sz w:val="22"/>
                <w:szCs w:val="22"/>
              </w:rPr>
            </w:pPr>
            <w:r>
              <w:rPr>
                <w:sz w:val="22"/>
                <w:szCs w:val="22"/>
                <w:spacing w:val="-4"/>
              </w:rPr>
              <w:t>公墓</w:t>
            </w:r>
          </w:p>
        </w:tc>
        <w:tc>
          <w:tcPr>
            <w:tcW w:w="2309" w:type="dxa"/>
            <w:vAlign w:val="top"/>
          </w:tcPr>
          <w:p>
            <w:pPr>
              <w:pStyle w:val="TableText"/>
              <w:ind w:left="941"/>
              <w:spacing w:before="61" w:line="205" w:lineRule="auto"/>
              <w:rPr>
                <w:sz w:val="22"/>
                <w:szCs w:val="22"/>
              </w:rPr>
            </w:pPr>
            <w:r>
              <w:rPr>
                <w:sz w:val="22"/>
                <w:szCs w:val="22"/>
                <w:spacing w:val="-2"/>
              </w:rPr>
              <w:t>0.40</w:t>
            </w:r>
          </w:p>
        </w:tc>
        <w:tc>
          <w:tcPr>
            <w:tcW w:w="2307" w:type="dxa"/>
            <w:vAlign w:val="top"/>
            <w:tcBorders>
              <w:right w:val="nil"/>
            </w:tcBorders>
          </w:tcPr>
          <w:p>
            <w:pPr>
              <w:pStyle w:val="TableText"/>
              <w:ind w:left="939"/>
              <w:spacing w:before="61" w:line="205" w:lineRule="auto"/>
              <w:rPr>
                <w:sz w:val="22"/>
                <w:szCs w:val="22"/>
              </w:rPr>
            </w:pPr>
            <w:r>
              <w:rPr>
                <w:sz w:val="22"/>
                <w:szCs w:val="22"/>
                <w:spacing w:val="-2"/>
              </w:rPr>
              <w:t>0.29</w:t>
            </w:r>
          </w:p>
        </w:tc>
      </w:tr>
      <w:tr>
        <w:trPr>
          <w:trHeight w:val="314" w:hRule="atLeast"/>
        </w:trPr>
        <w:tc>
          <w:tcPr>
            <w:tcW w:w="1586" w:type="dxa"/>
            <w:vAlign w:val="top"/>
            <w:vMerge w:val="continue"/>
            <w:tcBorders>
              <w:left w:val="nil"/>
              <w:top w:val="nil"/>
              <w:bottom w:val="nil"/>
            </w:tcBorders>
          </w:tcPr>
          <w:p>
            <w:pPr>
              <w:rPr>
                <w:rFonts w:ascii="Arial"/>
                <w:sz w:val="21"/>
              </w:rPr>
            </w:pPr>
            <w:r/>
          </w:p>
        </w:tc>
        <w:tc>
          <w:tcPr>
            <w:tcW w:w="2533" w:type="dxa"/>
            <w:vAlign w:val="top"/>
          </w:tcPr>
          <w:p>
            <w:pPr>
              <w:pStyle w:val="TableText"/>
              <w:ind w:left="1052"/>
              <w:spacing w:before="62" w:line="203" w:lineRule="auto"/>
              <w:rPr>
                <w:sz w:val="22"/>
                <w:szCs w:val="22"/>
              </w:rPr>
            </w:pPr>
            <w:r>
              <w:rPr>
                <w:sz w:val="22"/>
                <w:szCs w:val="22"/>
                <w:spacing w:val="-2"/>
              </w:rPr>
              <w:t>道路</w:t>
            </w:r>
          </w:p>
        </w:tc>
        <w:tc>
          <w:tcPr>
            <w:tcW w:w="2309" w:type="dxa"/>
            <w:vAlign w:val="top"/>
          </w:tcPr>
          <w:p>
            <w:pPr>
              <w:pStyle w:val="TableText"/>
              <w:ind w:left="944"/>
              <w:spacing w:before="62" w:line="203" w:lineRule="auto"/>
              <w:rPr>
                <w:sz w:val="22"/>
                <w:szCs w:val="22"/>
              </w:rPr>
            </w:pPr>
            <w:r>
              <w:rPr>
                <w:sz w:val="22"/>
                <w:szCs w:val="22"/>
                <w:spacing w:val="-3"/>
              </w:rPr>
              <w:t>5.98</w:t>
            </w:r>
          </w:p>
        </w:tc>
        <w:tc>
          <w:tcPr>
            <w:tcW w:w="2307" w:type="dxa"/>
            <w:vAlign w:val="top"/>
            <w:tcBorders>
              <w:right w:val="nil"/>
            </w:tcBorders>
          </w:tcPr>
          <w:p>
            <w:pPr>
              <w:pStyle w:val="TableText"/>
              <w:ind w:left="937"/>
              <w:spacing w:before="62" w:line="203" w:lineRule="auto"/>
              <w:rPr>
                <w:sz w:val="22"/>
                <w:szCs w:val="22"/>
              </w:rPr>
            </w:pPr>
            <w:r>
              <w:rPr>
                <w:sz w:val="22"/>
                <w:szCs w:val="22"/>
                <w:spacing w:val="-2"/>
              </w:rPr>
              <w:t>4.36</w:t>
            </w:r>
          </w:p>
        </w:tc>
      </w:tr>
      <w:tr>
        <w:trPr>
          <w:trHeight w:val="314" w:hRule="atLeast"/>
        </w:trPr>
        <w:tc>
          <w:tcPr>
            <w:tcW w:w="1586" w:type="dxa"/>
            <w:vAlign w:val="top"/>
            <w:vMerge w:val="continue"/>
            <w:tcBorders>
              <w:left w:val="nil"/>
              <w:top w:val="nil"/>
            </w:tcBorders>
          </w:tcPr>
          <w:p>
            <w:pPr>
              <w:rPr>
                <w:rFonts w:ascii="Arial"/>
                <w:sz w:val="21"/>
              </w:rPr>
            </w:pPr>
            <w:r/>
          </w:p>
        </w:tc>
        <w:tc>
          <w:tcPr>
            <w:tcW w:w="2533" w:type="dxa"/>
            <w:vAlign w:val="top"/>
          </w:tcPr>
          <w:p>
            <w:pPr>
              <w:pStyle w:val="TableText"/>
              <w:ind w:left="1059"/>
              <w:spacing w:before="64" w:line="201" w:lineRule="auto"/>
              <w:rPr>
                <w:sz w:val="22"/>
                <w:szCs w:val="22"/>
              </w:rPr>
            </w:pPr>
            <w:r>
              <w:rPr>
                <w:sz w:val="22"/>
                <w:szCs w:val="22"/>
                <w:spacing w:val="-4"/>
              </w:rPr>
              <w:t>小计</w:t>
            </w:r>
          </w:p>
        </w:tc>
        <w:tc>
          <w:tcPr>
            <w:tcW w:w="2309" w:type="dxa"/>
            <w:vAlign w:val="top"/>
          </w:tcPr>
          <w:p>
            <w:pPr>
              <w:pStyle w:val="TableText"/>
              <w:ind w:left="941"/>
              <w:spacing w:before="64" w:line="201" w:lineRule="auto"/>
              <w:rPr>
                <w:sz w:val="22"/>
                <w:szCs w:val="22"/>
              </w:rPr>
            </w:pPr>
            <w:r>
              <w:rPr>
                <w:sz w:val="22"/>
                <w:szCs w:val="22"/>
                <w:spacing w:val="-2"/>
              </w:rPr>
              <w:t>6.39</w:t>
            </w:r>
          </w:p>
        </w:tc>
        <w:tc>
          <w:tcPr>
            <w:tcW w:w="2307" w:type="dxa"/>
            <w:vAlign w:val="top"/>
            <w:tcBorders>
              <w:right w:val="nil"/>
            </w:tcBorders>
          </w:tcPr>
          <w:p>
            <w:pPr>
              <w:pStyle w:val="TableText"/>
              <w:ind w:left="937"/>
              <w:spacing w:before="64" w:line="201" w:lineRule="auto"/>
              <w:rPr>
                <w:sz w:val="22"/>
                <w:szCs w:val="22"/>
              </w:rPr>
            </w:pPr>
            <w:r>
              <w:rPr>
                <w:sz w:val="22"/>
                <w:szCs w:val="22"/>
                <w:spacing w:val="-2"/>
              </w:rPr>
              <w:t>4.65</w:t>
            </w:r>
          </w:p>
        </w:tc>
      </w:tr>
      <w:tr>
        <w:trPr>
          <w:trHeight w:val="340" w:hRule="atLeast"/>
        </w:trPr>
        <w:tc>
          <w:tcPr>
            <w:tcW w:w="1586" w:type="dxa"/>
            <w:vAlign w:val="top"/>
            <w:tcBorders>
              <w:left w:val="nil"/>
              <w:bottom w:val="single" w:color="000000" w:sz="10" w:space="0"/>
            </w:tcBorders>
          </w:tcPr>
          <w:p>
            <w:pPr>
              <w:pStyle w:val="TableText"/>
              <w:ind w:left="590"/>
              <w:spacing w:before="67" w:line="220" w:lineRule="auto"/>
              <w:rPr>
                <w:sz w:val="22"/>
                <w:szCs w:val="22"/>
              </w:rPr>
            </w:pPr>
            <w:r>
              <w:rPr>
                <w:sz w:val="22"/>
                <w:szCs w:val="22"/>
                <w:spacing w:val="-2"/>
              </w:rPr>
              <w:t>合计</w:t>
            </w:r>
          </w:p>
        </w:tc>
        <w:tc>
          <w:tcPr>
            <w:tcW w:w="2533" w:type="dxa"/>
            <w:vAlign w:val="top"/>
            <w:tcBorders>
              <w:bottom w:val="single" w:color="000000" w:sz="10" w:space="0"/>
            </w:tcBorders>
          </w:tcPr>
          <w:p>
            <w:pPr>
              <w:rPr>
                <w:rFonts w:ascii="Arial"/>
                <w:sz w:val="21"/>
              </w:rPr>
            </w:pPr>
            <w:r/>
          </w:p>
        </w:tc>
        <w:tc>
          <w:tcPr>
            <w:tcW w:w="2309" w:type="dxa"/>
            <w:vAlign w:val="top"/>
            <w:tcBorders>
              <w:bottom w:val="single" w:color="000000" w:sz="10" w:space="0"/>
            </w:tcBorders>
          </w:tcPr>
          <w:p>
            <w:pPr>
              <w:pStyle w:val="TableText"/>
              <w:ind w:left="845"/>
              <w:spacing w:before="67" w:line="220" w:lineRule="auto"/>
              <w:rPr>
                <w:sz w:val="22"/>
                <w:szCs w:val="22"/>
              </w:rPr>
            </w:pPr>
            <w:r>
              <w:rPr>
                <w:sz w:val="22"/>
                <w:szCs w:val="22"/>
                <w:spacing w:val="-4"/>
              </w:rPr>
              <w:t>137.26</w:t>
            </w:r>
          </w:p>
        </w:tc>
        <w:tc>
          <w:tcPr>
            <w:tcW w:w="2307" w:type="dxa"/>
            <w:vAlign w:val="top"/>
            <w:tcBorders>
              <w:right w:val="nil"/>
              <w:bottom w:val="single" w:color="000000" w:sz="10" w:space="0"/>
            </w:tcBorders>
          </w:tcPr>
          <w:p>
            <w:pPr>
              <w:pStyle w:val="TableText"/>
              <w:ind w:left="843"/>
              <w:spacing w:before="67" w:line="220" w:lineRule="auto"/>
              <w:rPr>
                <w:sz w:val="22"/>
                <w:szCs w:val="22"/>
              </w:rPr>
            </w:pPr>
            <w:r>
              <w:rPr>
                <w:sz w:val="22"/>
                <w:szCs w:val="22"/>
                <w:spacing w:val="-4"/>
              </w:rPr>
              <w:t>100.00</w:t>
            </w:r>
          </w:p>
        </w:tc>
      </w:tr>
    </w:tbl>
    <w:p>
      <w:pPr>
        <w:ind w:left="558"/>
        <w:spacing w:before="112"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）动物现状调查与评价</w:t>
      </w:r>
    </w:p>
    <w:p>
      <w:pPr>
        <w:ind w:left="550"/>
        <w:spacing w:before="167" w:line="217" w:lineRule="auto"/>
        <w:rPr>
          <w:rFonts w:ascii="SimSun" w:hAnsi="SimSun" w:eastAsia="SimSun" w:cs="SimSun"/>
          <w:sz w:val="24"/>
          <w:szCs w:val="24"/>
        </w:rPr>
      </w:pPr>
      <w:r>
        <w:rPr>
          <w:rFonts w:ascii="SimSun" w:hAnsi="SimSun" w:eastAsia="SimSun" w:cs="SimSun"/>
          <w:sz w:val="24"/>
          <w:szCs w:val="24"/>
          <w:spacing w:val="-1"/>
        </w:rPr>
        <w:t>①野生动物现状调查</w:t>
      </w:r>
    </w:p>
    <w:p>
      <w:pPr>
        <w:ind w:left="132" w:right="118" w:firstLine="518"/>
        <w:spacing w:before="185" w:line="360" w:lineRule="auto"/>
        <w:jc w:val="both"/>
        <w:rPr>
          <w:rFonts w:ascii="SimSun" w:hAnsi="SimSun" w:eastAsia="SimSun" w:cs="SimSun"/>
          <w:sz w:val="24"/>
          <w:szCs w:val="24"/>
        </w:rPr>
      </w:pPr>
      <w:r>
        <w:rPr>
          <w:rFonts w:ascii="SimSun" w:hAnsi="SimSun" w:eastAsia="SimSun" w:cs="SimSun"/>
          <w:sz w:val="24"/>
          <w:szCs w:val="24"/>
          <w:spacing w:val="1"/>
        </w:rPr>
        <w:t>占地范围内由于取土活动，人类活动频繁，区域内野生动物的种类不多，主</w:t>
      </w:r>
      <w:r>
        <w:rPr>
          <w:rFonts w:ascii="SimSun" w:hAnsi="SimSun" w:eastAsia="SimSun" w:cs="SimSun"/>
          <w:sz w:val="24"/>
          <w:szCs w:val="24"/>
          <w:spacing w:val="2"/>
        </w:rPr>
        <w:t>要以啮齿类动物和鸟类为主，其他野生动物种类均较少，且基本为广布种。根据</w:t>
      </w:r>
      <w:r>
        <w:rPr>
          <w:rFonts w:ascii="SimSun" w:hAnsi="SimSun" w:eastAsia="SimSun" w:cs="SimSun"/>
          <w:sz w:val="24"/>
          <w:szCs w:val="24"/>
          <w:spacing w:val="-2"/>
        </w:rPr>
        <w:t>多年资料、现场调查，评价范围内无其它国家及省级保护类野生动物。</w:t>
      </w:r>
    </w:p>
    <w:p>
      <w:pPr>
        <w:ind w:left="610"/>
        <w:spacing w:before="2" w:line="231" w:lineRule="auto"/>
        <w:rPr>
          <w:rFonts w:ascii="SimSun" w:hAnsi="SimSun" w:eastAsia="SimSun" w:cs="SimSun"/>
          <w:sz w:val="24"/>
          <w:szCs w:val="24"/>
        </w:rPr>
      </w:pPr>
      <w:r>
        <w:rPr>
          <w:rFonts w:ascii="SimSun" w:hAnsi="SimSun" w:eastAsia="SimSun" w:cs="SimSun"/>
          <w:sz w:val="24"/>
          <w:szCs w:val="24"/>
          <w:spacing w:val="-1"/>
        </w:rPr>
        <w:t>评价区内常见的动物名录见表</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4-19</w:t>
      </w:r>
      <w:r>
        <w:rPr>
          <w:rFonts w:ascii="SimSun" w:hAnsi="SimSun" w:eastAsia="SimSun" w:cs="SimSun"/>
          <w:sz w:val="24"/>
          <w:szCs w:val="24"/>
          <w:spacing w:val="-1"/>
        </w:rPr>
        <w:t>。</w:t>
      </w:r>
    </w:p>
    <w:p>
      <w:pPr>
        <w:ind w:left="3167"/>
        <w:spacing w:before="87"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8"/>
        </w:rPr>
        <w:t xml:space="preserve"> </w:t>
      </w:r>
      <w:r>
        <w:rPr>
          <w:rFonts w:ascii="Times New Roman" w:hAnsi="Times New Roman" w:eastAsia="Times New Roman" w:cs="Times New Roman"/>
          <w:sz w:val="24"/>
          <w:szCs w:val="24"/>
          <w:b/>
          <w:bCs/>
          <w:spacing w:val="-2"/>
        </w:rPr>
        <w:t>4-19    </w:t>
      </w:r>
      <w:r>
        <w:rPr>
          <w:rFonts w:ascii="SimSun" w:hAnsi="SimSun" w:eastAsia="SimSun" w:cs="SimSun"/>
          <w:sz w:val="24"/>
          <w:szCs w:val="24"/>
          <w:b/>
          <w:bCs/>
          <w:spacing w:val="-2"/>
        </w:rPr>
        <w:t>评价区动物名录表</w:t>
      </w:r>
    </w:p>
    <w:p>
      <w:pPr>
        <w:spacing w:line="130" w:lineRule="exact"/>
        <w:rPr/>
      </w:pPr>
      <w:r/>
    </w:p>
    <w:tbl>
      <w:tblPr>
        <w:tblStyle w:val="TableNormal"/>
        <w:tblW w:w="8615" w:type="dxa"/>
        <w:tblInd w:w="6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1"/>
        <w:gridCol w:w="1721"/>
        <w:gridCol w:w="1721"/>
        <w:gridCol w:w="1719"/>
        <w:gridCol w:w="1743"/>
      </w:tblGrid>
      <w:tr>
        <w:trPr>
          <w:trHeight w:val="322" w:hRule="atLeast"/>
        </w:trPr>
        <w:tc>
          <w:tcPr>
            <w:tcW w:w="1711" w:type="dxa"/>
            <w:vAlign w:val="top"/>
            <w:tcBorders>
              <w:top w:val="single" w:color="000000" w:sz="10" w:space="0"/>
              <w:left w:val="nil"/>
            </w:tcBorders>
          </w:tcPr>
          <w:p>
            <w:pPr>
              <w:pStyle w:val="TableText"/>
              <w:ind w:left="650"/>
              <w:spacing w:before="55" w:line="222" w:lineRule="auto"/>
              <w:rPr/>
            </w:pPr>
            <w:r>
              <w:rPr>
                <w:spacing w:val="-2"/>
              </w:rPr>
              <w:t>序号</w:t>
            </w:r>
          </w:p>
        </w:tc>
        <w:tc>
          <w:tcPr>
            <w:tcW w:w="1721" w:type="dxa"/>
            <w:vAlign w:val="top"/>
            <w:tcBorders>
              <w:top w:val="single" w:color="000000" w:sz="10" w:space="0"/>
            </w:tcBorders>
          </w:tcPr>
          <w:p>
            <w:pPr>
              <w:pStyle w:val="TableText"/>
              <w:ind w:left="568"/>
              <w:spacing w:before="55" w:line="221" w:lineRule="auto"/>
              <w:rPr/>
            </w:pPr>
            <w:r>
              <w:rPr>
                <w:spacing w:val="-6"/>
              </w:rPr>
              <w:t>中文名</w:t>
            </w:r>
          </w:p>
        </w:tc>
        <w:tc>
          <w:tcPr>
            <w:tcW w:w="1721" w:type="dxa"/>
            <w:vAlign w:val="top"/>
            <w:tcBorders>
              <w:top w:val="single" w:color="000000" w:sz="10" w:space="0"/>
            </w:tcBorders>
          </w:tcPr>
          <w:p>
            <w:pPr>
              <w:pStyle w:val="TableText"/>
              <w:ind w:left="656"/>
              <w:spacing w:before="55" w:line="222" w:lineRule="auto"/>
              <w:rPr/>
            </w:pPr>
            <w:r>
              <w:rPr>
                <w:spacing w:val="-3"/>
              </w:rPr>
              <w:t>学名</w:t>
            </w:r>
          </w:p>
        </w:tc>
        <w:tc>
          <w:tcPr>
            <w:tcW w:w="1719" w:type="dxa"/>
            <w:vAlign w:val="top"/>
            <w:tcBorders>
              <w:top w:val="single" w:color="000000" w:sz="10" w:space="0"/>
            </w:tcBorders>
          </w:tcPr>
          <w:p>
            <w:pPr>
              <w:pStyle w:val="TableText"/>
              <w:ind w:left="234"/>
              <w:spacing w:before="55" w:line="220" w:lineRule="auto"/>
              <w:rPr/>
            </w:pPr>
            <w:r>
              <w:rPr>
                <w:spacing w:val="-2"/>
              </w:rPr>
              <w:t>分布生境类型</w:t>
            </w:r>
          </w:p>
        </w:tc>
        <w:tc>
          <w:tcPr>
            <w:tcW w:w="1743" w:type="dxa"/>
            <w:vAlign w:val="top"/>
            <w:tcBorders>
              <w:top w:val="single" w:color="000000" w:sz="10" w:space="0"/>
              <w:right w:val="nil"/>
            </w:tcBorders>
          </w:tcPr>
          <w:p>
            <w:pPr>
              <w:pStyle w:val="TableText"/>
              <w:ind w:left="456"/>
              <w:spacing w:before="54" w:line="221" w:lineRule="auto"/>
              <w:rPr/>
            </w:pPr>
            <w:r>
              <w:rPr>
                <w:spacing w:val="-2"/>
              </w:rPr>
              <w:t>保护等级</w:t>
            </w:r>
          </w:p>
        </w:tc>
      </w:tr>
    </w:tbl>
    <w:p>
      <w:pPr>
        <w:ind w:left="3965"/>
        <w:spacing w:before="49" w:line="221" w:lineRule="auto"/>
        <w:rPr>
          <w:rFonts w:ascii="SimSun" w:hAnsi="SimSun" w:eastAsia="SimSun" w:cs="SimSun"/>
          <w:sz w:val="21"/>
          <w:szCs w:val="21"/>
        </w:rPr>
      </w:pPr>
      <w:r>
        <w:pict>
          <v:shape id="_x0000_s252" style="position:absolute;margin-left:3.36pt;margin-top:15.6168pt;mso-position-vertical-relative:text;mso-position-horizontal-relative:text;width:430.8pt;height:0.75pt;z-index:252009472;" fillcolor="#000000" filled="true" stroked="false" coordsize="8615,15" coordorigin="0,0" path="m0,14l8615,14l8615,0l0,0l0,14xe"/>
        </w:pict>
      </w:r>
      <w:r>
        <w:rPr>
          <w:rFonts w:ascii="SimSun" w:hAnsi="SimSun" w:eastAsia="SimSun" w:cs="SimSun"/>
          <w:sz w:val="21"/>
          <w:szCs w:val="21"/>
          <w:spacing w:val="-6"/>
        </w:rPr>
        <w:t>一、鸟纲</w:t>
      </w:r>
    </w:p>
    <w:p>
      <w:pPr>
        <w:ind w:left="4067"/>
        <w:spacing w:before="75" w:line="221" w:lineRule="auto"/>
        <w:rPr>
          <w:rFonts w:ascii="SimSun" w:hAnsi="SimSun" w:eastAsia="SimSun" w:cs="SimSun"/>
          <w:sz w:val="21"/>
          <w:szCs w:val="21"/>
        </w:rPr>
      </w:pPr>
      <w:r>
        <w:rPr>
          <w:rFonts w:ascii="SimSun" w:hAnsi="SimSun" w:eastAsia="SimSun" w:cs="SimSun"/>
          <w:sz w:val="21"/>
          <w:szCs w:val="21"/>
          <w:spacing w:val="-2"/>
        </w:rPr>
        <w:t>雀形目</w:t>
      </w:r>
    </w:p>
    <w:p>
      <w:pPr>
        <w:spacing w:line="127" w:lineRule="auto"/>
        <w:rPr>
          <w:rFonts w:ascii="Arial"/>
          <w:sz w:val="2"/>
        </w:rPr>
      </w:pPr>
      <w:r>
        <w:rPr>
          <w:rFonts w:ascii="Arial"/>
          <w:sz w:val="2"/>
        </w:rPr>
      </w:r>
    </w:p>
    <w:tbl>
      <w:tblPr>
        <w:tblStyle w:val="TableNormal"/>
        <w:tblW w:w="8615" w:type="dxa"/>
        <w:tblInd w:w="67"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1"/>
        <w:gridCol w:w="1721"/>
        <w:gridCol w:w="1721"/>
        <w:gridCol w:w="1719"/>
        <w:gridCol w:w="1743"/>
      </w:tblGrid>
      <w:tr>
        <w:trPr>
          <w:trHeight w:val="280" w:hRule="atLeast"/>
        </w:trPr>
        <w:tc>
          <w:tcPr>
            <w:tcW w:w="1711" w:type="dxa"/>
            <w:vAlign w:val="top"/>
            <w:tcBorders>
              <w:left w:val="nil"/>
            </w:tcBorders>
          </w:tcPr>
          <w:p>
            <w:pPr>
              <w:ind w:left="826"/>
              <w:spacing w:before="64"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21" w:type="dxa"/>
            <w:vAlign w:val="top"/>
          </w:tcPr>
          <w:p>
            <w:pPr>
              <w:pStyle w:val="TableText"/>
              <w:ind w:left="657"/>
              <w:spacing w:before="34" w:line="207" w:lineRule="auto"/>
              <w:rPr/>
            </w:pPr>
            <w:r>
              <w:rPr>
                <w:spacing w:val="-3"/>
              </w:rPr>
              <w:t>喜鹊</w:t>
            </w:r>
          </w:p>
        </w:tc>
        <w:tc>
          <w:tcPr>
            <w:tcW w:w="1721" w:type="dxa"/>
            <w:vAlign w:val="top"/>
          </w:tcPr>
          <w:p>
            <w:pPr>
              <w:ind w:left="477"/>
              <w:spacing w:before="6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Pica pica</w:t>
            </w:r>
          </w:p>
        </w:tc>
        <w:tc>
          <w:tcPr>
            <w:tcW w:w="1719" w:type="dxa"/>
            <w:vAlign w:val="top"/>
          </w:tcPr>
          <w:p>
            <w:pPr>
              <w:pStyle w:val="TableText"/>
              <w:ind w:left="60"/>
              <w:spacing w:before="34" w:line="207" w:lineRule="auto"/>
              <w:rPr/>
            </w:pPr>
            <w:r>
              <w:rPr>
                <w:spacing w:val="-10"/>
              </w:rPr>
              <w:t>林地、草地、农田</w:t>
            </w:r>
          </w:p>
        </w:tc>
        <w:tc>
          <w:tcPr>
            <w:tcW w:w="1743" w:type="dxa"/>
            <w:vAlign w:val="top"/>
            <w:tcBorders>
              <w:right w:val="nil"/>
            </w:tcBorders>
          </w:tcPr>
          <w:p>
            <w:pPr>
              <w:pStyle w:val="TableText"/>
              <w:ind w:left="561"/>
              <w:spacing w:before="34" w:line="207" w:lineRule="auto"/>
              <w:rPr/>
            </w:pPr>
            <w:r>
              <w:rPr>
                <w:spacing w:val="-2"/>
              </w:rPr>
              <w:t>未列入</w:t>
            </w:r>
          </w:p>
        </w:tc>
      </w:tr>
      <w:tr>
        <w:trPr>
          <w:trHeight w:val="280" w:hRule="atLeast"/>
        </w:trPr>
        <w:tc>
          <w:tcPr>
            <w:tcW w:w="1711" w:type="dxa"/>
            <w:vAlign w:val="top"/>
            <w:tcBorders>
              <w:left w:val="nil"/>
            </w:tcBorders>
          </w:tcPr>
          <w:p>
            <w:pPr>
              <w:ind w:left="805"/>
              <w:spacing w:before="6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21" w:type="dxa"/>
            <w:vAlign w:val="top"/>
          </w:tcPr>
          <w:p>
            <w:pPr>
              <w:pStyle w:val="TableText"/>
              <w:ind w:left="656"/>
              <w:spacing w:before="32" w:line="209" w:lineRule="auto"/>
              <w:rPr/>
            </w:pPr>
            <w:r>
              <w:rPr>
                <w:spacing w:val="-2"/>
              </w:rPr>
              <w:t>家燕</w:t>
            </w:r>
          </w:p>
        </w:tc>
        <w:tc>
          <w:tcPr>
            <w:tcW w:w="1721" w:type="dxa"/>
            <w:vAlign w:val="top"/>
          </w:tcPr>
          <w:p>
            <w:pPr>
              <w:ind w:left="200"/>
              <w:spacing w:before="62"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Hirundo rustica</w:t>
            </w:r>
          </w:p>
        </w:tc>
        <w:tc>
          <w:tcPr>
            <w:tcW w:w="1719" w:type="dxa"/>
            <w:vAlign w:val="top"/>
          </w:tcPr>
          <w:p>
            <w:pPr>
              <w:pStyle w:val="TableText"/>
              <w:ind w:left="60"/>
              <w:spacing w:before="32" w:line="209" w:lineRule="auto"/>
              <w:rPr/>
            </w:pPr>
            <w:r>
              <w:rPr>
                <w:spacing w:val="-10"/>
              </w:rPr>
              <w:t>林地、草地、农田</w:t>
            </w:r>
          </w:p>
        </w:tc>
        <w:tc>
          <w:tcPr>
            <w:tcW w:w="1743" w:type="dxa"/>
            <w:vAlign w:val="top"/>
            <w:tcBorders>
              <w:right w:val="nil"/>
            </w:tcBorders>
          </w:tcPr>
          <w:p>
            <w:pPr>
              <w:pStyle w:val="TableText"/>
              <w:ind w:left="561"/>
              <w:spacing w:before="32" w:line="209" w:lineRule="auto"/>
              <w:rPr/>
            </w:pPr>
            <w:r>
              <w:rPr>
                <w:spacing w:val="-2"/>
              </w:rPr>
              <w:t>未列入</w:t>
            </w:r>
          </w:p>
        </w:tc>
      </w:tr>
    </w:tbl>
    <w:p>
      <w:pPr>
        <w:ind w:left="3859"/>
        <w:spacing w:before="30" w:line="221" w:lineRule="auto"/>
        <w:rPr>
          <w:rFonts w:ascii="SimSun" w:hAnsi="SimSun" w:eastAsia="SimSun" w:cs="SimSun"/>
          <w:sz w:val="21"/>
          <w:szCs w:val="21"/>
        </w:rPr>
      </w:pPr>
      <w:r>
        <w:pict>
          <v:shape id="_x0000_s254" style="position:absolute;margin-left:3.36pt;margin-top:13.5768pt;mso-position-vertical-relative:text;mso-position-horizontal-relative:text;width:430.8pt;height:0.75pt;z-index:252008448;" fillcolor="#000000" filled="true" stroked="false" coordsize="8615,15" coordorigin="0,0" path="m0,14l8615,14l8615,0l0,0l0,14xe"/>
        </w:pict>
      </w:r>
      <w:r>
        <w:rPr>
          <w:rFonts w:ascii="SimSun" w:hAnsi="SimSun" w:eastAsia="SimSun" w:cs="SimSun"/>
          <w:sz w:val="21"/>
          <w:szCs w:val="21"/>
          <w:spacing w:val="-2"/>
        </w:rPr>
        <w:t>二、哺乳纲</w:t>
      </w:r>
    </w:p>
    <w:p>
      <w:pPr>
        <w:ind w:left="4074"/>
        <w:spacing w:before="36" w:line="212" w:lineRule="auto"/>
        <w:rPr>
          <w:rFonts w:ascii="SimSun" w:hAnsi="SimSun" w:eastAsia="SimSun" w:cs="SimSun"/>
          <w:sz w:val="21"/>
          <w:szCs w:val="21"/>
        </w:rPr>
      </w:pPr>
      <w:r>
        <w:rPr>
          <w:rFonts w:ascii="SimSun" w:hAnsi="SimSun" w:eastAsia="SimSun" w:cs="SimSun"/>
          <w:sz w:val="21"/>
          <w:szCs w:val="21"/>
          <w:spacing w:val="-4"/>
        </w:rPr>
        <w:t>啮齿目</w:t>
      </w:r>
    </w:p>
    <w:tbl>
      <w:tblPr>
        <w:tblStyle w:val="TableNormal"/>
        <w:tblW w:w="8630" w:type="dxa"/>
        <w:tblInd w:w="5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26"/>
        <w:gridCol w:w="1721"/>
        <w:gridCol w:w="1721"/>
        <w:gridCol w:w="1719"/>
        <w:gridCol w:w="1743"/>
      </w:tblGrid>
      <w:tr>
        <w:trPr>
          <w:trHeight w:val="280" w:hRule="atLeast"/>
        </w:trPr>
        <w:tc>
          <w:tcPr>
            <w:tcW w:w="1726" w:type="dxa"/>
            <w:vAlign w:val="top"/>
            <w:tcBorders>
              <w:left w:val="nil"/>
            </w:tcBorders>
          </w:tcPr>
          <w:p>
            <w:pPr>
              <w:ind w:left="824"/>
              <w:spacing w:before="66"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21" w:type="dxa"/>
            <w:vAlign w:val="top"/>
          </w:tcPr>
          <w:p>
            <w:pPr>
              <w:pStyle w:val="TableText"/>
              <w:ind w:left="548"/>
              <w:spacing w:before="39" w:line="203" w:lineRule="auto"/>
              <w:rPr/>
            </w:pPr>
            <w:r>
              <w:rPr>
                <w:spacing w:val="-2"/>
              </w:rPr>
              <w:t>褐家鼠</w:t>
            </w:r>
          </w:p>
        </w:tc>
        <w:tc>
          <w:tcPr>
            <w:tcW w:w="1721" w:type="dxa"/>
            <w:vAlign w:val="top"/>
          </w:tcPr>
          <w:p>
            <w:pPr>
              <w:ind w:left="101"/>
              <w:spacing w:before="6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Rattus norvegicus</w:t>
            </w:r>
          </w:p>
        </w:tc>
        <w:tc>
          <w:tcPr>
            <w:tcW w:w="1719" w:type="dxa"/>
            <w:vAlign w:val="top"/>
          </w:tcPr>
          <w:p>
            <w:pPr>
              <w:pStyle w:val="TableText"/>
              <w:ind w:left="336"/>
              <w:spacing w:before="39" w:line="203" w:lineRule="auto"/>
              <w:rPr/>
            </w:pPr>
            <w:r>
              <w:rPr>
                <w:spacing w:val="-2"/>
              </w:rPr>
              <w:t>草地、林地</w:t>
            </w:r>
          </w:p>
        </w:tc>
        <w:tc>
          <w:tcPr>
            <w:tcW w:w="1743" w:type="dxa"/>
            <w:vAlign w:val="top"/>
            <w:tcBorders>
              <w:right w:val="nil"/>
            </w:tcBorders>
          </w:tcPr>
          <w:p>
            <w:pPr>
              <w:rPr>
                <w:rFonts w:ascii="Arial"/>
                <w:sz w:val="21"/>
              </w:rPr>
            </w:pPr>
            <w:r/>
          </w:p>
        </w:tc>
      </w:tr>
      <w:tr>
        <w:trPr>
          <w:trHeight w:val="294" w:hRule="atLeast"/>
        </w:trPr>
        <w:tc>
          <w:tcPr>
            <w:tcW w:w="1726" w:type="dxa"/>
            <w:vAlign w:val="top"/>
            <w:tcBorders>
              <w:bottom w:val="single" w:color="000000" w:sz="10" w:space="0"/>
              <w:left w:val="nil"/>
            </w:tcBorders>
          </w:tcPr>
          <w:p>
            <w:pPr>
              <w:ind w:left="819"/>
              <w:spacing w:before="7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21" w:type="dxa"/>
            <w:vAlign w:val="top"/>
            <w:tcBorders>
              <w:bottom w:val="single" w:color="000000" w:sz="10" w:space="0"/>
            </w:tcBorders>
          </w:tcPr>
          <w:p>
            <w:pPr>
              <w:pStyle w:val="TableText"/>
              <w:ind w:left="553"/>
              <w:spacing w:before="41" w:line="213" w:lineRule="auto"/>
              <w:rPr/>
            </w:pPr>
            <w:r>
              <w:rPr>
                <w:spacing w:val="-3"/>
              </w:rPr>
              <w:t>小家鼠</w:t>
            </w:r>
          </w:p>
        </w:tc>
        <w:tc>
          <w:tcPr>
            <w:tcW w:w="1721" w:type="dxa"/>
            <w:vAlign w:val="top"/>
            <w:tcBorders>
              <w:bottom w:val="single" w:color="000000" w:sz="10" w:space="0"/>
            </w:tcBorders>
          </w:tcPr>
          <w:p>
            <w:pPr>
              <w:ind w:left="248"/>
              <w:spacing w:before="71"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Mus musculus</w:t>
            </w:r>
          </w:p>
        </w:tc>
        <w:tc>
          <w:tcPr>
            <w:tcW w:w="1719" w:type="dxa"/>
            <w:vAlign w:val="top"/>
            <w:tcBorders>
              <w:bottom w:val="single" w:color="000000" w:sz="10" w:space="0"/>
            </w:tcBorders>
          </w:tcPr>
          <w:p>
            <w:pPr>
              <w:pStyle w:val="TableText"/>
              <w:ind w:left="336"/>
              <w:spacing w:before="41" w:line="213" w:lineRule="auto"/>
              <w:rPr/>
            </w:pPr>
            <w:r>
              <w:rPr>
                <w:spacing w:val="-2"/>
              </w:rPr>
              <w:t>草地、林地</w:t>
            </w:r>
          </w:p>
        </w:tc>
        <w:tc>
          <w:tcPr>
            <w:tcW w:w="1743" w:type="dxa"/>
            <w:vAlign w:val="top"/>
            <w:tcBorders>
              <w:bottom w:val="single" w:color="000000" w:sz="10" w:space="0"/>
              <w:right w:val="nil"/>
            </w:tcBorders>
          </w:tcPr>
          <w:p>
            <w:pPr>
              <w:rPr>
                <w:rFonts w:ascii="Arial"/>
                <w:sz w:val="21"/>
              </w:rPr>
            </w:pPr>
            <w:r/>
          </w:p>
        </w:tc>
      </w:tr>
    </w:tbl>
    <w:p>
      <w:pPr>
        <w:ind w:left="609"/>
        <w:spacing w:before="114" w:line="217" w:lineRule="auto"/>
        <w:rPr>
          <w:rFonts w:ascii="SimSun" w:hAnsi="SimSun" w:eastAsia="SimSun" w:cs="SimSun"/>
          <w:sz w:val="24"/>
          <w:szCs w:val="24"/>
        </w:rPr>
      </w:pPr>
      <w:r>
        <w:rPr>
          <w:rFonts w:ascii="SimSun" w:hAnsi="SimSun" w:eastAsia="SimSun" w:cs="SimSun"/>
          <w:sz w:val="24"/>
          <w:szCs w:val="24"/>
          <w:spacing w:val="-1"/>
        </w:rPr>
        <w:t>②野生动物现状评价</w:t>
      </w:r>
    </w:p>
    <w:p>
      <w:pPr>
        <w:ind w:left="133" w:right="115" w:firstLine="478"/>
        <w:spacing w:before="184" w:line="362" w:lineRule="auto"/>
        <w:rPr>
          <w:rFonts w:ascii="SimSun" w:hAnsi="SimSun" w:eastAsia="SimSun" w:cs="SimSun"/>
          <w:sz w:val="24"/>
          <w:szCs w:val="24"/>
        </w:rPr>
      </w:pPr>
      <w:r>
        <w:rPr>
          <w:rFonts w:ascii="SimSun" w:hAnsi="SimSun" w:eastAsia="SimSun" w:cs="SimSun"/>
          <w:sz w:val="24"/>
          <w:szCs w:val="24"/>
          <w:spacing w:val="3"/>
        </w:rPr>
        <w:t>根据现场调查及资料记载，评价区内没有常年留</w:t>
      </w:r>
      <w:r>
        <w:rPr>
          <w:rFonts w:ascii="SimSun" w:hAnsi="SimSun" w:eastAsia="SimSun" w:cs="SimSun"/>
          <w:sz w:val="24"/>
          <w:szCs w:val="24"/>
          <w:spacing w:val="2"/>
        </w:rPr>
        <w:t>居此地的珍稀濒危动物，无</w:t>
      </w:r>
      <w:r>
        <w:rPr>
          <w:rFonts w:ascii="SimSun" w:hAnsi="SimSun" w:eastAsia="SimSun" w:cs="SimSun"/>
          <w:sz w:val="24"/>
          <w:szCs w:val="24"/>
          <w:spacing w:val="-3"/>
        </w:rPr>
        <w:t>珍惜濒危动物栖息地与繁殖地分布。</w:t>
      </w:r>
    </w:p>
    <w:p>
      <w:pPr>
        <w:spacing w:line="362" w:lineRule="auto"/>
        <w:sectPr>
          <w:headerReference w:type="default" r:id="rId95"/>
          <w:footerReference w:type="default" r:id="rId116"/>
          <w:pgSz w:w="11907" w:h="16839"/>
          <w:pgMar w:top="1582" w:right="1591" w:bottom="1235" w:left="1579" w:header="1241" w:footer="992" w:gutter="0"/>
        </w:sectPr>
        <w:rPr>
          <w:rFonts w:ascii="SimSun" w:hAnsi="SimSun" w:eastAsia="SimSun" w:cs="SimSun"/>
          <w:sz w:val="24"/>
          <w:szCs w:val="24"/>
        </w:rPr>
      </w:pPr>
    </w:p>
    <w:p>
      <w:pPr>
        <w:ind w:left="591"/>
        <w:spacing w:before="233"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）环境敏感区调查</w:t>
      </w:r>
    </w:p>
    <w:p>
      <w:pPr>
        <w:ind w:left="104" w:right="73" w:firstLine="484"/>
        <w:spacing w:before="164" w:line="360" w:lineRule="auto"/>
        <w:rPr>
          <w:rFonts w:ascii="SimSun" w:hAnsi="SimSun" w:eastAsia="SimSun" w:cs="SimSun"/>
          <w:sz w:val="24"/>
          <w:szCs w:val="24"/>
        </w:rPr>
      </w:pPr>
      <w:r>
        <w:rPr>
          <w:rFonts w:ascii="SimSun" w:hAnsi="SimSun" w:eastAsia="SimSun" w:cs="SimSun"/>
          <w:sz w:val="24"/>
          <w:szCs w:val="24"/>
          <w:spacing w:val="2"/>
        </w:rPr>
        <w:t>项目所在地不在自然保护区范围内，无珍稀动植物物种，生物多样性程度较</w:t>
      </w:r>
      <w:r>
        <w:rPr>
          <w:rFonts w:ascii="SimSun" w:hAnsi="SimSun" w:eastAsia="SimSun" w:cs="SimSun"/>
          <w:sz w:val="24"/>
          <w:szCs w:val="24"/>
          <w:spacing w:val="1"/>
        </w:rPr>
        <w:t>低，生物种类与生态环境简单，评价范围内没有国家及省市级重点保护的濒危、</w:t>
      </w:r>
      <w:r>
        <w:rPr>
          <w:rFonts w:ascii="SimSun" w:hAnsi="SimSun" w:eastAsia="SimSun" w:cs="SimSun"/>
          <w:sz w:val="24"/>
          <w:szCs w:val="24"/>
          <w:spacing w:val="3"/>
        </w:rPr>
        <w:t>稀有动植物及受保护的野生动植物，属于生态</w:t>
      </w:r>
      <w:r>
        <w:rPr>
          <w:rFonts w:ascii="SimSun" w:hAnsi="SimSun" w:eastAsia="SimSun" w:cs="SimSun"/>
          <w:sz w:val="24"/>
          <w:szCs w:val="24"/>
          <w:spacing w:val="2"/>
        </w:rPr>
        <w:t>环境非敏感区，该区域生态环境现</w:t>
      </w:r>
      <w:r>
        <w:rPr>
          <w:rFonts w:ascii="SimSun" w:hAnsi="SimSun" w:eastAsia="SimSun" w:cs="SimSun"/>
          <w:sz w:val="24"/>
          <w:szCs w:val="24"/>
          <w:spacing w:val="-2"/>
        </w:rPr>
        <w:t>状质量一般。</w:t>
      </w:r>
    </w:p>
    <w:p>
      <w:pPr>
        <w:ind w:left="591"/>
        <w:spacing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）土壤侵蚀现状调查</w:t>
      </w:r>
    </w:p>
    <w:p>
      <w:pPr>
        <w:ind w:left="105" w:right="77" w:firstLine="479"/>
        <w:spacing w:before="167" w:line="363" w:lineRule="auto"/>
        <w:rPr>
          <w:rFonts w:ascii="SimSun" w:hAnsi="SimSun" w:eastAsia="SimSun" w:cs="SimSun"/>
          <w:sz w:val="24"/>
          <w:szCs w:val="24"/>
        </w:rPr>
      </w:pPr>
      <w:r>
        <w:rPr>
          <w:rFonts w:ascii="SimSun" w:hAnsi="SimSun" w:eastAsia="SimSun" w:cs="SimSun"/>
          <w:sz w:val="24"/>
          <w:szCs w:val="24"/>
          <w:spacing w:val="2"/>
        </w:rPr>
        <w:t>根据水利部行业标准《土壤侵蚀分类分级标准》（</w:t>
      </w:r>
      <w:r>
        <w:rPr>
          <w:rFonts w:ascii="Times New Roman" w:hAnsi="Times New Roman" w:eastAsia="Times New Roman" w:cs="Times New Roman"/>
          <w:sz w:val="24"/>
          <w:szCs w:val="24"/>
        </w:rPr>
        <w:t>SL</w:t>
      </w:r>
      <w:r>
        <w:rPr>
          <w:rFonts w:ascii="Times New Roman" w:hAnsi="Times New Roman" w:eastAsia="Times New Roman" w:cs="Times New Roman"/>
          <w:sz w:val="24"/>
          <w:szCs w:val="24"/>
          <w:spacing w:val="2"/>
        </w:rPr>
        <w:t>190-2</w:t>
      </w:r>
      <w:r>
        <w:rPr>
          <w:rFonts w:ascii="Times New Roman" w:hAnsi="Times New Roman" w:eastAsia="Times New Roman" w:cs="Times New Roman"/>
          <w:sz w:val="24"/>
          <w:szCs w:val="24"/>
          <w:spacing w:val="1"/>
        </w:rPr>
        <w:t>007</w:t>
      </w:r>
      <w:r>
        <w:rPr>
          <w:rFonts w:ascii="SimSun" w:hAnsi="SimSun" w:eastAsia="SimSun" w:cs="SimSun"/>
          <w:sz w:val="24"/>
          <w:szCs w:val="24"/>
          <w:spacing w:val="11"/>
        </w:rPr>
        <w:t>），</w:t>
      </w:r>
      <w:r>
        <w:rPr>
          <w:rFonts w:ascii="SimSun" w:hAnsi="SimSun" w:eastAsia="SimSun" w:cs="SimSun"/>
          <w:sz w:val="24"/>
          <w:szCs w:val="24"/>
          <w:spacing w:val="1"/>
        </w:rPr>
        <w:t>确定项目</w:t>
      </w:r>
      <w:r>
        <w:rPr>
          <w:rFonts w:ascii="SimSun" w:hAnsi="SimSun" w:eastAsia="SimSun" w:cs="SimSun"/>
          <w:sz w:val="24"/>
          <w:szCs w:val="24"/>
          <w:spacing w:val="2"/>
        </w:rPr>
        <w:t>区位于风力侵蚀类型区，“三北”戈壁沙漠及沙地风沙区的内蒙古高原草原中度</w:t>
      </w:r>
      <w:r>
        <w:rPr>
          <w:rFonts w:ascii="SimSun" w:hAnsi="SimSun" w:eastAsia="SimSun" w:cs="SimSun"/>
          <w:sz w:val="24"/>
          <w:szCs w:val="24"/>
          <w:spacing w:val="2"/>
        </w:rPr>
        <w:t>风蚀水蚀区。参照“全国第二次土壤侵蚀普查”成果，结合现场的地形地貌、草</w:t>
      </w:r>
      <w:r>
        <w:rPr>
          <w:rFonts w:ascii="SimSun" w:hAnsi="SimSun" w:eastAsia="SimSun" w:cs="SimSun"/>
          <w:sz w:val="24"/>
          <w:szCs w:val="24"/>
          <w:spacing w:val="2"/>
        </w:rPr>
        <w:t>地植被和植被覆盖度、土壤结构等情况及项目区水土流失现状相关资料。项目评</w:t>
      </w:r>
      <w:r>
        <w:rPr>
          <w:rFonts w:ascii="SimSun" w:hAnsi="SimSun" w:eastAsia="SimSun" w:cs="SimSun"/>
          <w:sz w:val="24"/>
          <w:szCs w:val="24"/>
          <w:spacing w:val="2"/>
        </w:rPr>
        <w:t>价区内的土壤侵蚀类型主要是以风力侵蚀为主的风水复合侵蚀，侵蚀程度属微弱</w:t>
      </w:r>
      <w:r>
        <w:rPr>
          <w:rFonts w:ascii="SimSun" w:hAnsi="SimSun" w:eastAsia="SimSun" w:cs="SimSun"/>
          <w:sz w:val="24"/>
          <w:szCs w:val="24"/>
        </w:rPr>
        <w:t>侵蚀，风力侵蚀模数和水利侵蚀模数均不大于</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200t/</w:t>
      </w:r>
      <w:r>
        <w:rPr>
          <w:rFonts w:ascii="SimSun" w:hAnsi="SimSun" w:eastAsia="SimSun" w:cs="SimSun"/>
          <w:sz w:val="24"/>
          <w:szCs w:val="24"/>
          <w:spacing w:val="-1"/>
        </w:rPr>
        <w:t>（</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1"/>
          <w:position w:val="1"/>
        </w:rPr>
        <w:t>2</w:t>
      </w:r>
      <w:r>
        <w:rPr>
          <w:rFonts w:ascii="SimSun" w:hAnsi="SimSun" w:eastAsia="SimSun" w:cs="SimSun"/>
          <w:sz w:val="24"/>
          <w:szCs w:val="24"/>
          <w:spacing w:val="-1"/>
          <w:position w:val="1"/>
        </w:rPr>
        <w:t>•</w:t>
      </w:r>
      <w:r>
        <w:rPr>
          <w:rFonts w:ascii="Times New Roman" w:hAnsi="Times New Roman" w:eastAsia="Times New Roman" w:cs="Times New Roman"/>
          <w:sz w:val="24"/>
          <w:szCs w:val="24"/>
          <w:spacing w:val="-1"/>
          <w:position w:val="1"/>
        </w:rPr>
        <w:t>a</w:t>
      </w:r>
      <w:r>
        <w:rPr>
          <w:rFonts w:ascii="SimSun" w:hAnsi="SimSun" w:eastAsia="SimSun" w:cs="SimSun"/>
          <w:sz w:val="24"/>
          <w:szCs w:val="24"/>
          <w:spacing w:val="-1"/>
          <w:position w:val="1"/>
        </w:rPr>
        <w:t>）</w:t>
      </w:r>
      <w:r>
        <w:rPr>
          <w:rFonts w:ascii="SimSun" w:hAnsi="SimSun" w:eastAsia="SimSun" w:cs="SimSun"/>
          <w:sz w:val="24"/>
          <w:szCs w:val="24"/>
          <w:spacing w:val="-1"/>
        </w:rPr>
        <w:t>。</w:t>
      </w:r>
    </w:p>
    <w:p>
      <w:pPr>
        <w:spacing w:line="363" w:lineRule="auto"/>
        <w:sectPr>
          <w:headerReference w:type="default" r:id="rId90"/>
          <w:footerReference w:type="default" r:id="rId117"/>
          <w:pgSz w:w="11907" w:h="16839"/>
          <w:pgMar w:top="1582" w:right="1631" w:bottom="1235" w:left="1606" w:header="1241" w:footer="992" w:gutter="0"/>
        </w:sectPr>
        <w:rPr>
          <w:rFonts w:ascii="SimSun" w:hAnsi="SimSun" w:eastAsia="SimSun" w:cs="SimSun"/>
          <w:sz w:val="24"/>
          <w:szCs w:val="24"/>
        </w:rPr>
      </w:pPr>
    </w:p>
    <w:p>
      <w:pPr>
        <w:pStyle w:val="BodyText"/>
        <w:spacing w:line="329" w:lineRule="auto"/>
        <w:rPr/>
      </w:pPr>
      <w:r/>
    </w:p>
    <w:p>
      <w:pPr>
        <w:pStyle w:val="BodyText"/>
        <w:spacing w:line="329" w:lineRule="auto"/>
        <w:rPr/>
      </w:pPr>
      <w:r/>
    </w:p>
    <w:p>
      <w:pPr>
        <w:ind w:left="106"/>
        <w:spacing w:before="98" w:line="232" w:lineRule="auto"/>
        <w:outlineLvl w:val="0"/>
        <w:rPr>
          <w:rFonts w:ascii="SimSun" w:hAnsi="SimSun" w:eastAsia="SimSun" w:cs="SimSun"/>
          <w:sz w:val="30"/>
          <w:szCs w:val="30"/>
        </w:rPr>
      </w:pPr>
      <w:bookmarkStart w:name="bookmark26" w:id="31"/>
      <w:bookmarkEnd w:id="31"/>
      <w:bookmarkStart w:name="bookmark27" w:id="32"/>
      <w:bookmarkEnd w:id="32"/>
      <w:r>
        <w:rPr>
          <w:rFonts w:ascii="Times New Roman" w:hAnsi="Times New Roman" w:eastAsia="Times New Roman" w:cs="Times New Roman"/>
          <w:sz w:val="30"/>
          <w:szCs w:val="30"/>
          <w:b/>
          <w:bCs/>
          <w:spacing w:val="-3"/>
        </w:rPr>
        <w:t>5.</w:t>
      </w:r>
      <w:r>
        <w:rPr>
          <w:rFonts w:ascii="SimSun" w:hAnsi="SimSun" w:eastAsia="SimSun" w:cs="SimSun"/>
          <w:sz w:val="30"/>
          <w:szCs w:val="30"/>
          <w:b/>
          <w:bCs/>
          <w:spacing w:val="-3"/>
        </w:rPr>
        <w:t>环境影响预测与评价</w:t>
      </w:r>
    </w:p>
    <w:p>
      <w:pPr>
        <w:pStyle w:val="BodyText"/>
        <w:spacing w:line="372" w:lineRule="auto"/>
        <w:rPr/>
      </w:pPr>
      <w:r/>
    </w:p>
    <w:p>
      <w:pPr>
        <w:ind w:left="104"/>
        <w:spacing w:before="78" w:line="234" w:lineRule="auto"/>
        <w:outlineLvl w:val="1"/>
        <w:rPr>
          <w:rFonts w:ascii="SimSun" w:hAnsi="SimSun" w:eastAsia="SimSun" w:cs="SimSun"/>
          <w:sz w:val="24"/>
          <w:szCs w:val="24"/>
        </w:rPr>
      </w:pPr>
      <w:bookmarkStart w:name="bookmark67" w:id="33"/>
      <w:bookmarkEnd w:id="33"/>
      <w:r>
        <w:rPr>
          <w:rFonts w:ascii="Times New Roman" w:hAnsi="Times New Roman" w:eastAsia="Times New Roman" w:cs="Times New Roman"/>
          <w:sz w:val="24"/>
          <w:szCs w:val="24"/>
          <w:b/>
          <w:bCs/>
          <w:spacing w:val="-2"/>
        </w:rPr>
        <w:t>5.1 </w:t>
      </w:r>
      <w:r>
        <w:rPr>
          <w:rFonts w:ascii="SimSun" w:hAnsi="SimSun" w:eastAsia="SimSun" w:cs="SimSun"/>
          <w:sz w:val="24"/>
          <w:szCs w:val="24"/>
          <w:b/>
          <w:bCs/>
          <w:spacing w:val="-2"/>
        </w:rPr>
        <w:t>施工期环境影响分析与预测</w:t>
      </w:r>
    </w:p>
    <w:p>
      <w:pPr>
        <w:pStyle w:val="BodyText"/>
        <w:spacing w:line="246" w:lineRule="auto"/>
        <w:rPr/>
      </w:pPr>
      <w:r/>
    </w:p>
    <w:p>
      <w:pPr>
        <w:pStyle w:val="BodyText"/>
        <w:spacing w:line="247"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5.1.1 </w:t>
      </w:r>
      <w:r>
        <w:rPr>
          <w:rFonts w:ascii="SimSun" w:hAnsi="SimSun" w:eastAsia="SimSun" w:cs="SimSun"/>
          <w:sz w:val="24"/>
          <w:szCs w:val="24"/>
          <w:b/>
          <w:bCs/>
          <w:spacing w:val="-2"/>
        </w:rPr>
        <w:t>施工期水环境影响分析</w:t>
      </w:r>
    </w:p>
    <w:p>
      <w:pPr>
        <w:pStyle w:val="BodyText"/>
        <w:spacing w:line="261" w:lineRule="auto"/>
        <w:rPr/>
      </w:pPr>
      <w:r/>
    </w:p>
    <w:p>
      <w:pPr>
        <w:ind w:left="629"/>
        <w:spacing w:before="78" w:line="220" w:lineRule="auto"/>
        <w:rPr>
          <w:rFonts w:ascii="SimSun" w:hAnsi="SimSun" w:eastAsia="SimSun" w:cs="SimSun"/>
          <w:sz w:val="24"/>
          <w:szCs w:val="24"/>
        </w:rPr>
      </w:pPr>
      <w:r>
        <w:rPr>
          <w:rFonts w:ascii="SimSun" w:hAnsi="SimSun" w:eastAsia="SimSun" w:cs="SimSun"/>
          <w:sz w:val="24"/>
          <w:szCs w:val="24"/>
          <w:spacing w:val="17"/>
        </w:rPr>
        <w:t>工程施工期废水包括施工废水和施工人员生活污水。</w:t>
      </w:r>
    </w:p>
    <w:p>
      <w:pPr>
        <w:ind w:left="632"/>
        <w:spacing w:before="183" w:line="233" w:lineRule="auto"/>
        <w:rPr>
          <w:rFonts w:ascii="SimSun" w:hAnsi="SimSun" w:eastAsia="SimSun" w:cs="SimSun"/>
          <w:sz w:val="24"/>
          <w:szCs w:val="24"/>
        </w:rPr>
      </w:pPr>
      <w:r>
        <w:rPr>
          <w:rFonts w:ascii="SimSun" w:hAnsi="SimSun" w:eastAsia="SimSun" w:cs="SimSun"/>
          <w:sz w:val="24"/>
          <w:szCs w:val="24"/>
          <w:spacing w:val="11"/>
        </w:rPr>
        <w:t>（</w:t>
      </w:r>
      <w:r>
        <w:rPr>
          <w:rFonts w:ascii="Times New Roman" w:hAnsi="Times New Roman" w:eastAsia="Times New Roman" w:cs="Times New Roman"/>
          <w:sz w:val="24"/>
          <w:szCs w:val="24"/>
          <w:spacing w:val="11"/>
        </w:rPr>
        <w:t>1</w:t>
      </w:r>
      <w:r>
        <w:rPr>
          <w:rFonts w:ascii="SimSun" w:hAnsi="SimSun" w:eastAsia="SimSun" w:cs="SimSun"/>
          <w:sz w:val="24"/>
          <w:szCs w:val="24"/>
          <w:spacing w:val="11"/>
        </w:rPr>
        <w:t>）施工废水</w:t>
      </w:r>
    </w:p>
    <w:p>
      <w:pPr>
        <w:ind w:left="103" w:right="67" w:firstLine="521"/>
        <w:spacing w:before="163" w:line="358" w:lineRule="auto"/>
        <w:rPr>
          <w:rFonts w:ascii="SimSun" w:hAnsi="SimSun" w:eastAsia="SimSun" w:cs="SimSun"/>
          <w:sz w:val="24"/>
          <w:szCs w:val="24"/>
        </w:rPr>
      </w:pPr>
      <w:r>
        <w:rPr>
          <w:rFonts w:ascii="SimSun" w:hAnsi="SimSun" w:eastAsia="SimSun" w:cs="SimSun"/>
          <w:sz w:val="24"/>
          <w:szCs w:val="24"/>
          <w:spacing w:val="2"/>
        </w:rPr>
        <w:t>施工废水主要是施工过程中产生的含有泥浆或</w:t>
      </w:r>
      <w:r>
        <w:rPr>
          <w:rFonts w:ascii="SimSun" w:hAnsi="SimSun" w:eastAsia="SimSun" w:cs="SimSun"/>
          <w:sz w:val="24"/>
          <w:szCs w:val="24"/>
          <w:spacing w:val="1"/>
        </w:rPr>
        <w:t>砂石的工程废水，废水中主要</w:t>
      </w:r>
      <w:r>
        <w:rPr>
          <w:rFonts w:ascii="SimSun" w:hAnsi="SimSun" w:eastAsia="SimSun" w:cs="SimSun"/>
          <w:sz w:val="24"/>
          <w:szCs w:val="24"/>
          <w:spacing w:val="-1"/>
        </w:rPr>
        <w:t>以</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
        </w:rPr>
        <w:t>SS </w:t>
      </w:r>
      <w:r>
        <w:rPr>
          <w:rFonts w:ascii="SimSun" w:hAnsi="SimSun" w:eastAsia="SimSun" w:cs="SimSun"/>
          <w:sz w:val="24"/>
          <w:szCs w:val="24"/>
          <w:spacing w:val="-1"/>
        </w:rPr>
        <w:t>污染为主，其值为</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400—1000mg/L</w:t>
      </w:r>
      <w:r>
        <w:rPr>
          <w:rFonts w:ascii="SimSun" w:hAnsi="SimSun" w:eastAsia="SimSun" w:cs="SimSun"/>
          <w:sz w:val="24"/>
          <w:szCs w:val="24"/>
          <w:spacing w:val="-1"/>
        </w:rPr>
        <w:t>，施工单位在现场建一个</w:t>
      </w:r>
      <w:r>
        <w:rPr>
          <w:rFonts w:ascii="SimSun" w:hAnsi="SimSun" w:eastAsia="SimSun" w:cs="SimSun"/>
          <w:sz w:val="24"/>
          <w:szCs w:val="24"/>
          <w:spacing w:val="-2"/>
        </w:rPr>
        <w:t>临时沉淀池，施</w:t>
      </w:r>
      <w:r>
        <w:rPr>
          <w:rFonts w:ascii="SimSun" w:hAnsi="SimSun" w:eastAsia="SimSun" w:cs="SimSun"/>
          <w:sz w:val="24"/>
          <w:szCs w:val="24"/>
          <w:spacing w:val="2"/>
        </w:rPr>
        <w:t>工废水进行适当的沉淀处理后回用，沉淀下的泥浆或固废物，与建筑垃圾一起处</w:t>
      </w:r>
      <w:r>
        <w:rPr>
          <w:rFonts w:ascii="SimSun" w:hAnsi="SimSun" w:eastAsia="SimSun" w:cs="SimSun"/>
          <w:sz w:val="24"/>
          <w:szCs w:val="24"/>
          <w:spacing w:val="-2"/>
        </w:rPr>
        <w:t>置，不得混入生活垃圾中，不会对周围环境产生较大不利影响。</w:t>
      </w:r>
    </w:p>
    <w:p>
      <w:pPr>
        <w:ind w:left="591"/>
        <w:spacing w:before="8"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）生活污水</w:t>
      </w:r>
    </w:p>
    <w:p>
      <w:pPr>
        <w:ind w:left="107" w:firstLine="479"/>
        <w:spacing w:before="162" w:line="353" w:lineRule="auto"/>
        <w:rPr>
          <w:rFonts w:ascii="SimSun" w:hAnsi="SimSun" w:eastAsia="SimSun" w:cs="SimSun"/>
          <w:sz w:val="24"/>
          <w:szCs w:val="24"/>
        </w:rPr>
      </w:pPr>
      <w:r>
        <w:rPr>
          <w:rFonts w:ascii="SimSun" w:hAnsi="SimSun" w:eastAsia="SimSun" w:cs="SimSun"/>
          <w:sz w:val="24"/>
          <w:szCs w:val="24"/>
          <w:spacing w:val="-5"/>
        </w:rPr>
        <w:t>生活污水是施工人员生活活动造成的，根据施工进度，平均施工人数</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5"/>
        </w:rPr>
        <w:t>10 </w:t>
      </w:r>
      <w:r>
        <w:rPr>
          <w:rFonts w:ascii="SimSun" w:hAnsi="SimSun" w:eastAsia="SimSun" w:cs="SimSun"/>
          <w:sz w:val="24"/>
          <w:szCs w:val="24"/>
          <w:spacing w:val="-5"/>
        </w:rPr>
        <w:t>人</w:t>
      </w:r>
      <w:r>
        <w:rPr>
          <w:rFonts w:ascii="Times New Roman" w:hAnsi="Times New Roman" w:eastAsia="Times New Roman" w:cs="Times New Roman"/>
          <w:sz w:val="24"/>
          <w:szCs w:val="24"/>
          <w:spacing w:val="-5"/>
        </w:rPr>
        <w:t>/d</w:t>
      </w:r>
      <w:r>
        <w:rPr>
          <w:rFonts w:ascii="SimSun" w:hAnsi="SimSun" w:eastAsia="SimSun" w:cs="SimSun"/>
          <w:sz w:val="24"/>
          <w:szCs w:val="24"/>
          <w:spacing w:val="-5"/>
        </w:rPr>
        <w:t>，</w:t>
      </w:r>
      <w:r>
        <w:rPr>
          <w:rFonts w:ascii="SimSun" w:hAnsi="SimSun" w:eastAsia="SimSun" w:cs="SimSun"/>
          <w:sz w:val="24"/>
          <w:szCs w:val="24"/>
        </w:rPr>
        <w:t>生活污水产生量约 </w:t>
      </w:r>
      <w:r>
        <w:rPr>
          <w:rFonts w:ascii="Times New Roman" w:hAnsi="Times New Roman" w:eastAsia="Times New Roman" w:cs="Times New Roman"/>
          <w:sz w:val="24"/>
          <w:szCs w:val="24"/>
        </w:rPr>
        <w:t>0.24t/d</w:t>
      </w:r>
      <w:r>
        <w:rPr>
          <w:rFonts w:ascii="Times New Roman" w:hAnsi="Times New Roman" w:eastAsia="Times New Roman" w:cs="Times New Roman"/>
          <w:sz w:val="24"/>
          <w:szCs w:val="24"/>
          <w:spacing w:val="-31"/>
        </w:rPr>
        <w:t xml:space="preserve"> </w:t>
      </w:r>
      <w:r>
        <w:rPr>
          <w:rFonts w:ascii="SimSun" w:hAnsi="SimSun" w:eastAsia="SimSun" w:cs="SimSun"/>
          <w:sz w:val="24"/>
          <w:szCs w:val="24"/>
        </w:rPr>
        <w:t>，生活污水排入室外临时</w:t>
      </w:r>
      <w:r>
        <w:rPr>
          <w:rFonts w:ascii="SimSun" w:hAnsi="SimSun" w:eastAsia="SimSun" w:cs="SimSun"/>
          <w:sz w:val="24"/>
          <w:szCs w:val="24"/>
          <w:spacing w:val="-1"/>
        </w:rPr>
        <w:t>防渗旱厕，定期清抽外运作农</w:t>
      </w:r>
      <w:r>
        <w:rPr>
          <w:rFonts w:ascii="SimSun" w:hAnsi="SimSun" w:eastAsia="SimSun" w:cs="SimSun"/>
          <w:sz w:val="24"/>
          <w:szCs w:val="24"/>
          <w:spacing w:val="-3"/>
        </w:rPr>
        <w:t>家肥处理，不会对地表水环境造成较大污染。</w:t>
      </w:r>
    </w:p>
    <w:p>
      <w:pPr>
        <w:pStyle w:val="BodyText"/>
        <w:spacing w:line="285" w:lineRule="auto"/>
        <w:rPr/>
      </w:pPr>
      <w:r/>
    </w:p>
    <w:p>
      <w:pPr>
        <w:ind w:left="104"/>
        <w:spacing w:before="79"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5.1.2 </w:t>
      </w:r>
      <w:r>
        <w:rPr>
          <w:rFonts w:ascii="SimSun" w:hAnsi="SimSun" w:eastAsia="SimSun" w:cs="SimSun"/>
          <w:sz w:val="24"/>
          <w:szCs w:val="24"/>
          <w:b/>
          <w:bCs/>
          <w:spacing w:val="-2"/>
        </w:rPr>
        <w:t>施工期环境空气影响分析</w:t>
      </w:r>
    </w:p>
    <w:p>
      <w:pPr>
        <w:pStyle w:val="BodyText"/>
        <w:spacing w:line="339" w:lineRule="auto"/>
        <w:rPr/>
      </w:pPr>
      <w:r/>
    </w:p>
    <w:p>
      <w:pPr>
        <w:ind w:left="591"/>
        <w:spacing w:before="79" w:line="236"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）扬尘</w:t>
      </w:r>
    </w:p>
    <w:p>
      <w:pPr>
        <w:ind w:left="103" w:right="3" w:firstLine="485"/>
        <w:spacing w:before="167" w:line="359" w:lineRule="auto"/>
        <w:rPr>
          <w:rFonts w:ascii="SimSun" w:hAnsi="SimSun" w:eastAsia="SimSun" w:cs="SimSun"/>
          <w:sz w:val="24"/>
          <w:szCs w:val="24"/>
        </w:rPr>
      </w:pPr>
      <w:r>
        <w:rPr>
          <w:rFonts w:ascii="SimSun" w:hAnsi="SimSun" w:eastAsia="SimSun" w:cs="SimSun"/>
          <w:sz w:val="24"/>
          <w:szCs w:val="24"/>
          <w:spacing w:val="-7"/>
        </w:rPr>
        <w:t>项目建设过程中存在扬尘污染，污染因子为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7"/>
        </w:rPr>
        <w:t>TSP</w:t>
      </w:r>
      <w:r>
        <w:rPr>
          <w:rFonts w:ascii="SimSun" w:hAnsi="SimSun" w:eastAsia="SimSun" w:cs="SimSun"/>
          <w:sz w:val="24"/>
          <w:szCs w:val="24"/>
          <w:spacing w:val="-7"/>
        </w:rPr>
        <w:t>。根据类比调查，</w:t>
      </w:r>
      <w:r>
        <w:rPr>
          <w:rFonts w:ascii="SimSun" w:hAnsi="SimSun" w:eastAsia="SimSun" w:cs="SimSun"/>
          <w:sz w:val="24"/>
          <w:szCs w:val="24"/>
          <w:spacing w:val="-27"/>
        </w:rPr>
        <w:t xml:space="preserve"> </w:t>
      </w:r>
      <w:r>
        <w:rPr>
          <w:rFonts w:ascii="SimSun" w:hAnsi="SimSun" w:eastAsia="SimSun" w:cs="SimSun"/>
          <w:sz w:val="24"/>
          <w:szCs w:val="24"/>
          <w:spacing w:val="-7"/>
        </w:rPr>
        <w:t>本评价利用</w:t>
      </w:r>
      <w:r>
        <w:rPr>
          <w:rFonts w:ascii="SimSun" w:hAnsi="SimSun" w:eastAsia="SimSun" w:cs="SimSun"/>
          <w:sz w:val="24"/>
          <w:szCs w:val="24"/>
          <w:spacing w:val="1"/>
        </w:rPr>
        <w:t>建筑施工场地的实测类比资料对大气环境进行影响分析。测定时风速为 </w:t>
      </w:r>
      <w:r>
        <w:rPr>
          <w:rFonts w:ascii="Times New Roman" w:hAnsi="Times New Roman" w:eastAsia="Times New Roman" w:cs="Times New Roman"/>
          <w:sz w:val="24"/>
          <w:szCs w:val="24"/>
          <w:spacing w:val="1"/>
        </w:rPr>
        <w:t>3.4m/s</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
        </w:rPr>
        <w:t>，</w:t>
      </w:r>
      <w:r>
        <w:rPr>
          <w:rFonts w:ascii="SimSun" w:hAnsi="SimSun" w:eastAsia="SimSun" w:cs="SimSun"/>
          <w:sz w:val="24"/>
          <w:szCs w:val="24"/>
          <w:spacing w:val="12"/>
        </w:rPr>
        <w:t>测试结果如下：建筑施工扬尘严重，工地内 </w:t>
      </w:r>
      <w:r>
        <w:rPr>
          <w:rFonts w:ascii="Times New Roman" w:hAnsi="Times New Roman" w:eastAsia="Times New Roman" w:cs="Times New Roman"/>
          <w:sz w:val="24"/>
          <w:szCs w:val="24"/>
        </w:rPr>
        <w:t>TSP</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2"/>
        </w:rPr>
        <w:t>浓度相当于大气环</w:t>
      </w:r>
      <w:r>
        <w:rPr>
          <w:rFonts w:ascii="SimSun" w:hAnsi="SimSun" w:eastAsia="SimSun" w:cs="SimSun"/>
          <w:sz w:val="24"/>
          <w:szCs w:val="24"/>
          <w:spacing w:val="11"/>
        </w:rPr>
        <w:t>境标准的</w:t>
      </w:r>
      <w:r>
        <w:rPr>
          <w:rFonts w:ascii="Times New Roman" w:hAnsi="Times New Roman" w:eastAsia="Times New Roman" w:cs="Times New Roman"/>
          <w:sz w:val="24"/>
          <w:szCs w:val="24"/>
          <w:spacing w:val="-2"/>
        </w:rPr>
        <w:t>1.4—2.5 </w:t>
      </w:r>
      <w:r>
        <w:rPr>
          <w:rFonts w:ascii="SimSun" w:hAnsi="SimSun" w:eastAsia="SimSun" w:cs="SimSun"/>
          <w:sz w:val="24"/>
          <w:szCs w:val="24"/>
          <w:spacing w:val="-2"/>
        </w:rPr>
        <w:t>倍，施工扬尘的影响范围达下风向</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150m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处，最近</w:t>
      </w:r>
      <w:r>
        <w:rPr>
          <w:rFonts w:ascii="SimSun" w:hAnsi="SimSun" w:eastAsia="SimSun" w:cs="SimSun"/>
          <w:sz w:val="24"/>
          <w:szCs w:val="24"/>
          <w:spacing w:val="-3"/>
        </w:rPr>
        <w:t>敏感点为西侧</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3"/>
        </w:rPr>
        <w:t>4.2km</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处</w:t>
      </w:r>
      <w:r>
        <w:rPr>
          <w:rFonts w:ascii="SimSun" w:hAnsi="SimSun" w:eastAsia="SimSun" w:cs="SimSun"/>
          <w:sz w:val="24"/>
          <w:szCs w:val="24"/>
          <w:spacing w:val="3"/>
        </w:rPr>
        <w:t>锡林浩特市居民，距离较远，对其影响不大，本环</w:t>
      </w:r>
      <w:r>
        <w:rPr>
          <w:rFonts w:ascii="SimSun" w:hAnsi="SimSun" w:eastAsia="SimSun" w:cs="SimSun"/>
          <w:sz w:val="24"/>
          <w:szCs w:val="24"/>
          <w:spacing w:val="2"/>
        </w:rPr>
        <w:t>评建议施工场地合理设置设备</w:t>
      </w:r>
      <w:r>
        <w:rPr>
          <w:rFonts w:ascii="SimSun" w:hAnsi="SimSun" w:eastAsia="SimSun" w:cs="SimSun"/>
          <w:sz w:val="24"/>
          <w:szCs w:val="24"/>
          <w:spacing w:val="-8"/>
        </w:rPr>
        <w:t>和材料的堆放点，原料堆放主要为水泥、沙土等，</w:t>
      </w:r>
      <w:r>
        <w:rPr>
          <w:rFonts w:ascii="SimSun" w:hAnsi="SimSun" w:eastAsia="SimSun" w:cs="SimSun"/>
          <w:sz w:val="24"/>
          <w:szCs w:val="24"/>
          <w:spacing w:val="90"/>
        </w:rPr>
        <w:t xml:space="preserve"> </w:t>
      </w:r>
      <w:r>
        <w:rPr>
          <w:rFonts w:ascii="SimSun" w:hAnsi="SimSun" w:eastAsia="SimSun" w:cs="SimSun"/>
          <w:sz w:val="24"/>
          <w:szCs w:val="24"/>
          <w:spacing w:val="-8"/>
        </w:rPr>
        <w:t>由于施工期较短，堆放量较少，</w:t>
      </w:r>
      <w:r>
        <w:rPr>
          <w:rFonts w:ascii="SimSun" w:hAnsi="SimSun" w:eastAsia="SimSun" w:cs="SimSun"/>
          <w:sz w:val="24"/>
          <w:szCs w:val="24"/>
          <w:spacing w:val="2"/>
        </w:rPr>
        <w:t>避开大风天施工，同时避免起尘原材料的露天堆放等措施来减缓施工扬尘对周围</w:t>
      </w:r>
      <w:r>
        <w:rPr>
          <w:rFonts w:ascii="SimSun" w:hAnsi="SimSun" w:eastAsia="SimSun" w:cs="SimSun"/>
          <w:sz w:val="24"/>
          <w:szCs w:val="24"/>
          <w:spacing w:val="-1"/>
        </w:rPr>
        <w:t>的影响；施工及运输车辆引起的扬尘对路边</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1"/>
        </w:rPr>
        <w:t>30m</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1"/>
        </w:rPr>
        <w:t>范围以内影响较大，路边</w:t>
      </w:r>
      <w:r>
        <w:rPr>
          <w:rFonts w:ascii="SimSun" w:hAnsi="SimSun" w:eastAsia="SimSun" w:cs="SimSun"/>
          <w:sz w:val="24"/>
          <w:szCs w:val="24"/>
          <w:spacing w:val="-2"/>
        </w:rPr>
        <w:t>的</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TSP</w:t>
      </w:r>
      <w:r>
        <w:rPr>
          <w:rFonts w:ascii="SimSun" w:hAnsi="SimSun" w:eastAsia="SimSun" w:cs="SimSun"/>
          <w:sz w:val="24"/>
          <w:szCs w:val="24"/>
          <w:spacing w:val="-1"/>
        </w:rPr>
        <w:t>浓度可达 </w:t>
      </w:r>
      <w:r>
        <w:rPr>
          <w:rFonts w:ascii="Times New Roman" w:hAnsi="Times New Roman" w:eastAsia="Times New Roman" w:cs="Times New Roman"/>
          <w:sz w:val="24"/>
          <w:szCs w:val="24"/>
          <w:spacing w:val="-1"/>
        </w:rPr>
        <w:t>10mg/m</w:t>
      </w:r>
      <w:r>
        <w:rPr>
          <w:rFonts w:ascii="Times New Roman" w:hAnsi="Times New Roman" w:eastAsia="Times New Roman" w:cs="Times New Roman"/>
          <w:sz w:val="16"/>
          <w:szCs w:val="16"/>
          <w:spacing w:val="-1"/>
          <w:position w:val="10"/>
        </w:rPr>
        <w:t>3   </w:t>
      </w:r>
      <w:r>
        <w:rPr>
          <w:rFonts w:ascii="SimSun" w:hAnsi="SimSun" w:eastAsia="SimSun" w:cs="SimSun"/>
          <w:sz w:val="24"/>
          <w:szCs w:val="24"/>
          <w:spacing w:val="-1"/>
        </w:rPr>
        <w:t>以上，建</w:t>
      </w:r>
      <w:r>
        <w:rPr>
          <w:rFonts w:ascii="SimSun" w:hAnsi="SimSun" w:eastAsia="SimSun" w:cs="SimSun"/>
          <w:sz w:val="24"/>
          <w:szCs w:val="24"/>
          <w:spacing w:val="-2"/>
        </w:rPr>
        <w:t>议工程施工现场应全封闭设置围挡，运输车辆进入施</w:t>
      </w:r>
    </w:p>
    <w:p>
      <w:pPr>
        <w:spacing w:line="359" w:lineRule="auto"/>
        <w:sectPr>
          <w:headerReference w:type="default" r:id="rId118"/>
          <w:footerReference w:type="default" r:id="rId119"/>
          <w:pgSz w:w="11907" w:h="16839"/>
          <w:pgMar w:top="1442" w:right="1630" w:bottom="1235" w:left="1606" w:header="1064" w:footer="992" w:gutter="0"/>
        </w:sectPr>
        <w:rPr>
          <w:rFonts w:ascii="SimSun" w:hAnsi="SimSun" w:eastAsia="SimSun" w:cs="SimSun"/>
          <w:sz w:val="24"/>
          <w:szCs w:val="24"/>
        </w:rPr>
      </w:pPr>
    </w:p>
    <w:p>
      <w:pPr>
        <w:pStyle w:val="BodyText"/>
        <w:spacing w:line="292" w:lineRule="auto"/>
        <w:rPr/>
      </w:pPr>
      <w:r/>
    </w:p>
    <w:p>
      <w:pPr>
        <w:ind w:left="134"/>
        <w:spacing w:before="78" w:line="220" w:lineRule="auto"/>
        <w:rPr>
          <w:rFonts w:ascii="SimSun" w:hAnsi="SimSun" w:eastAsia="SimSun" w:cs="SimSun"/>
          <w:sz w:val="24"/>
          <w:szCs w:val="24"/>
        </w:rPr>
      </w:pPr>
      <w:r>
        <w:rPr>
          <w:rFonts w:ascii="SimSun" w:hAnsi="SimSun" w:eastAsia="SimSun" w:cs="SimSun"/>
          <w:sz w:val="24"/>
          <w:szCs w:val="24"/>
          <w:spacing w:val="-2"/>
        </w:rPr>
        <w:t>工场地应减速行驶或限速行驶等措施来降低影</w:t>
      </w:r>
      <w:r>
        <w:rPr>
          <w:rFonts w:ascii="SimSun" w:hAnsi="SimSun" w:eastAsia="SimSun" w:cs="SimSun"/>
          <w:sz w:val="24"/>
          <w:szCs w:val="24"/>
          <w:spacing w:val="-3"/>
        </w:rPr>
        <w:t>响。</w:t>
      </w:r>
    </w:p>
    <w:p>
      <w:pPr>
        <w:ind w:left="610"/>
        <w:spacing w:before="183" w:line="233" w:lineRule="auto"/>
        <w:rPr>
          <w:rFonts w:ascii="SimSun" w:hAnsi="SimSun" w:eastAsia="SimSun" w:cs="SimSun"/>
          <w:sz w:val="24"/>
          <w:szCs w:val="24"/>
        </w:rPr>
      </w:pPr>
      <w:r>
        <w:rPr>
          <w:rFonts w:ascii="SimSun" w:hAnsi="SimSun" w:eastAsia="SimSun" w:cs="SimSun"/>
          <w:sz w:val="24"/>
          <w:szCs w:val="24"/>
          <w:spacing w:val="-1"/>
        </w:rPr>
        <w:t>施工现场下风向不同距离的扬尘浓度见表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5-1</w:t>
      </w:r>
      <w:r>
        <w:rPr>
          <w:rFonts w:ascii="SimSun" w:hAnsi="SimSun" w:eastAsia="SimSun" w:cs="SimSun"/>
          <w:sz w:val="24"/>
          <w:szCs w:val="24"/>
          <w:spacing w:val="-1"/>
        </w:rPr>
        <w:t>。</w:t>
      </w:r>
    </w:p>
    <w:p>
      <w:pPr>
        <w:ind w:left="1931"/>
        <w:spacing w:before="85"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2"/>
        </w:rPr>
        <w:t>5-1      </w:t>
      </w:r>
      <w:r>
        <w:rPr>
          <w:rFonts w:ascii="SimSun" w:hAnsi="SimSun" w:eastAsia="SimSun" w:cs="SimSun"/>
          <w:sz w:val="24"/>
          <w:szCs w:val="24"/>
          <w:b/>
          <w:bCs/>
          <w:spacing w:val="-2"/>
        </w:rPr>
        <w:t>施工现场下风向不同距离的扬尘浓度</w:t>
      </w:r>
    </w:p>
    <w:p>
      <w:pPr>
        <w:spacing w:line="127" w:lineRule="exact"/>
        <w:rPr/>
      </w:pPr>
      <w:r/>
    </w:p>
    <w:tbl>
      <w:tblPr>
        <w:tblStyle w:val="TableNormal"/>
        <w:tblW w:w="8538"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5"/>
        <w:gridCol w:w="984"/>
        <w:gridCol w:w="986"/>
        <w:gridCol w:w="984"/>
        <w:gridCol w:w="986"/>
        <w:gridCol w:w="985"/>
        <w:gridCol w:w="986"/>
        <w:gridCol w:w="982"/>
      </w:tblGrid>
      <w:tr>
        <w:trPr>
          <w:trHeight w:val="539" w:hRule="atLeast"/>
        </w:trPr>
        <w:tc>
          <w:tcPr>
            <w:tcW w:w="1645" w:type="dxa"/>
            <w:vAlign w:val="top"/>
            <w:tcBorders>
              <w:top w:val="single" w:color="000000" w:sz="10" w:space="0"/>
              <w:left w:val="nil"/>
              <w:tl2br w:val="single" w:color="000000" w:sz="2" w:space="0"/>
            </w:tcBorders>
          </w:tcPr>
          <w:p>
            <w:pPr>
              <w:pStyle w:val="TableText"/>
              <w:ind w:left="237" w:right="152" w:firstLine="837"/>
              <w:spacing w:before="35" w:line="217" w:lineRule="auto"/>
              <w:rPr/>
            </w:pPr>
            <w:r>
              <w:rPr>
                <w:spacing w:val="-3"/>
              </w:rPr>
              <w:t>距离</w:t>
            </w:r>
            <w:r>
              <w:rPr>
                <w:spacing w:val="-2"/>
              </w:rPr>
              <w:t>污染物</w:t>
            </w:r>
          </w:p>
        </w:tc>
        <w:tc>
          <w:tcPr>
            <w:tcW w:w="984" w:type="dxa"/>
            <w:vAlign w:val="top"/>
            <w:tcBorders>
              <w:top w:val="single" w:color="000000" w:sz="10" w:space="0"/>
            </w:tcBorders>
          </w:tcPr>
          <w:p>
            <w:pPr>
              <w:ind w:left="379"/>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1m</w:t>
            </w:r>
          </w:p>
        </w:tc>
        <w:tc>
          <w:tcPr>
            <w:tcW w:w="986" w:type="dxa"/>
            <w:vAlign w:val="top"/>
            <w:tcBorders>
              <w:top w:val="single" w:color="000000" w:sz="10" w:space="0"/>
            </w:tcBorders>
          </w:tcPr>
          <w:p>
            <w:pPr>
              <w:ind w:left="306"/>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25m</w:t>
            </w:r>
          </w:p>
        </w:tc>
        <w:tc>
          <w:tcPr>
            <w:tcW w:w="984" w:type="dxa"/>
            <w:vAlign w:val="top"/>
            <w:tcBorders>
              <w:top w:val="single" w:color="000000" w:sz="10" w:space="0"/>
            </w:tcBorders>
          </w:tcPr>
          <w:p>
            <w:pPr>
              <w:ind w:left="311"/>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30m</w:t>
            </w:r>
          </w:p>
        </w:tc>
        <w:tc>
          <w:tcPr>
            <w:tcW w:w="986" w:type="dxa"/>
            <w:vAlign w:val="top"/>
            <w:tcBorders>
              <w:top w:val="single" w:color="000000" w:sz="10" w:space="0"/>
            </w:tcBorders>
          </w:tcPr>
          <w:p>
            <w:pPr>
              <w:ind w:left="312"/>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50m</w:t>
            </w:r>
          </w:p>
        </w:tc>
        <w:tc>
          <w:tcPr>
            <w:tcW w:w="985" w:type="dxa"/>
            <w:vAlign w:val="top"/>
            <w:tcBorders>
              <w:top w:val="single" w:color="000000" w:sz="10" w:space="0"/>
            </w:tcBorders>
          </w:tcPr>
          <w:p>
            <w:pPr>
              <w:ind w:left="313"/>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80m</w:t>
            </w:r>
          </w:p>
        </w:tc>
        <w:tc>
          <w:tcPr>
            <w:tcW w:w="986" w:type="dxa"/>
            <w:vAlign w:val="top"/>
            <w:tcBorders>
              <w:top w:val="single" w:color="000000" w:sz="10" w:space="0"/>
            </w:tcBorders>
          </w:tcPr>
          <w:p>
            <w:pPr>
              <w:ind w:left="274"/>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120m</w:t>
            </w:r>
          </w:p>
        </w:tc>
        <w:tc>
          <w:tcPr>
            <w:tcW w:w="982" w:type="dxa"/>
            <w:vAlign w:val="top"/>
            <w:tcBorders>
              <w:top w:val="single" w:color="000000" w:sz="10" w:space="0"/>
              <w:right w:val="nil"/>
            </w:tcBorders>
          </w:tcPr>
          <w:p>
            <w:pPr>
              <w:ind w:left="272"/>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150m</w:t>
            </w:r>
          </w:p>
        </w:tc>
      </w:tr>
      <w:tr>
        <w:trPr>
          <w:trHeight w:val="294" w:hRule="atLeast"/>
        </w:trPr>
        <w:tc>
          <w:tcPr>
            <w:tcW w:w="1645" w:type="dxa"/>
            <w:vAlign w:val="top"/>
            <w:tcBorders>
              <w:bottom w:val="single" w:color="000000" w:sz="10" w:space="0"/>
              <w:left w:val="nil"/>
            </w:tcBorders>
          </w:tcPr>
          <w:p>
            <w:pPr>
              <w:pStyle w:val="TableText"/>
              <w:ind w:left="164"/>
              <w:spacing w:before="30" w:line="223" w:lineRule="auto"/>
              <w:rPr/>
            </w:pPr>
            <w:r>
              <w:rPr>
                <w:rFonts w:ascii="Times New Roman" w:hAnsi="Times New Roman" w:eastAsia="Times New Roman" w:cs="Times New Roman"/>
                <w:spacing w:val="-1"/>
              </w:rPr>
              <w:t>TSP</w:t>
            </w:r>
            <w:r>
              <w:rPr>
                <w:spacing w:val="-1"/>
              </w:rPr>
              <w:t>（</w:t>
            </w:r>
            <w:r>
              <w:rPr>
                <w:rFonts w:ascii="Times New Roman" w:hAnsi="Times New Roman" w:eastAsia="Times New Roman" w:cs="Times New Roman"/>
                <w:spacing w:val="-1"/>
              </w:rPr>
              <w:t>mg/m</w:t>
            </w:r>
            <w:r>
              <w:rPr>
                <w:rFonts w:ascii="Times New Roman" w:hAnsi="Times New Roman" w:eastAsia="Times New Roman" w:cs="Times New Roman"/>
                <w:sz w:val="13"/>
                <w:szCs w:val="13"/>
                <w:spacing w:val="-1"/>
                <w:position w:val="9"/>
              </w:rPr>
              <w:t>3</w:t>
            </w:r>
            <w:r>
              <w:rPr>
                <w:spacing w:val="-1"/>
              </w:rPr>
              <w:t>）</w:t>
            </w:r>
          </w:p>
        </w:tc>
        <w:tc>
          <w:tcPr>
            <w:tcW w:w="984" w:type="dxa"/>
            <w:vAlign w:val="top"/>
            <w:tcBorders>
              <w:bottom w:val="single" w:color="000000" w:sz="10" w:space="0"/>
            </w:tcBorders>
          </w:tcPr>
          <w:p>
            <w:pPr>
              <w:ind w:left="260"/>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3.744</w:t>
            </w:r>
          </w:p>
        </w:tc>
        <w:tc>
          <w:tcPr>
            <w:tcW w:w="986" w:type="dxa"/>
            <w:vAlign w:val="top"/>
            <w:tcBorders>
              <w:bottom w:val="single" w:color="000000" w:sz="10" w:space="0"/>
            </w:tcBorders>
          </w:tcPr>
          <w:p>
            <w:pPr>
              <w:ind w:left="276"/>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1.630</w:t>
            </w:r>
          </w:p>
        </w:tc>
        <w:tc>
          <w:tcPr>
            <w:tcW w:w="984" w:type="dxa"/>
            <w:vAlign w:val="top"/>
            <w:tcBorders>
              <w:bottom w:val="single" w:color="000000" w:sz="10" w:space="0"/>
            </w:tcBorders>
          </w:tcPr>
          <w:p>
            <w:pPr>
              <w:ind w:left="329"/>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986" w:type="dxa"/>
            <w:vAlign w:val="top"/>
            <w:tcBorders>
              <w:bottom w:val="single" w:color="000000" w:sz="10" w:space="0"/>
            </w:tcBorders>
          </w:tcPr>
          <w:p>
            <w:pPr>
              <w:ind w:left="259"/>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0.785</w:t>
            </w:r>
          </w:p>
        </w:tc>
        <w:tc>
          <w:tcPr>
            <w:tcW w:w="985" w:type="dxa"/>
            <w:vAlign w:val="top"/>
            <w:tcBorders>
              <w:bottom w:val="single" w:color="000000" w:sz="10" w:space="0"/>
            </w:tcBorders>
          </w:tcPr>
          <w:p>
            <w:pPr>
              <w:ind w:left="257"/>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0.496</w:t>
            </w:r>
          </w:p>
        </w:tc>
        <w:tc>
          <w:tcPr>
            <w:tcW w:w="986" w:type="dxa"/>
            <w:vAlign w:val="top"/>
            <w:tcBorders>
              <w:bottom w:val="single" w:color="000000" w:sz="10" w:space="0"/>
            </w:tcBorders>
          </w:tcPr>
          <w:p>
            <w:pPr>
              <w:ind w:left="259"/>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0.301</w:t>
            </w:r>
          </w:p>
        </w:tc>
        <w:tc>
          <w:tcPr>
            <w:tcW w:w="982" w:type="dxa"/>
            <w:vAlign w:val="top"/>
            <w:tcBorders>
              <w:bottom w:val="single" w:color="000000" w:sz="10" w:space="0"/>
              <w:right w:val="nil"/>
            </w:tcBorders>
          </w:tcPr>
          <w:p>
            <w:pPr>
              <w:ind w:left="257"/>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0.246</w:t>
            </w:r>
          </w:p>
        </w:tc>
      </w:tr>
    </w:tbl>
    <w:p>
      <w:pPr>
        <w:ind w:left="658"/>
        <w:spacing w:before="34" w:line="233"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2</w:t>
      </w:r>
      <w:r>
        <w:rPr>
          <w:rFonts w:ascii="SimSun" w:hAnsi="SimSun" w:eastAsia="SimSun" w:cs="SimSun"/>
          <w:sz w:val="24"/>
          <w:szCs w:val="24"/>
          <w:spacing w:val="10"/>
        </w:rPr>
        <w:t>）汽车尾气</w:t>
      </w:r>
    </w:p>
    <w:p>
      <w:pPr>
        <w:ind w:left="132" w:right="99" w:firstLine="518"/>
        <w:spacing w:before="163" w:line="359" w:lineRule="auto"/>
        <w:rPr>
          <w:rFonts w:ascii="SimSun" w:hAnsi="SimSun" w:eastAsia="SimSun" w:cs="SimSun"/>
          <w:sz w:val="24"/>
          <w:szCs w:val="24"/>
        </w:rPr>
      </w:pPr>
      <w:r>
        <w:rPr>
          <w:rFonts w:ascii="SimSun" w:hAnsi="SimSun" w:eastAsia="SimSun" w:cs="SimSun"/>
          <w:sz w:val="24"/>
          <w:szCs w:val="24"/>
          <w:spacing w:val="16"/>
        </w:rPr>
        <w:t>施工中将会有各种工程及运输车辆来往于施工现场，主要有挖掘机、推</w:t>
      </w:r>
      <w:r>
        <w:rPr>
          <w:rFonts w:ascii="SimSun" w:hAnsi="SimSun" w:eastAsia="SimSun" w:cs="SimSun"/>
          <w:sz w:val="24"/>
          <w:szCs w:val="24"/>
          <w:spacing w:val="14"/>
        </w:rPr>
        <w:t>土机、运输卡车等。</w:t>
      </w:r>
    </w:p>
    <w:p>
      <w:pPr>
        <w:ind w:left="651"/>
        <w:spacing w:before="1" w:line="218" w:lineRule="auto"/>
        <w:rPr>
          <w:rFonts w:ascii="SimSun" w:hAnsi="SimSun" w:eastAsia="SimSun" w:cs="SimSun"/>
          <w:sz w:val="24"/>
          <w:szCs w:val="24"/>
        </w:rPr>
      </w:pPr>
      <w:r>
        <w:rPr>
          <w:rFonts w:ascii="SimSun" w:hAnsi="SimSun" w:eastAsia="SimSun" w:cs="SimSun"/>
          <w:sz w:val="24"/>
          <w:szCs w:val="24"/>
          <w:spacing w:val="17"/>
        </w:rPr>
        <w:t>施工场汽车尾气对大气环境的影响有如下几个特点：</w:t>
      </w:r>
    </w:p>
    <w:p>
      <w:pPr>
        <w:ind w:left="651"/>
        <w:spacing w:before="184" w:line="217" w:lineRule="auto"/>
        <w:rPr>
          <w:rFonts w:ascii="SimSun" w:hAnsi="SimSun" w:eastAsia="SimSun" w:cs="SimSun"/>
          <w:sz w:val="24"/>
          <w:szCs w:val="24"/>
        </w:rPr>
      </w:pPr>
      <w:r>
        <w:rPr>
          <w:rFonts w:ascii="SimSun" w:hAnsi="SimSun" w:eastAsia="SimSun" w:cs="SimSun"/>
          <w:sz w:val="24"/>
          <w:szCs w:val="24"/>
          <w:spacing w:val="15"/>
        </w:rPr>
        <w:t>①车辆在施工场范围内活动，</w:t>
      </w:r>
      <w:r>
        <w:rPr>
          <w:rFonts w:ascii="SimSun" w:hAnsi="SimSun" w:eastAsia="SimSun" w:cs="SimSun"/>
          <w:sz w:val="24"/>
          <w:szCs w:val="24"/>
          <w:spacing w:val="-71"/>
        </w:rPr>
        <w:t xml:space="preserve"> </w:t>
      </w:r>
      <w:r>
        <w:rPr>
          <w:rFonts w:ascii="SimSun" w:hAnsi="SimSun" w:eastAsia="SimSun" w:cs="SimSun"/>
          <w:sz w:val="24"/>
          <w:szCs w:val="24"/>
          <w:spacing w:val="15"/>
        </w:rPr>
        <w:t>尾气呈面源污染形式；</w:t>
      </w:r>
    </w:p>
    <w:p>
      <w:pPr>
        <w:ind w:left="650"/>
        <w:spacing w:before="185" w:line="217" w:lineRule="auto"/>
        <w:rPr>
          <w:rFonts w:ascii="SimSun" w:hAnsi="SimSun" w:eastAsia="SimSun" w:cs="SimSun"/>
          <w:sz w:val="24"/>
          <w:szCs w:val="24"/>
        </w:rPr>
      </w:pPr>
      <w:r>
        <w:rPr>
          <w:rFonts w:ascii="SimSun" w:hAnsi="SimSun" w:eastAsia="SimSun" w:cs="SimSun"/>
          <w:sz w:val="24"/>
          <w:szCs w:val="24"/>
          <w:spacing w:val="18"/>
        </w:rPr>
        <w:t>②汽车排气筒高度较低，尾气扩散范围不大，对周围地</w:t>
      </w:r>
      <w:r>
        <w:rPr>
          <w:rFonts w:ascii="SimSun" w:hAnsi="SimSun" w:eastAsia="SimSun" w:cs="SimSun"/>
          <w:sz w:val="24"/>
          <w:szCs w:val="24"/>
          <w:spacing w:val="17"/>
        </w:rPr>
        <w:t>区影响较小；</w:t>
      </w:r>
    </w:p>
    <w:p>
      <w:pPr>
        <w:ind w:left="650"/>
        <w:spacing w:before="184" w:line="217" w:lineRule="auto"/>
        <w:rPr>
          <w:rFonts w:ascii="SimSun" w:hAnsi="SimSun" w:eastAsia="SimSun" w:cs="SimSun"/>
          <w:sz w:val="24"/>
          <w:szCs w:val="24"/>
        </w:rPr>
      </w:pPr>
      <w:r>
        <w:rPr>
          <w:rFonts w:ascii="SimSun" w:hAnsi="SimSun" w:eastAsia="SimSun" w:cs="SimSun"/>
          <w:sz w:val="24"/>
          <w:szCs w:val="24"/>
          <w:spacing w:val="16"/>
        </w:rPr>
        <w:t>③车辆为非连续性行驶状态，</w:t>
      </w:r>
      <w:r>
        <w:rPr>
          <w:rFonts w:ascii="SimSun" w:hAnsi="SimSun" w:eastAsia="SimSun" w:cs="SimSun"/>
          <w:sz w:val="24"/>
          <w:szCs w:val="24"/>
          <w:spacing w:val="-66"/>
        </w:rPr>
        <w:t xml:space="preserve"> </w:t>
      </w:r>
      <w:r>
        <w:rPr>
          <w:rFonts w:ascii="SimSun" w:hAnsi="SimSun" w:eastAsia="SimSun" w:cs="SimSun"/>
          <w:sz w:val="24"/>
          <w:szCs w:val="24"/>
          <w:spacing w:val="16"/>
        </w:rPr>
        <w:t>污染物排放时间及排放量相对较少。</w:t>
      </w:r>
    </w:p>
    <w:p>
      <w:pPr>
        <w:ind w:left="131" w:firstLine="523"/>
        <w:spacing w:before="186" w:line="360" w:lineRule="auto"/>
        <w:jc w:val="both"/>
        <w:rPr>
          <w:rFonts w:ascii="SimSun" w:hAnsi="SimSun" w:eastAsia="SimSun" w:cs="SimSun"/>
          <w:sz w:val="24"/>
          <w:szCs w:val="24"/>
        </w:rPr>
      </w:pPr>
      <w:r>
        <w:rPr>
          <w:rFonts w:ascii="SimSun" w:hAnsi="SimSun" w:eastAsia="SimSun" w:cs="SimSun"/>
          <w:sz w:val="24"/>
          <w:szCs w:val="24"/>
          <w:spacing w:val="1"/>
        </w:rPr>
        <w:t>建议尽量选用低能耗、低污染排放的施工机械、车辆，对于排放废气较多的</w:t>
      </w:r>
      <w:r>
        <w:rPr>
          <w:rFonts w:ascii="SimSun" w:hAnsi="SimSun" w:eastAsia="SimSun" w:cs="SimSun"/>
          <w:sz w:val="24"/>
          <w:szCs w:val="24"/>
          <w:spacing w:val="2"/>
        </w:rPr>
        <w:t>车辆，应安装尾气净化装置。应尽量选用质量高、对大气环境影响小的燃料。要</w:t>
      </w:r>
      <w:r>
        <w:rPr>
          <w:rFonts w:ascii="SimSun" w:hAnsi="SimSun" w:eastAsia="SimSun" w:cs="SimSun"/>
          <w:sz w:val="24"/>
          <w:szCs w:val="24"/>
          <w:spacing w:val="-2"/>
        </w:rPr>
        <w:t>加强机械、车辆的管理和维修，尽量减少因机械、车辆状况不佳造成的空气污</w:t>
      </w:r>
      <w:r>
        <w:rPr>
          <w:rFonts w:ascii="SimSun" w:hAnsi="SimSun" w:eastAsia="SimSun" w:cs="SimSun"/>
          <w:sz w:val="24"/>
          <w:szCs w:val="24"/>
          <w:spacing w:val="-3"/>
        </w:rPr>
        <w:t>染。</w:t>
      </w:r>
    </w:p>
    <w:p>
      <w:pPr>
        <w:pStyle w:val="BodyText"/>
        <w:spacing w:line="256" w:lineRule="auto"/>
        <w:rPr/>
      </w:pPr>
      <w:r/>
    </w:p>
    <w:p>
      <w:pPr>
        <w:ind w:left="130"/>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5.1.3 </w:t>
      </w:r>
      <w:r>
        <w:rPr>
          <w:rFonts w:ascii="SimSun" w:hAnsi="SimSun" w:eastAsia="SimSun" w:cs="SimSun"/>
          <w:sz w:val="24"/>
          <w:szCs w:val="24"/>
          <w:b/>
          <w:bCs/>
          <w:spacing w:val="-2"/>
        </w:rPr>
        <w:t>施工期声环境影响分析</w:t>
      </w:r>
    </w:p>
    <w:p>
      <w:pPr>
        <w:pStyle w:val="BodyText"/>
        <w:spacing w:line="264" w:lineRule="auto"/>
        <w:rPr/>
      </w:pPr>
      <w:r/>
    </w:p>
    <w:p>
      <w:pPr>
        <w:ind w:left="618"/>
        <w:spacing w:before="78"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）施工噪声源调查</w:t>
      </w:r>
    </w:p>
    <w:p>
      <w:pPr>
        <w:ind w:left="129" w:right="5" w:firstLine="484"/>
        <w:spacing w:before="160" w:line="360" w:lineRule="auto"/>
        <w:rPr>
          <w:rFonts w:ascii="SimSun" w:hAnsi="SimSun" w:eastAsia="SimSun" w:cs="SimSun"/>
          <w:sz w:val="24"/>
          <w:szCs w:val="24"/>
        </w:rPr>
      </w:pPr>
      <w:r>
        <w:rPr>
          <w:rFonts w:ascii="SimSun" w:hAnsi="SimSun" w:eastAsia="SimSun" w:cs="SimSun"/>
          <w:sz w:val="24"/>
          <w:szCs w:val="24"/>
          <w:spacing w:val="2"/>
        </w:rPr>
        <w:t>各种施工机械如挖掘机、推土机、砂浆搅拌机、混凝土罐车及振捣棒及运输</w:t>
      </w:r>
      <w:r>
        <w:rPr>
          <w:rFonts w:ascii="SimSun" w:hAnsi="SimSun" w:eastAsia="SimSun" w:cs="SimSun"/>
          <w:sz w:val="24"/>
          <w:szCs w:val="24"/>
          <w:spacing w:val="-2"/>
        </w:rPr>
        <w:t>卡车等，均可产生较强烈的噪声。虽然这些施工机械噪声属于非连续性</w:t>
      </w:r>
      <w:r>
        <w:rPr>
          <w:rFonts w:ascii="SimSun" w:hAnsi="SimSun" w:eastAsia="SimSun" w:cs="SimSun"/>
          <w:sz w:val="24"/>
          <w:szCs w:val="24"/>
          <w:spacing w:val="-3"/>
        </w:rPr>
        <w:t>间歇排放，</w:t>
      </w:r>
      <w:r>
        <w:rPr>
          <w:rFonts w:ascii="SimSun" w:hAnsi="SimSun" w:eastAsia="SimSun" w:cs="SimSun"/>
          <w:sz w:val="24"/>
          <w:szCs w:val="24"/>
          <w:spacing w:val="-2"/>
        </w:rPr>
        <w:t>但由于噪声源相对集中，且多为裸露声源，故其噪声辐射范围及影响程</w:t>
      </w:r>
      <w:r>
        <w:rPr>
          <w:rFonts w:ascii="SimSun" w:hAnsi="SimSun" w:eastAsia="SimSun" w:cs="SimSun"/>
          <w:sz w:val="24"/>
          <w:szCs w:val="24"/>
          <w:spacing w:val="-3"/>
        </w:rPr>
        <w:t>度都较大，</w:t>
      </w:r>
      <w:r>
        <w:rPr>
          <w:rFonts w:ascii="SimSun" w:hAnsi="SimSun" w:eastAsia="SimSun" w:cs="SimSun"/>
          <w:sz w:val="24"/>
          <w:szCs w:val="24"/>
          <w:spacing w:val="-1"/>
        </w:rPr>
        <w:t>主要施工设备在作业期间所产生的噪声源特征详见表</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1"/>
        </w:rPr>
        <w:t>5-2</w:t>
      </w:r>
      <w:r>
        <w:rPr>
          <w:rFonts w:ascii="SimSun" w:hAnsi="SimSun" w:eastAsia="SimSun" w:cs="SimSun"/>
          <w:sz w:val="24"/>
          <w:szCs w:val="24"/>
          <w:spacing w:val="-1"/>
        </w:rPr>
        <w:t>。</w:t>
      </w:r>
    </w:p>
    <w:p>
      <w:pPr>
        <w:ind w:left="2610"/>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5-2    </w:t>
      </w:r>
      <w:r>
        <w:rPr>
          <w:rFonts w:ascii="SimSun" w:hAnsi="SimSun" w:eastAsia="SimSun" w:cs="SimSun"/>
          <w:sz w:val="24"/>
          <w:szCs w:val="24"/>
          <w:b/>
          <w:bCs/>
          <w:spacing w:val="-2"/>
        </w:rPr>
        <w:t>各种机械设备的噪声值</w:t>
      </w:r>
    </w:p>
    <w:p>
      <w:pPr>
        <w:spacing w:line="129" w:lineRule="exact"/>
        <w:rPr/>
      </w:pPr>
      <w:r/>
    </w:p>
    <w:tbl>
      <w:tblPr>
        <w:tblStyle w:val="TableNormal"/>
        <w:tblW w:w="853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0"/>
        <w:gridCol w:w="2124"/>
        <w:gridCol w:w="1929"/>
        <w:gridCol w:w="3635"/>
      </w:tblGrid>
      <w:tr>
        <w:trPr>
          <w:trHeight w:val="278" w:hRule="atLeast"/>
        </w:trPr>
        <w:tc>
          <w:tcPr>
            <w:tcW w:w="850" w:type="dxa"/>
            <w:vAlign w:val="top"/>
            <w:tcBorders>
              <w:left w:val="nil"/>
              <w:top w:val="single" w:color="000000" w:sz="10" w:space="0"/>
            </w:tcBorders>
          </w:tcPr>
          <w:p>
            <w:pPr>
              <w:pStyle w:val="TableText"/>
              <w:ind w:left="228"/>
              <w:spacing w:before="35" w:line="204" w:lineRule="auto"/>
              <w:rPr/>
            </w:pPr>
            <w:r>
              <w:rPr>
                <w:b/>
                <w:bCs/>
                <w:spacing w:val="-4"/>
              </w:rPr>
              <w:t>序号</w:t>
            </w:r>
          </w:p>
        </w:tc>
        <w:tc>
          <w:tcPr>
            <w:tcW w:w="2124" w:type="dxa"/>
            <w:vAlign w:val="top"/>
            <w:tcBorders>
              <w:top w:val="single" w:color="000000" w:sz="10" w:space="0"/>
            </w:tcBorders>
          </w:tcPr>
          <w:p>
            <w:pPr>
              <w:pStyle w:val="TableText"/>
              <w:ind w:left="645"/>
              <w:spacing w:before="35" w:line="204" w:lineRule="auto"/>
              <w:rPr/>
            </w:pPr>
            <w:r>
              <w:rPr>
                <w:b/>
                <w:bCs/>
                <w:spacing w:val="-3"/>
              </w:rPr>
              <w:t>机械类型</w:t>
            </w:r>
          </w:p>
        </w:tc>
        <w:tc>
          <w:tcPr>
            <w:tcW w:w="1929" w:type="dxa"/>
            <w:vAlign w:val="top"/>
            <w:tcBorders>
              <w:top w:val="single" w:color="000000" w:sz="10" w:space="0"/>
            </w:tcBorders>
          </w:tcPr>
          <w:p>
            <w:pPr>
              <w:pStyle w:val="TableText"/>
              <w:ind w:left="552"/>
              <w:spacing w:before="35" w:line="204" w:lineRule="auto"/>
              <w:rPr/>
            </w:pPr>
            <w:r>
              <w:rPr>
                <w:b/>
                <w:bCs/>
                <w:spacing w:val="-4"/>
              </w:rPr>
              <w:t>声源特点</w:t>
            </w:r>
          </w:p>
        </w:tc>
        <w:tc>
          <w:tcPr>
            <w:tcW w:w="3635" w:type="dxa"/>
            <w:vAlign w:val="top"/>
            <w:tcBorders>
              <w:right w:val="nil"/>
              <w:top w:val="single" w:color="000000" w:sz="10" w:space="0"/>
            </w:tcBorders>
          </w:tcPr>
          <w:p>
            <w:pPr>
              <w:pStyle w:val="TableText"/>
              <w:ind w:right="2"/>
              <w:spacing w:before="35" w:line="204" w:lineRule="auto"/>
              <w:jc w:val="right"/>
              <w:rPr/>
            </w:pPr>
            <w:r>
              <w:rPr>
                <w:rFonts w:ascii="Times New Roman" w:hAnsi="Times New Roman" w:eastAsia="Times New Roman" w:cs="Times New Roman"/>
                <w:b/>
                <w:bCs/>
                <w:spacing w:val="-11"/>
              </w:rPr>
              <w:t>Lmax[dB</w:t>
            </w:r>
            <w:r>
              <w:rPr>
                <w:b/>
                <w:bCs/>
                <w:spacing w:val="-11"/>
              </w:rPr>
              <w:t>（</w:t>
            </w:r>
            <w:r>
              <w:rPr>
                <w:rFonts w:ascii="Times New Roman" w:hAnsi="Times New Roman" w:eastAsia="Times New Roman" w:cs="Times New Roman"/>
                <w:b/>
                <w:bCs/>
                <w:spacing w:val="-11"/>
              </w:rPr>
              <w:t>A</w:t>
            </w:r>
            <w:r>
              <w:rPr>
                <w:b/>
                <w:bCs/>
                <w:spacing w:val="-11"/>
              </w:rPr>
              <w:t>）</w:t>
            </w:r>
            <w:r>
              <w:rPr>
                <w:rFonts w:ascii="Times New Roman" w:hAnsi="Times New Roman" w:eastAsia="Times New Roman" w:cs="Times New Roman"/>
                <w:b/>
                <w:bCs/>
                <w:spacing w:val="-11"/>
              </w:rPr>
              <w:t>]</w:t>
            </w:r>
            <w:r>
              <w:rPr>
                <w:b/>
                <w:bCs/>
                <w:spacing w:val="-11"/>
              </w:rPr>
              <w:t>（测点与设备距离</w:t>
            </w:r>
            <w:r>
              <w:rPr>
                <w:spacing w:val="-30"/>
              </w:rPr>
              <w:t xml:space="preserve"> </w:t>
            </w:r>
            <w:r>
              <w:rPr>
                <w:rFonts w:ascii="Times New Roman" w:hAnsi="Times New Roman" w:eastAsia="Times New Roman" w:cs="Times New Roman"/>
                <w:b/>
                <w:bCs/>
                <w:spacing w:val="-11"/>
              </w:rPr>
              <w:t>1m</w:t>
            </w:r>
            <w:r>
              <w:rPr>
                <w:b/>
                <w:bCs/>
                <w:spacing w:val="-11"/>
              </w:rPr>
              <w:t>）</w:t>
            </w:r>
          </w:p>
        </w:tc>
      </w:tr>
      <w:tr>
        <w:trPr>
          <w:trHeight w:val="275" w:hRule="atLeast"/>
        </w:trPr>
        <w:tc>
          <w:tcPr>
            <w:tcW w:w="850" w:type="dxa"/>
            <w:vAlign w:val="top"/>
            <w:tcBorders>
              <w:left w:val="nil"/>
            </w:tcBorders>
          </w:tcPr>
          <w:p>
            <w:pPr>
              <w:ind w:left="403"/>
              <w:spacing w:before="63"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4" w:type="dxa"/>
            <w:vAlign w:val="top"/>
          </w:tcPr>
          <w:p>
            <w:pPr>
              <w:pStyle w:val="TableText"/>
              <w:ind w:left="750"/>
              <w:spacing w:before="34" w:line="203" w:lineRule="auto"/>
              <w:rPr/>
            </w:pPr>
            <w:r>
              <w:rPr>
                <w:spacing w:val="-1"/>
              </w:rPr>
              <w:t>挖掘机</w:t>
            </w:r>
          </w:p>
        </w:tc>
        <w:tc>
          <w:tcPr>
            <w:tcW w:w="1929" w:type="dxa"/>
            <w:vAlign w:val="top"/>
          </w:tcPr>
          <w:p>
            <w:pPr>
              <w:pStyle w:val="TableText"/>
              <w:ind w:left="340"/>
              <w:spacing w:before="34" w:line="203" w:lineRule="auto"/>
              <w:rPr/>
            </w:pPr>
            <w:r>
              <w:rPr>
                <w:spacing w:val="-1"/>
              </w:rPr>
              <w:t>流动不稳态源</w:t>
            </w:r>
          </w:p>
        </w:tc>
        <w:tc>
          <w:tcPr>
            <w:tcW w:w="3635" w:type="dxa"/>
            <w:vAlign w:val="top"/>
            <w:tcBorders>
              <w:right w:val="nil"/>
            </w:tcBorders>
          </w:tcPr>
          <w:p>
            <w:pPr>
              <w:ind w:left="1720"/>
              <w:spacing w:before="63" w:line="20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r>
      <w:tr>
        <w:trPr>
          <w:trHeight w:val="272" w:hRule="atLeast"/>
        </w:trPr>
        <w:tc>
          <w:tcPr>
            <w:tcW w:w="850" w:type="dxa"/>
            <w:vAlign w:val="top"/>
            <w:tcBorders>
              <w:left w:val="nil"/>
            </w:tcBorders>
          </w:tcPr>
          <w:p>
            <w:pPr>
              <w:ind w:left="383"/>
              <w:spacing w:before="64"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4" w:type="dxa"/>
            <w:vAlign w:val="top"/>
          </w:tcPr>
          <w:p>
            <w:pPr>
              <w:pStyle w:val="TableText"/>
              <w:ind w:left="751"/>
              <w:spacing w:before="36" w:line="198" w:lineRule="auto"/>
              <w:rPr/>
            </w:pPr>
            <w:r>
              <w:rPr>
                <w:spacing w:val="-2"/>
              </w:rPr>
              <w:t>推土机</w:t>
            </w:r>
          </w:p>
        </w:tc>
        <w:tc>
          <w:tcPr>
            <w:tcW w:w="1929" w:type="dxa"/>
            <w:vAlign w:val="top"/>
          </w:tcPr>
          <w:p>
            <w:pPr>
              <w:pStyle w:val="TableText"/>
              <w:ind w:left="340"/>
              <w:spacing w:before="36" w:line="198" w:lineRule="auto"/>
              <w:rPr/>
            </w:pPr>
            <w:r>
              <w:rPr>
                <w:spacing w:val="-1"/>
              </w:rPr>
              <w:t>流动不稳态源</w:t>
            </w:r>
          </w:p>
        </w:tc>
        <w:tc>
          <w:tcPr>
            <w:tcW w:w="3635" w:type="dxa"/>
            <w:vAlign w:val="top"/>
            <w:tcBorders>
              <w:right w:val="nil"/>
            </w:tcBorders>
          </w:tcPr>
          <w:p>
            <w:pPr>
              <w:ind w:left="1716"/>
              <w:spacing w:before="64"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r>
      <w:tr>
        <w:trPr>
          <w:trHeight w:val="275" w:hRule="atLeast"/>
        </w:trPr>
        <w:tc>
          <w:tcPr>
            <w:tcW w:w="850" w:type="dxa"/>
            <w:vAlign w:val="top"/>
            <w:tcBorders>
              <w:left w:val="nil"/>
            </w:tcBorders>
          </w:tcPr>
          <w:p>
            <w:pPr>
              <w:ind w:left="387"/>
              <w:spacing w:before="70"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4" w:type="dxa"/>
            <w:vAlign w:val="top"/>
          </w:tcPr>
          <w:p>
            <w:pPr>
              <w:pStyle w:val="TableText"/>
              <w:ind w:left="750"/>
              <w:spacing w:before="40" w:line="197" w:lineRule="auto"/>
              <w:rPr/>
            </w:pPr>
            <w:r>
              <w:rPr>
                <w:spacing w:val="-1"/>
              </w:rPr>
              <w:t>振捣棒</w:t>
            </w:r>
          </w:p>
        </w:tc>
        <w:tc>
          <w:tcPr>
            <w:tcW w:w="1929" w:type="dxa"/>
            <w:vAlign w:val="top"/>
          </w:tcPr>
          <w:p>
            <w:pPr>
              <w:pStyle w:val="TableText"/>
              <w:ind w:left="340"/>
              <w:spacing w:before="40" w:line="197" w:lineRule="auto"/>
              <w:rPr/>
            </w:pPr>
            <w:r>
              <w:rPr>
                <w:spacing w:val="-1"/>
              </w:rPr>
              <w:t>流动不稳态源</w:t>
            </w:r>
          </w:p>
        </w:tc>
        <w:tc>
          <w:tcPr>
            <w:tcW w:w="3635" w:type="dxa"/>
            <w:vAlign w:val="top"/>
            <w:tcBorders>
              <w:right w:val="nil"/>
            </w:tcBorders>
          </w:tcPr>
          <w:p>
            <w:pPr>
              <w:ind w:left="1716"/>
              <w:spacing w:before="70"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92</w:t>
            </w:r>
          </w:p>
        </w:tc>
      </w:tr>
      <w:tr>
        <w:trPr>
          <w:trHeight w:val="275" w:hRule="atLeast"/>
        </w:trPr>
        <w:tc>
          <w:tcPr>
            <w:tcW w:w="850" w:type="dxa"/>
            <w:vAlign w:val="top"/>
            <w:tcBorders>
              <w:left w:val="nil"/>
            </w:tcBorders>
          </w:tcPr>
          <w:p>
            <w:pPr>
              <w:ind w:left="382"/>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24" w:type="dxa"/>
            <w:vAlign w:val="top"/>
          </w:tcPr>
          <w:p>
            <w:pPr>
              <w:pStyle w:val="TableText"/>
              <w:ind w:left="539"/>
              <w:spacing w:before="44" w:line="194" w:lineRule="auto"/>
              <w:rPr/>
            </w:pPr>
            <w:r>
              <w:rPr>
                <w:spacing w:val="-1"/>
              </w:rPr>
              <w:t>砂浆搅拌机</w:t>
            </w:r>
          </w:p>
        </w:tc>
        <w:tc>
          <w:tcPr>
            <w:tcW w:w="1929" w:type="dxa"/>
            <w:vAlign w:val="top"/>
          </w:tcPr>
          <w:p>
            <w:pPr>
              <w:pStyle w:val="TableText"/>
              <w:ind w:left="340"/>
              <w:spacing w:before="44" w:line="194" w:lineRule="auto"/>
              <w:rPr/>
            </w:pPr>
            <w:r>
              <w:rPr>
                <w:spacing w:val="-1"/>
              </w:rPr>
              <w:t>流动不稳态源</w:t>
            </w:r>
          </w:p>
        </w:tc>
        <w:tc>
          <w:tcPr>
            <w:tcW w:w="3635" w:type="dxa"/>
            <w:vAlign w:val="top"/>
            <w:tcBorders>
              <w:right w:val="nil"/>
            </w:tcBorders>
          </w:tcPr>
          <w:p>
            <w:pPr>
              <w:ind w:left="1720"/>
              <w:spacing w:before="7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r>
      <w:tr>
        <w:trPr>
          <w:trHeight w:val="272" w:hRule="atLeast"/>
        </w:trPr>
        <w:tc>
          <w:tcPr>
            <w:tcW w:w="850" w:type="dxa"/>
            <w:vAlign w:val="top"/>
            <w:tcBorders>
              <w:left w:val="nil"/>
            </w:tcBorders>
          </w:tcPr>
          <w:p>
            <w:pPr>
              <w:ind w:left="389"/>
              <w:spacing w:before="7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24" w:type="dxa"/>
            <w:vAlign w:val="top"/>
          </w:tcPr>
          <w:p>
            <w:pPr>
              <w:pStyle w:val="TableText"/>
              <w:ind w:left="542"/>
              <w:spacing w:before="47" w:line="189" w:lineRule="auto"/>
              <w:rPr/>
            </w:pPr>
            <w:r>
              <w:rPr>
                <w:spacing w:val="-2"/>
              </w:rPr>
              <w:t>混凝土罐车</w:t>
            </w:r>
          </w:p>
        </w:tc>
        <w:tc>
          <w:tcPr>
            <w:tcW w:w="1929" w:type="dxa"/>
            <w:vAlign w:val="top"/>
          </w:tcPr>
          <w:p>
            <w:pPr>
              <w:pStyle w:val="TableText"/>
              <w:ind w:left="340"/>
              <w:spacing w:before="47" w:line="189" w:lineRule="auto"/>
              <w:rPr/>
            </w:pPr>
            <w:r>
              <w:rPr>
                <w:spacing w:val="-1"/>
              </w:rPr>
              <w:t>流动不稳态源</w:t>
            </w:r>
          </w:p>
        </w:tc>
        <w:tc>
          <w:tcPr>
            <w:tcW w:w="3635" w:type="dxa"/>
            <w:vAlign w:val="top"/>
            <w:tcBorders>
              <w:right w:val="nil"/>
            </w:tcBorders>
          </w:tcPr>
          <w:p>
            <w:pPr>
              <w:ind w:left="1720"/>
              <w:spacing w:before="7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89</w:t>
            </w:r>
          </w:p>
        </w:tc>
      </w:tr>
      <w:tr>
        <w:trPr>
          <w:trHeight w:val="298" w:hRule="atLeast"/>
        </w:trPr>
        <w:tc>
          <w:tcPr>
            <w:tcW w:w="850" w:type="dxa"/>
            <w:vAlign w:val="top"/>
            <w:tcBorders>
              <w:left w:val="nil"/>
              <w:bottom w:val="single" w:color="000000" w:sz="10" w:space="0"/>
            </w:tcBorders>
          </w:tcPr>
          <w:p>
            <w:pPr>
              <w:ind w:left="388"/>
              <w:spacing w:before="8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124" w:type="dxa"/>
            <w:vAlign w:val="top"/>
            <w:tcBorders>
              <w:bottom w:val="single" w:color="000000" w:sz="10" w:space="0"/>
            </w:tcBorders>
          </w:tcPr>
          <w:p>
            <w:pPr>
              <w:pStyle w:val="TableText"/>
              <w:ind w:left="646"/>
              <w:spacing w:before="51" w:line="208" w:lineRule="auto"/>
              <w:rPr/>
            </w:pPr>
            <w:r>
              <w:rPr>
                <w:spacing w:val="-2"/>
              </w:rPr>
              <w:t>运输卡车</w:t>
            </w:r>
          </w:p>
        </w:tc>
        <w:tc>
          <w:tcPr>
            <w:tcW w:w="1929" w:type="dxa"/>
            <w:vAlign w:val="top"/>
            <w:tcBorders>
              <w:bottom w:val="single" w:color="000000" w:sz="10" w:space="0"/>
            </w:tcBorders>
          </w:tcPr>
          <w:p>
            <w:pPr>
              <w:pStyle w:val="TableText"/>
              <w:ind w:left="340"/>
              <w:spacing w:before="51" w:line="208" w:lineRule="auto"/>
              <w:rPr/>
            </w:pPr>
            <w:r>
              <w:rPr>
                <w:spacing w:val="-1"/>
              </w:rPr>
              <w:t>流动不稳态源</w:t>
            </w:r>
          </w:p>
        </w:tc>
        <w:tc>
          <w:tcPr>
            <w:tcW w:w="3635" w:type="dxa"/>
            <w:vAlign w:val="top"/>
            <w:tcBorders>
              <w:right w:val="nil"/>
              <w:bottom w:val="single" w:color="000000" w:sz="10" w:space="0"/>
            </w:tcBorders>
          </w:tcPr>
          <w:p>
            <w:pPr>
              <w:ind w:left="1720"/>
              <w:spacing w:before="8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87</w:t>
            </w:r>
          </w:p>
        </w:tc>
      </w:tr>
    </w:tbl>
    <w:p>
      <w:pPr>
        <w:pStyle w:val="BodyText"/>
        <w:rPr/>
      </w:pPr>
      <w:r/>
    </w:p>
    <w:p>
      <w:pPr>
        <w:sectPr>
          <w:headerReference w:type="default" r:id="rId120"/>
          <w:footerReference w:type="default" r:id="rId121"/>
          <w:pgSz w:w="11907" w:h="16839"/>
          <w:pgMar w:top="1442" w:right="1627" w:bottom="1235" w:left="1579" w:header="1064" w:footer="992" w:gutter="0"/>
        </w:sectPr>
        <w:rPr/>
      </w:pPr>
    </w:p>
    <w:p>
      <w:pPr>
        <w:ind w:left="618"/>
        <w:spacing w:before="293"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）施工期噪声影响预测</w:t>
      </w:r>
    </w:p>
    <w:p>
      <w:pPr>
        <w:ind w:left="278" w:right="89" w:firstLine="474"/>
        <w:spacing w:before="239" w:line="330" w:lineRule="auto"/>
        <w:rPr>
          <w:rFonts w:ascii="SimSun" w:hAnsi="SimSun" w:eastAsia="SimSun" w:cs="SimSun"/>
          <w:sz w:val="24"/>
          <w:szCs w:val="24"/>
        </w:rPr>
      </w:pPr>
      <w:r>
        <w:rPr>
          <w:rFonts w:ascii="SimSun" w:hAnsi="SimSun" w:eastAsia="SimSun" w:cs="SimSun"/>
          <w:sz w:val="24"/>
          <w:szCs w:val="24"/>
          <w:spacing w:val="-5"/>
        </w:rPr>
        <w:t>施工噪声源可视为点声源。根据点声源噪声衰减模式， 可估算出施工期间距</w:t>
      </w:r>
      <w:r>
        <w:rPr>
          <w:rFonts w:ascii="SimSun" w:hAnsi="SimSun" w:eastAsia="SimSun" w:cs="SimSun"/>
          <w:sz w:val="24"/>
          <w:szCs w:val="24"/>
          <w:spacing w:val="-4"/>
        </w:rPr>
        <w:t>声源不同距离处的噪声值。预测模式如下：</w:t>
      </w:r>
    </w:p>
    <w:p>
      <w:pPr>
        <w:ind w:left="623"/>
        <w:spacing w:before="1" w:line="218" w:lineRule="auto"/>
        <w:rPr>
          <w:rFonts w:ascii="SimSun" w:hAnsi="SimSun" w:eastAsia="SimSun" w:cs="SimSun"/>
          <w:sz w:val="24"/>
          <w:szCs w:val="24"/>
        </w:rPr>
      </w:pPr>
      <w:r>
        <w:rPr>
          <w:rFonts w:ascii="SimSun" w:hAnsi="SimSun" w:eastAsia="SimSun" w:cs="SimSun"/>
          <w:sz w:val="24"/>
          <w:szCs w:val="24"/>
          <w:spacing w:val="-8"/>
        </w:rPr>
        <w:t>点源传播衰减模式：</w:t>
      </w:r>
    </w:p>
    <w:p>
      <w:pPr>
        <w:pStyle w:val="BodyText"/>
        <w:ind w:left="2439"/>
        <w:spacing w:before="223" w:line="22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rPr>
        <w:t>L</w:t>
      </w:r>
      <w:r>
        <w:rPr>
          <w:rFonts w:ascii="Times New Roman" w:hAnsi="Times New Roman" w:eastAsia="Times New Roman" w:cs="Times New Roman"/>
          <w:sz w:val="13"/>
          <w:szCs w:val="13"/>
          <w:i/>
          <w:iCs/>
          <w:position w:val="-5"/>
        </w:rPr>
        <w:t>r</w:t>
      </w:r>
      <w:r>
        <w:rPr>
          <w:rFonts w:ascii="Times New Roman" w:hAnsi="Times New Roman" w:eastAsia="Times New Roman" w:cs="Times New Roman"/>
          <w:sz w:val="13"/>
          <w:szCs w:val="13"/>
          <w:i/>
          <w:iCs/>
          <w:spacing w:val="15"/>
          <w:position w:val="-5"/>
        </w:rPr>
        <w:t xml:space="preserve">  </w:t>
      </w:r>
      <w:r>
        <w:rPr>
          <w:sz w:val="23"/>
          <w:szCs w:val="23"/>
          <w:spacing w:val="4"/>
        </w:rPr>
        <w:t>= </w:t>
      </w:r>
      <w:r>
        <w:rPr>
          <w:rFonts w:ascii="Times New Roman" w:hAnsi="Times New Roman" w:eastAsia="Times New Roman" w:cs="Times New Roman"/>
          <w:sz w:val="23"/>
          <w:szCs w:val="23"/>
          <w:i/>
          <w:iCs/>
        </w:rPr>
        <w:t>L</w:t>
      </w:r>
      <w:r>
        <w:rPr>
          <w:rFonts w:ascii="Times New Roman" w:hAnsi="Times New Roman" w:eastAsia="Times New Roman" w:cs="Times New Roman"/>
          <w:sz w:val="13"/>
          <w:szCs w:val="13"/>
          <w:i/>
          <w:iCs/>
          <w:position w:val="-5"/>
        </w:rPr>
        <w:t>r</w:t>
      </w:r>
      <w:r>
        <w:rPr>
          <w:rFonts w:ascii="Times New Roman" w:hAnsi="Times New Roman" w:eastAsia="Times New Roman" w:cs="Times New Roman"/>
          <w:sz w:val="9"/>
          <w:szCs w:val="9"/>
          <w:spacing w:val="4"/>
          <w:position w:val="-8"/>
        </w:rPr>
        <w:t>0   </w:t>
      </w:r>
      <w:r>
        <w:rPr>
          <w:sz w:val="23"/>
          <w:szCs w:val="23"/>
          <w:spacing w:val="-14"/>
          <w:w w:val="62"/>
        </w:rPr>
        <w:t>—</w:t>
      </w:r>
      <w:r>
        <w:rPr>
          <w:sz w:val="23"/>
          <w:szCs w:val="23"/>
          <w:spacing w:val="-17"/>
        </w:rPr>
        <w:t xml:space="preserve"> </w:t>
      </w:r>
      <w:r>
        <w:rPr>
          <w:rFonts w:ascii="Times New Roman" w:hAnsi="Times New Roman" w:eastAsia="Times New Roman" w:cs="Times New Roman"/>
          <w:sz w:val="23"/>
          <w:szCs w:val="23"/>
          <w:spacing w:val="4"/>
        </w:rPr>
        <w:t>20</w:t>
      </w:r>
      <w:r>
        <w:rPr>
          <w:rFonts w:ascii="Times New Roman" w:hAnsi="Times New Roman" w:eastAsia="Times New Roman" w:cs="Times New Roman"/>
          <w:sz w:val="23"/>
          <w:szCs w:val="23"/>
          <w:spacing w:val="-14"/>
        </w:rPr>
        <w:t xml:space="preserve"> </w:t>
      </w:r>
      <w:r>
        <w:rPr>
          <w:sz w:val="23"/>
          <w:szCs w:val="23"/>
          <w:spacing w:val="4"/>
        </w:rPr>
        <w:t>.</w:t>
      </w:r>
      <w:r>
        <w:rPr>
          <w:sz w:val="23"/>
          <w:szCs w:val="23"/>
          <w:spacing w:val="-31"/>
        </w:rPr>
        <w:t xml:space="preserve"> </w:t>
      </w:r>
      <w:r>
        <w:rPr>
          <w:rFonts w:ascii="Times New Roman" w:hAnsi="Times New Roman" w:eastAsia="Times New Roman" w:cs="Times New Roman"/>
          <w:sz w:val="23"/>
          <w:szCs w:val="23"/>
          <w:i/>
          <w:iCs/>
        </w:rPr>
        <w:t>Lg</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i/>
          <w:iCs/>
          <w:spacing w:val="4"/>
        </w:rPr>
        <w:t>r</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i/>
          <w:iCs/>
          <w:spacing w:val="4"/>
        </w:rPr>
        <w:t>r</w:t>
      </w:r>
      <w:r>
        <w:rPr>
          <w:rFonts w:ascii="Times New Roman" w:hAnsi="Times New Roman" w:eastAsia="Times New Roman" w:cs="Times New Roman"/>
          <w:sz w:val="13"/>
          <w:szCs w:val="13"/>
          <w:spacing w:val="4"/>
          <w:position w:val="-5"/>
        </w:rPr>
        <w:t>0</w:t>
      </w:r>
      <w:r>
        <w:rPr>
          <w:rFonts w:ascii="Times New Roman" w:hAnsi="Times New Roman" w:eastAsia="Times New Roman" w:cs="Times New Roman"/>
          <w:sz w:val="13"/>
          <w:szCs w:val="13"/>
          <w:spacing w:val="-5"/>
          <w:position w:val="-5"/>
        </w:rPr>
        <w:t xml:space="preserve"> </w:t>
      </w:r>
      <w:r>
        <w:rPr>
          <w:rFonts w:ascii="Times New Roman" w:hAnsi="Times New Roman" w:eastAsia="Times New Roman" w:cs="Times New Roman"/>
          <w:sz w:val="23"/>
          <w:szCs w:val="23"/>
          <w:spacing w:val="4"/>
        </w:rPr>
        <w:t>)</w:t>
      </w:r>
    </w:p>
    <w:p>
      <w:pPr>
        <w:ind w:left="616"/>
        <w:spacing w:before="176" w:line="213" w:lineRule="auto"/>
        <w:rPr>
          <w:rFonts w:ascii="SimSun" w:hAnsi="SimSun" w:eastAsia="SimSun" w:cs="SimSun"/>
          <w:sz w:val="24"/>
          <w:szCs w:val="24"/>
        </w:rPr>
      </w:pPr>
      <w:r>
        <w:rPr>
          <w:rFonts w:ascii="SimSun" w:hAnsi="SimSun" w:eastAsia="SimSun" w:cs="SimSun"/>
          <w:sz w:val="24"/>
          <w:szCs w:val="24"/>
          <w:spacing w:val="-1"/>
        </w:rPr>
        <w:t>式中：</w:t>
      </w:r>
      <w:r>
        <w:rPr>
          <w:rFonts w:ascii="Times New Roman" w:hAnsi="Times New Roman" w:eastAsia="Times New Roman" w:cs="Times New Roman"/>
          <w:sz w:val="24"/>
          <w:szCs w:val="24"/>
          <w:spacing w:val="-1"/>
        </w:rPr>
        <w:t>Lr ─</w:t>
      </w:r>
      <w:r>
        <w:rPr>
          <w:rFonts w:ascii="SimSun" w:hAnsi="SimSun" w:eastAsia="SimSun" w:cs="SimSun"/>
          <w:sz w:val="24"/>
          <w:szCs w:val="24"/>
          <w:spacing w:val="-1"/>
        </w:rPr>
        <w:t>预测点处声压级，</w:t>
      </w:r>
      <w:r>
        <w:rPr>
          <w:rFonts w:ascii="Times New Roman" w:hAnsi="Times New Roman" w:eastAsia="Times New Roman" w:cs="Times New Roman"/>
          <w:sz w:val="24"/>
          <w:szCs w:val="24"/>
          <w:spacing w:val="-1"/>
        </w:rPr>
        <w:t>dB(A)</w:t>
      </w:r>
      <w:r>
        <w:rPr>
          <w:rFonts w:ascii="SimSun" w:hAnsi="SimSun" w:eastAsia="SimSun" w:cs="SimSun"/>
          <w:sz w:val="24"/>
          <w:szCs w:val="24"/>
          <w:spacing w:val="-1"/>
        </w:rPr>
        <w:t>；</w:t>
      </w:r>
    </w:p>
    <w:p>
      <w:pPr>
        <w:ind w:left="1329"/>
        <w:spacing w:before="190" w:line="223" w:lineRule="auto"/>
        <w:rPr>
          <w:rFonts w:ascii="SimSun" w:hAnsi="SimSun" w:eastAsia="SimSun" w:cs="SimSun"/>
          <w:sz w:val="24"/>
          <w:szCs w:val="24"/>
        </w:rPr>
      </w:pPr>
      <w:r>
        <w:rPr>
          <w:rFonts w:ascii="Times New Roman" w:hAnsi="Times New Roman" w:eastAsia="Times New Roman" w:cs="Times New Roman"/>
          <w:sz w:val="24"/>
          <w:szCs w:val="24"/>
          <w:spacing w:val="-1"/>
        </w:rPr>
        <w:t>Lr</w:t>
      </w:r>
      <w:r>
        <w:rPr>
          <w:rFonts w:ascii="Times New Roman" w:hAnsi="Times New Roman" w:eastAsia="Times New Roman" w:cs="Times New Roman"/>
          <w:sz w:val="16"/>
          <w:szCs w:val="16"/>
          <w:spacing w:val="-1"/>
          <w:position w:val="-2"/>
        </w:rPr>
        <w:t>o</w:t>
      </w:r>
      <w:r>
        <w:rPr>
          <w:rFonts w:ascii="Times New Roman" w:hAnsi="Times New Roman" w:eastAsia="Times New Roman" w:cs="Times New Roman"/>
          <w:sz w:val="24"/>
          <w:szCs w:val="24"/>
          <w:spacing w:val="-1"/>
        </w:rPr>
        <w:t>─</w:t>
      </w:r>
      <w:r>
        <w:rPr>
          <w:rFonts w:ascii="SimSun" w:hAnsi="SimSun" w:eastAsia="SimSun" w:cs="SimSun"/>
          <w:sz w:val="24"/>
          <w:szCs w:val="24"/>
          <w:spacing w:val="-1"/>
        </w:rPr>
        <w:t>参照位置</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1"/>
        </w:rPr>
        <w:t>r</w:t>
      </w:r>
      <w:r>
        <w:rPr>
          <w:rFonts w:ascii="Times New Roman" w:hAnsi="Times New Roman" w:eastAsia="Times New Roman" w:cs="Times New Roman"/>
          <w:sz w:val="16"/>
          <w:szCs w:val="16"/>
          <w:spacing w:val="-1"/>
          <w:position w:val="-2"/>
        </w:rPr>
        <w:t>o</w:t>
      </w:r>
      <w:r>
        <w:rPr>
          <w:rFonts w:ascii="Times New Roman" w:hAnsi="Times New Roman" w:eastAsia="Times New Roman" w:cs="Times New Roman"/>
          <w:sz w:val="16"/>
          <w:szCs w:val="16"/>
          <w:spacing w:val="13"/>
          <w:w w:val="102"/>
          <w:position w:val="-2"/>
        </w:rPr>
        <w:t xml:space="preserve"> </w:t>
      </w:r>
      <w:r>
        <w:rPr>
          <w:rFonts w:ascii="SimSun" w:hAnsi="SimSun" w:eastAsia="SimSun" w:cs="SimSun"/>
          <w:sz w:val="24"/>
          <w:szCs w:val="24"/>
          <w:spacing w:val="-1"/>
        </w:rPr>
        <w:t>处的声压级，</w:t>
      </w:r>
      <w:r>
        <w:rPr>
          <w:rFonts w:ascii="Times New Roman" w:hAnsi="Times New Roman" w:eastAsia="Times New Roman" w:cs="Times New Roman"/>
          <w:sz w:val="24"/>
          <w:szCs w:val="24"/>
          <w:spacing w:val="-1"/>
        </w:rPr>
        <w:t>dB(A)</w:t>
      </w:r>
      <w:r>
        <w:rPr>
          <w:rFonts w:ascii="SimSun" w:hAnsi="SimSun" w:eastAsia="SimSun" w:cs="SimSun"/>
          <w:sz w:val="24"/>
          <w:szCs w:val="24"/>
          <w:spacing w:val="-1"/>
        </w:rPr>
        <w:t>；</w:t>
      </w:r>
    </w:p>
    <w:p>
      <w:pPr>
        <w:ind w:left="1323"/>
        <w:spacing w:before="178" w:line="234" w:lineRule="auto"/>
        <w:rPr>
          <w:rFonts w:ascii="SimSun" w:hAnsi="SimSun" w:eastAsia="SimSun" w:cs="SimSun"/>
          <w:sz w:val="24"/>
          <w:szCs w:val="24"/>
        </w:rPr>
      </w:pPr>
      <w:r>
        <w:rPr>
          <w:rFonts w:ascii="Times New Roman" w:hAnsi="Times New Roman" w:eastAsia="Times New Roman" w:cs="Times New Roman"/>
          <w:sz w:val="24"/>
          <w:szCs w:val="24"/>
          <w:spacing w:val="-1"/>
        </w:rPr>
        <w:t>r ─</w:t>
      </w:r>
      <w:r>
        <w:rPr>
          <w:rFonts w:ascii="SimSun" w:hAnsi="SimSun" w:eastAsia="SimSun" w:cs="SimSun"/>
          <w:sz w:val="24"/>
          <w:szCs w:val="24"/>
          <w:spacing w:val="-1"/>
        </w:rPr>
        <w:t>预测点距声源的距离，</w:t>
      </w:r>
      <w:r>
        <w:rPr>
          <w:rFonts w:ascii="Times New Roman" w:hAnsi="Times New Roman" w:eastAsia="Times New Roman" w:cs="Times New Roman"/>
          <w:sz w:val="24"/>
          <w:szCs w:val="24"/>
          <w:spacing w:val="-1"/>
        </w:rPr>
        <w:t>m</w:t>
      </w:r>
      <w:r>
        <w:rPr>
          <w:rFonts w:ascii="SimSun" w:hAnsi="SimSun" w:eastAsia="SimSun" w:cs="SimSun"/>
          <w:sz w:val="24"/>
          <w:szCs w:val="24"/>
          <w:spacing w:val="-1"/>
        </w:rPr>
        <w:t>；</w:t>
      </w:r>
    </w:p>
    <w:p>
      <w:pPr>
        <w:ind w:left="1323"/>
        <w:spacing w:before="162" w:line="238" w:lineRule="auto"/>
        <w:rPr>
          <w:rFonts w:ascii="SimSun" w:hAnsi="SimSun" w:eastAsia="SimSun" w:cs="SimSun"/>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6"/>
          <w:szCs w:val="16"/>
          <w:position w:val="-3"/>
        </w:rPr>
        <w:t>o</w:t>
      </w:r>
      <w:r>
        <w:rPr>
          <w:rFonts w:ascii="Times New Roman" w:hAnsi="Times New Roman" w:eastAsia="Times New Roman" w:cs="Times New Roman"/>
          <w:sz w:val="24"/>
          <w:szCs w:val="24"/>
        </w:rPr>
        <w:t>─</w:t>
      </w:r>
      <w:r>
        <w:rPr>
          <w:rFonts w:ascii="SimSun" w:hAnsi="SimSun" w:eastAsia="SimSun" w:cs="SimSun"/>
          <w:sz w:val="24"/>
          <w:szCs w:val="24"/>
        </w:rPr>
        <w:t>参考位置距声源的距离，</w:t>
      </w:r>
      <w:r>
        <w:rPr>
          <w:rFonts w:ascii="Times New Roman" w:hAnsi="Times New Roman" w:eastAsia="Times New Roman" w:cs="Times New Roman"/>
          <w:sz w:val="24"/>
          <w:szCs w:val="24"/>
        </w:rPr>
        <w:t>m</w:t>
      </w:r>
      <w:r>
        <w:rPr>
          <w:rFonts w:ascii="SimSun" w:hAnsi="SimSun" w:eastAsia="SimSun" w:cs="SimSun"/>
          <w:sz w:val="24"/>
          <w:szCs w:val="24"/>
        </w:rPr>
        <w:t>。</w:t>
      </w:r>
    </w:p>
    <w:p>
      <w:pPr>
        <w:ind w:left="734"/>
        <w:spacing w:before="158" w:line="346" w:lineRule="auto"/>
        <w:jc w:val="right"/>
        <w:rPr>
          <w:rFonts w:ascii="SimSun" w:hAnsi="SimSun" w:eastAsia="SimSun" w:cs="SimSun"/>
          <w:sz w:val="24"/>
          <w:szCs w:val="24"/>
        </w:rPr>
      </w:pPr>
      <w:r>
        <w:rPr>
          <w:rFonts w:ascii="SimSun" w:hAnsi="SimSun" w:eastAsia="SimSun" w:cs="SimSun"/>
          <w:sz w:val="24"/>
          <w:szCs w:val="24"/>
          <w:spacing w:val="-3"/>
        </w:rPr>
        <w:t>各类施工机械在不同距离外的噪声值（未与现状值叠加）预测结果见表</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3"/>
        </w:rPr>
        <w:t>5-3</w:t>
      </w:r>
      <w:r>
        <w:rPr>
          <w:rFonts w:ascii="SimSun" w:hAnsi="SimSun" w:eastAsia="SimSun" w:cs="SimSun"/>
          <w:sz w:val="24"/>
          <w:szCs w:val="24"/>
          <w:spacing w:val="-3"/>
        </w:rPr>
        <w:t>。</w:t>
      </w:r>
      <w:r>
        <w:rPr>
          <w:rFonts w:ascii="SimSun" w:hAnsi="SimSun" w:eastAsia="SimSun" w:cs="SimSun"/>
          <w:sz w:val="24"/>
          <w:szCs w:val="24"/>
          <w:b/>
          <w:bCs/>
          <w:spacing w:val="-1"/>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1"/>
        </w:rPr>
        <w:t>5-3      </w:t>
      </w:r>
      <w:r>
        <w:rPr>
          <w:rFonts w:ascii="SimSun" w:hAnsi="SimSun" w:eastAsia="SimSun" w:cs="SimSun"/>
          <w:sz w:val="24"/>
          <w:szCs w:val="24"/>
          <w:b/>
          <w:bCs/>
          <w:spacing w:val="-1"/>
        </w:rPr>
        <w:t>各种施工机械在不同距离处的噪声预测值</w:t>
      </w:r>
      <w:r>
        <w:rPr>
          <w:rFonts w:ascii="SimSun" w:hAnsi="SimSun" w:eastAsia="SimSun" w:cs="SimSun"/>
          <w:sz w:val="24"/>
          <w:szCs w:val="24"/>
          <w:spacing w:val="-1"/>
        </w:rPr>
        <w:t xml:space="preserve">    单位：</w:t>
      </w:r>
      <w:r>
        <w:rPr>
          <w:rFonts w:ascii="Times New Roman" w:hAnsi="Times New Roman" w:eastAsia="Times New Roman" w:cs="Times New Roman"/>
          <w:sz w:val="24"/>
          <w:szCs w:val="24"/>
          <w:spacing w:val="-1"/>
        </w:rPr>
        <w:t>dB</w:t>
      </w:r>
      <w:r>
        <w:rPr>
          <w:rFonts w:ascii="SimSun" w:hAnsi="SimSun" w:eastAsia="SimSun" w:cs="SimSun"/>
          <w:sz w:val="24"/>
          <w:szCs w:val="24"/>
          <w:spacing w:val="-2"/>
        </w:rPr>
        <w:t>（</w:t>
      </w:r>
      <w:r>
        <w:rPr>
          <w:rFonts w:ascii="Times New Roman" w:hAnsi="Times New Roman" w:eastAsia="Times New Roman" w:cs="Times New Roman"/>
          <w:sz w:val="24"/>
          <w:szCs w:val="24"/>
          <w:spacing w:val="-2"/>
        </w:rPr>
        <w:t>A</w:t>
      </w:r>
      <w:r>
        <w:rPr>
          <w:rFonts w:ascii="SimSun" w:hAnsi="SimSun" w:eastAsia="SimSun" w:cs="SimSun"/>
          <w:sz w:val="24"/>
          <w:szCs w:val="24"/>
          <w:spacing w:val="-2"/>
        </w:rPr>
        <w:t>）</w:t>
      </w:r>
    </w:p>
    <w:tbl>
      <w:tblPr>
        <w:tblStyle w:val="TableNormal"/>
        <w:tblW w:w="853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4"/>
        <w:gridCol w:w="578"/>
        <w:gridCol w:w="667"/>
        <w:gridCol w:w="624"/>
        <w:gridCol w:w="694"/>
        <w:gridCol w:w="622"/>
        <w:gridCol w:w="785"/>
        <w:gridCol w:w="600"/>
        <w:gridCol w:w="648"/>
        <w:gridCol w:w="648"/>
        <w:gridCol w:w="720"/>
        <w:gridCol w:w="728"/>
      </w:tblGrid>
      <w:tr>
        <w:trPr>
          <w:trHeight w:val="279" w:hRule="atLeast"/>
        </w:trPr>
        <w:tc>
          <w:tcPr>
            <w:tcW w:w="1224" w:type="dxa"/>
            <w:vAlign w:val="top"/>
            <w:vMerge w:val="restart"/>
            <w:tcBorders>
              <w:left w:val="nil"/>
              <w:top w:val="single" w:color="000000" w:sz="10" w:space="0"/>
              <w:bottom w:val="nil"/>
            </w:tcBorders>
          </w:tcPr>
          <w:p>
            <w:pPr>
              <w:pStyle w:val="TableText"/>
              <w:ind w:left="204"/>
              <w:spacing w:before="160" w:line="220" w:lineRule="auto"/>
              <w:rPr/>
            </w:pPr>
            <w:r>
              <w:rPr>
                <w:b/>
                <w:bCs/>
                <w:spacing w:val="-3"/>
              </w:rPr>
              <w:t>机械类型</w:t>
            </w:r>
          </w:p>
        </w:tc>
        <w:tc>
          <w:tcPr>
            <w:tcW w:w="7314" w:type="dxa"/>
            <w:vAlign w:val="top"/>
            <w:gridSpan w:val="11"/>
            <w:tcBorders>
              <w:right w:val="nil"/>
              <w:top w:val="single" w:color="000000" w:sz="10" w:space="0"/>
            </w:tcBorders>
          </w:tcPr>
          <w:p>
            <w:pPr>
              <w:pStyle w:val="TableText"/>
              <w:ind w:left="3146"/>
              <w:spacing w:before="33" w:line="207" w:lineRule="auto"/>
              <w:rPr/>
            </w:pPr>
            <w:r>
              <w:rPr>
                <w:b/>
                <w:bCs/>
                <w:spacing w:val="-5"/>
              </w:rPr>
              <w:t>噪声预测值</w:t>
            </w:r>
          </w:p>
        </w:tc>
      </w:tr>
      <w:tr>
        <w:trPr>
          <w:trHeight w:val="245" w:hRule="atLeast"/>
        </w:trPr>
        <w:tc>
          <w:tcPr>
            <w:tcW w:w="1224" w:type="dxa"/>
            <w:vAlign w:val="top"/>
            <w:vMerge w:val="continue"/>
            <w:tcBorders>
              <w:left w:val="nil"/>
              <w:top w:val="nil"/>
            </w:tcBorders>
          </w:tcPr>
          <w:p>
            <w:pPr>
              <w:rPr>
                <w:rFonts w:ascii="Arial"/>
                <w:sz w:val="21"/>
              </w:rPr>
            </w:pPr>
            <w:r/>
          </w:p>
        </w:tc>
        <w:tc>
          <w:tcPr>
            <w:tcW w:w="578" w:type="dxa"/>
            <w:vAlign w:val="top"/>
          </w:tcPr>
          <w:p>
            <w:pPr>
              <w:ind w:left="175"/>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1m</w:t>
            </w:r>
          </w:p>
        </w:tc>
        <w:tc>
          <w:tcPr>
            <w:tcW w:w="667" w:type="dxa"/>
            <w:vAlign w:val="top"/>
          </w:tcPr>
          <w:p>
            <w:pPr>
              <w:ind w:left="167"/>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10m</w:t>
            </w:r>
          </w:p>
        </w:tc>
        <w:tc>
          <w:tcPr>
            <w:tcW w:w="624" w:type="dxa"/>
            <w:vAlign w:val="top"/>
          </w:tcPr>
          <w:p>
            <w:pPr>
              <w:ind w:left="148"/>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15m</w:t>
            </w:r>
          </w:p>
        </w:tc>
        <w:tc>
          <w:tcPr>
            <w:tcW w:w="694" w:type="dxa"/>
            <w:vAlign w:val="top"/>
          </w:tcPr>
          <w:p>
            <w:pPr>
              <w:ind w:left="161"/>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20m</w:t>
            </w:r>
          </w:p>
        </w:tc>
        <w:tc>
          <w:tcPr>
            <w:tcW w:w="622" w:type="dxa"/>
            <w:vAlign w:val="top"/>
          </w:tcPr>
          <w:p>
            <w:pPr>
              <w:ind w:left="129"/>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30m</w:t>
            </w:r>
          </w:p>
        </w:tc>
        <w:tc>
          <w:tcPr>
            <w:tcW w:w="785" w:type="dxa"/>
            <w:vAlign w:val="top"/>
          </w:tcPr>
          <w:p>
            <w:pPr>
              <w:ind w:left="205"/>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40m</w:t>
            </w:r>
          </w:p>
        </w:tc>
        <w:tc>
          <w:tcPr>
            <w:tcW w:w="600" w:type="dxa"/>
            <w:vAlign w:val="top"/>
          </w:tcPr>
          <w:p>
            <w:pPr>
              <w:ind w:left="120"/>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50m</w:t>
            </w:r>
          </w:p>
        </w:tc>
        <w:tc>
          <w:tcPr>
            <w:tcW w:w="648" w:type="dxa"/>
            <w:vAlign w:val="top"/>
          </w:tcPr>
          <w:p>
            <w:pPr>
              <w:ind w:left="143"/>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60m</w:t>
            </w:r>
          </w:p>
        </w:tc>
        <w:tc>
          <w:tcPr>
            <w:tcW w:w="648" w:type="dxa"/>
            <w:vAlign w:val="top"/>
          </w:tcPr>
          <w:p>
            <w:pPr>
              <w:ind w:left="140"/>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70m</w:t>
            </w:r>
          </w:p>
        </w:tc>
        <w:tc>
          <w:tcPr>
            <w:tcW w:w="720" w:type="dxa"/>
            <w:vAlign w:val="top"/>
          </w:tcPr>
          <w:p>
            <w:pPr>
              <w:ind w:left="143"/>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100m</w:t>
            </w:r>
          </w:p>
        </w:tc>
        <w:tc>
          <w:tcPr>
            <w:tcW w:w="728" w:type="dxa"/>
            <w:vAlign w:val="top"/>
            <w:tcBorders>
              <w:right w:val="nil"/>
            </w:tcBorders>
          </w:tcPr>
          <w:p>
            <w:pPr>
              <w:ind w:left="127"/>
              <w:spacing w:before="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200m</w:t>
            </w:r>
          </w:p>
        </w:tc>
      </w:tr>
      <w:tr>
        <w:trPr>
          <w:trHeight w:val="273" w:hRule="atLeast"/>
        </w:trPr>
        <w:tc>
          <w:tcPr>
            <w:tcW w:w="1224" w:type="dxa"/>
            <w:vAlign w:val="top"/>
            <w:tcBorders>
              <w:left w:val="nil"/>
            </w:tcBorders>
          </w:tcPr>
          <w:p>
            <w:pPr>
              <w:pStyle w:val="TableText"/>
              <w:ind w:left="309"/>
              <w:spacing w:before="34" w:line="201" w:lineRule="auto"/>
              <w:rPr/>
            </w:pPr>
            <w:r>
              <w:rPr>
                <w:spacing w:val="-1"/>
              </w:rPr>
              <w:t>挖掘机</w:t>
            </w:r>
          </w:p>
        </w:tc>
        <w:tc>
          <w:tcPr>
            <w:tcW w:w="578" w:type="dxa"/>
            <w:vAlign w:val="top"/>
          </w:tcPr>
          <w:p>
            <w:pPr>
              <w:ind w:left="192"/>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667" w:type="dxa"/>
            <w:vAlign w:val="top"/>
          </w:tcPr>
          <w:p>
            <w:pPr>
              <w:ind w:left="233"/>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624" w:type="dxa"/>
            <w:vAlign w:val="top"/>
          </w:tcPr>
          <w:p>
            <w:pPr>
              <w:ind w:left="214"/>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p>
        </w:tc>
        <w:tc>
          <w:tcPr>
            <w:tcW w:w="694" w:type="dxa"/>
            <w:vAlign w:val="top"/>
          </w:tcPr>
          <w:p>
            <w:pPr>
              <w:ind w:left="248"/>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59</w:t>
            </w:r>
          </w:p>
        </w:tc>
        <w:tc>
          <w:tcPr>
            <w:tcW w:w="622" w:type="dxa"/>
            <w:vAlign w:val="top"/>
          </w:tcPr>
          <w:p>
            <w:pPr>
              <w:ind w:left="212"/>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785" w:type="dxa"/>
            <w:vAlign w:val="top"/>
          </w:tcPr>
          <w:p>
            <w:pPr>
              <w:ind w:left="293"/>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600" w:type="dxa"/>
            <w:vAlign w:val="top"/>
          </w:tcPr>
          <w:p>
            <w:pPr>
              <w:ind w:left="202"/>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51</w:t>
            </w:r>
          </w:p>
        </w:tc>
        <w:tc>
          <w:tcPr>
            <w:tcW w:w="648" w:type="dxa"/>
            <w:vAlign w:val="top"/>
          </w:tcPr>
          <w:p>
            <w:pPr>
              <w:ind w:left="220"/>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648" w:type="dxa"/>
            <w:vAlign w:val="top"/>
          </w:tcPr>
          <w:p>
            <w:pPr>
              <w:ind w:left="217"/>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720" w:type="dxa"/>
            <w:vAlign w:val="top"/>
          </w:tcPr>
          <w:p>
            <w:pPr>
              <w:ind w:left="256"/>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728" w:type="dxa"/>
            <w:vAlign w:val="top"/>
            <w:tcBorders>
              <w:right w:val="nil"/>
            </w:tcBorders>
          </w:tcPr>
          <w:p>
            <w:pPr>
              <w:ind w:left="264"/>
              <w:spacing w:before="62"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p>
        </w:tc>
      </w:tr>
      <w:tr>
        <w:trPr>
          <w:trHeight w:val="276" w:hRule="atLeast"/>
        </w:trPr>
        <w:tc>
          <w:tcPr>
            <w:tcW w:w="1224" w:type="dxa"/>
            <w:vAlign w:val="top"/>
            <w:tcBorders>
              <w:left w:val="nil"/>
            </w:tcBorders>
          </w:tcPr>
          <w:p>
            <w:pPr>
              <w:pStyle w:val="TableText"/>
              <w:ind w:left="310"/>
              <w:spacing w:before="37" w:line="201" w:lineRule="auto"/>
              <w:rPr/>
            </w:pPr>
            <w:r>
              <w:rPr>
                <w:spacing w:val="-2"/>
              </w:rPr>
              <w:t>推土机</w:t>
            </w:r>
          </w:p>
        </w:tc>
        <w:tc>
          <w:tcPr>
            <w:tcW w:w="578" w:type="dxa"/>
            <w:vAlign w:val="top"/>
          </w:tcPr>
          <w:p>
            <w:pPr>
              <w:ind w:left="188"/>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w:t>
            </w:r>
          </w:p>
        </w:tc>
        <w:tc>
          <w:tcPr>
            <w:tcW w:w="667" w:type="dxa"/>
            <w:vAlign w:val="top"/>
          </w:tcPr>
          <w:p>
            <w:pPr>
              <w:ind w:left="231"/>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624" w:type="dxa"/>
            <w:vAlign w:val="top"/>
          </w:tcPr>
          <w:p>
            <w:pPr>
              <w:ind w:left="214"/>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w:t>
            </w:r>
          </w:p>
        </w:tc>
        <w:tc>
          <w:tcPr>
            <w:tcW w:w="694" w:type="dxa"/>
            <w:vAlign w:val="top"/>
          </w:tcPr>
          <w:p>
            <w:pPr>
              <w:ind w:left="247"/>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64</w:t>
            </w:r>
          </w:p>
        </w:tc>
        <w:tc>
          <w:tcPr>
            <w:tcW w:w="622" w:type="dxa"/>
            <w:vAlign w:val="top"/>
          </w:tcPr>
          <w:p>
            <w:pPr>
              <w:ind w:left="211"/>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785" w:type="dxa"/>
            <w:vAlign w:val="top"/>
          </w:tcPr>
          <w:p>
            <w:pPr>
              <w:ind w:left="293"/>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58</w:t>
            </w:r>
          </w:p>
        </w:tc>
        <w:tc>
          <w:tcPr>
            <w:tcW w:w="600" w:type="dxa"/>
            <w:vAlign w:val="top"/>
          </w:tcPr>
          <w:p>
            <w:pPr>
              <w:ind w:left="202"/>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56</w:t>
            </w:r>
          </w:p>
        </w:tc>
        <w:tc>
          <w:tcPr>
            <w:tcW w:w="648" w:type="dxa"/>
            <w:vAlign w:val="top"/>
          </w:tcPr>
          <w:p>
            <w:pPr>
              <w:ind w:left="227"/>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54</w:t>
            </w:r>
          </w:p>
        </w:tc>
        <w:tc>
          <w:tcPr>
            <w:tcW w:w="648" w:type="dxa"/>
            <w:vAlign w:val="top"/>
          </w:tcPr>
          <w:p>
            <w:pPr>
              <w:ind w:left="224"/>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720" w:type="dxa"/>
            <w:vAlign w:val="top"/>
          </w:tcPr>
          <w:p>
            <w:pPr>
              <w:ind w:left="263"/>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28" w:type="dxa"/>
            <w:vAlign w:val="top"/>
            <w:tcBorders>
              <w:right w:val="nil"/>
            </w:tcBorders>
          </w:tcPr>
          <w:p>
            <w:pPr>
              <w:ind w:left="258"/>
              <w:spacing w:before="67" w:line="19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r>
      <w:tr>
        <w:trPr>
          <w:trHeight w:val="544" w:hRule="atLeast"/>
        </w:trPr>
        <w:tc>
          <w:tcPr>
            <w:tcW w:w="1224" w:type="dxa"/>
            <w:vAlign w:val="top"/>
            <w:tcBorders>
              <w:left w:val="nil"/>
            </w:tcBorders>
          </w:tcPr>
          <w:p>
            <w:pPr>
              <w:pStyle w:val="TableText"/>
              <w:ind w:left="520" w:right="179" w:hanging="314"/>
              <w:spacing w:before="40" w:line="217" w:lineRule="auto"/>
              <w:rPr/>
            </w:pPr>
            <w:r>
              <w:rPr>
                <w:spacing w:val="-2"/>
              </w:rPr>
              <w:t>砂浆搅拌</w:t>
            </w:r>
            <w:r>
              <w:rPr/>
              <w:t>机</w:t>
            </w:r>
          </w:p>
        </w:tc>
        <w:tc>
          <w:tcPr>
            <w:tcW w:w="578" w:type="dxa"/>
            <w:vAlign w:val="top"/>
          </w:tcPr>
          <w:p>
            <w:pPr>
              <w:ind w:left="192"/>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85</w:t>
            </w:r>
          </w:p>
        </w:tc>
        <w:tc>
          <w:tcPr>
            <w:tcW w:w="667" w:type="dxa"/>
            <w:vAlign w:val="top"/>
          </w:tcPr>
          <w:p>
            <w:pPr>
              <w:ind w:left="233"/>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624" w:type="dxa"/>
            <w:vAlign w:val="top"/>
          </w:tcPr>
          <w:p>
            <w:pPr>
              <w:ind w:left="214"/>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p>
        </w:tc>
        <w:tc>
          <w:tcPr>
            <w:tcW w:w="694" w:type="dxa"/>
            <w:vAlign w:val="top"/>
          </w:tcPr>
          <w:p>
            <w:pPr>
              <w:ind w:left="248"/>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59</w:t>
            </w:r>
          </w:p>
        </w:tc>
        <w:tc>
          <w:tcPr>
            <w:tcW w:w="622" w:type="dxa"/>
            <w:vAlign w:val="top"/>
          </w:tcPr>
          <w:p>
            <w:pPr>
              <w:ind w:left="212"/>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785" w:type="dxa"/>
            <w:vAlign w:val="top"/>
          </w:tcPr>
          <w:p>
            <w:pPr>
              <w:ind w:left="293"/>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600" w:type="dxa"/>
            <w:vAlign w:val="top"/>
          </w:tcPr>
          <w:p>
            <w:pPr>
              <w:ind w:left="202"/>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51</w:t>
            </w:r>
          </w:p>
        </w:tc>
        <w:tc>
          <w:tcPr>
            <w:tcW w:w="648" w:type="dxa"/>
            <w:vAlign w:val="top"/>
          </w:tcPr>
          <w:p>
            <w:pPr>
              <w:ind w:left="220"/>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648" w:type="dxa"/>
            <w:vAlign w:val="top"/>
          </w:tcPr>
          <w:p>
            <w:pPr>
              <w:ind w:left="217"/>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c>
          <w:tcPr>
            <w:tcW w:w="720" w:type="dxa"/>
            <w:vAlign w:val="top"/>
          </w:tcPr>
          <w:p>
            <w:pPr>
              <w:ind w:left="256"/>
              <w:spacing w:before="203"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728" w:type="dxa"/>
            <w:vAlign w:val="top"/>
            <w:tcBorders>
              <w:right w:val="nil"/>
            </w:tcBorders>
          </w:tcPr>
          <w:p>
            <w:pPr>
              <w:ind w:left="264"/>
              <w:spacing w:before="204"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39</w:t>
            </w:r>
          </w:p>
        </w:tc>
      </w:tr>
      <w:tr>
        <w:trPr>
          <w:trHeight w:val="545" w:hRule="atLeast"/>
        </w:trPr>
        <w:tc>
          <w:tcPr>
            <w:tcW w:w="1224" w:type="dxa"/>
            <w:vAlign w:val="top"/>
            <w:tcBorders>
              <w:left w:val="nil"/>
            </w:tcBorders>
          </w:tcPr>
          <w:p>
            <w:pPr>
              <w:pStyle w:val="TableText"/>
              <w:ind w:left="522" w:right="179" w:hanging="313"/>
              <w:spacing w:before="45" w:line="215" w:lineRule="auto"/>
              <w:rPr/>
            </w:pPr>
            <w:r>
              <w:rPr>
                <w:spacing w:val="-3"/>
              </w:rPr>
              <w:t>混凝土罐</w:t>
            </w:r>
            <w:r>
              <w:rPr/>
              <w:t>车</w:t>
            </w:r>
          </w:p>
        </w:tc>
        <w:tc>
          <w:tcPr>
            <w:tcW w:w="578" w:type="dxa"/>
            <w:vAlign w:val="top"/>
          </w:tcPr>
          <w:p>
            <w:pPr>
              <w:ind w:left="192"/>
              <w:spacing w:before="21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89</w:t>
            </w:r>
          </w:p>
        </w:tc>
        <w:tc>
          <w:tcPr>
            <w:tcW w:w="667" w:type="dxa"/>
            <w:vAlign w:val="top"/>
          </w:tcPr>
          <w:p>
            <w:pPr>
              <w:ind w:left="233"/>
              <w:spacing w:before="21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69</w:t>
            </w:r>
          </w:p>
        </w:tc>
        <w:tc>
          <w:tcPr>
            <w:tcW w:w="624" w:type="dxa"/>
            <w:vAlign w:val="top"/>
          </w:tcPr>
          <w:p>
            <w:pPr>
              <w:ind w:left="214"/>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694" w:type="dxa"/>
            <w:vAlign w:val="top"/>
          </w:tcPr>
          <w:p>
            <w:pPr>
              <w:ind w:left="247"/>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w:t>
            </w:r>
          </w:p>
        </w:tc>
        <w:tc>
          <w:tcPr>
            <w:tcW w:w="622" w:type="dxa"/>
            <w:vAlign w:val="top"/>
          </w:tcPr>
          <w:p>
            <w:pPr>
              <w:ind w:left="211"/>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785" w:type="dxa"/>
            <w:vAlign w:val="top"/>
          </w:tcPr>
          <w:p>
            <w:pPr>
              <w:ind w:left="293"/>
              <w:spacing w:before="21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57</w:t>
            </w:r>
          </w:p>
        </w:tc>
        <w:tc>
          <w:tcPr>
            <w:tcW w:w="600" w:type="dxa"/>
            <w:vAlign w:val="top"/>
          </w:tcPr>
          <w:p>
            <w:pPr>
              <w:ind w:left="202"/>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648" w:type="dxa"/>
            <w:vAlign w:val="top"/>
          </w:tcPr>
          <w:p>
            <w:pPr>
              <w:ind w:left="227"/>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648" w:type="dxa"/>
            <w:vAlign w:val="top"/>
          </w:tcPr>
          <w:p>
            <w:pPr>
              <w:ind w:left="224"/>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52</w:t>
            </w:r>
          </w:p>
        </w:tc>
        <w:tc>
          <w:tcPr>
            <w:tcW w:w="720" w:type="dxa"/>
            <w:vAlign w:val="top"/>
          </w:tcPr>
          <w:p>
            <w:pPr>
              <w:ind w:left="256"/>
              <w:spacing w:before="21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728" w:type="dxa"/>
            <w:vAlign w:val="top"/>
            <w:tcBorders>
              <w:right w:val="nil"/>
            </w:tcBorders>
          </w:tcPr>
          <w:p>
            <w:pPr>
              <w:ind w:left="258"/>
              <w:spacing w:before="20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r>
      <w:tr>
        <w:trPr>
          <w:trHeight w:val="276" w:hRule="atLeast"/>
        </w:trPr>
        <w:tc>
          <w:tcPr>
            <w:tcW w:w="1224" w:type="dxa"/>
            <w:vAlign w:val="top"/>
            <w:tcBorders>
              <w:left w:val="nil"/>
            </w:tcBorders>
          </w:tcPr>
          <w:p>
            <w:pPr>
              <w:pStyle w:val="TableText"/>
              <w:ind w:left="207"/>
              <w:spacing w:before="49" w:line="190" w:lineRule="auto"/>
              <w:rPr/>
            </w:pPr>
            <w:r>
              <w:rPr>
                <w:spacing w:val="-2"/>
              </w:rPr>
              <w:t>运输卡车</w:t>
            </w:r>
          </w:p>
        </w:tc>
        <w:tc>
          <w:tcPr>
            <w:tcW w:w="578" w:type="dxa"/>
            <w:vAlign w:val="top"/>
          </w:tcPr>
          <w:p>
            <w:pPr>
              <w:ind w:left="192"/>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87</w:t>
            </w:r>
          </w:p>
        </w:tc>
        <w:tc>
          <w:tcPr>
            <w:tcW w:w="667" w:type="dxa"/>
            <w:vAlign w:val="top"/>
          </w:tcPr>
          <w:p>
            <w:pPr>
              <w:ind w:left="23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w:t>
            </w:r>
          </w:p>
        </w:tc>
        <w:tc>
          <w:tcPr>
            <w:tcW w:w="624" w:type="dxa"/>
            <w:vAlign w:val="top"/>
          </w:tcPr>
          <w:p>
            <w:pPr>
              <w:ind w:left="214"/>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w:t>
            </w:r>
          </w:p>
        </w:tc>
        <w:tc>
          <w:tcPr>
            <w:tcW w:w="694" w:type="dxa"/>
            <w:vAlign w:val="top"/>
          </w:tcPr>
          <w:p>
            <w:pPr>
              <w:ind w:left="247"/>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w:t>
            </w:r>
          </w:p>
        </w:tc>
        <w:tc>
          <w:tcPr>
            <w:tcW w:w="622" w:type="dxa"/>
            <w:vAlign w:val="top"/>
          </w:tcPr>
          <w:p>
            <w:pPr>
              <w:ind w:left="212"/>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57</w:t>
            </w:r>
          </w:p>
        </w:tc>
        <w:tc>
          <w:tcPr>
            <w:tcW w:w="785" w:type="dxa"/>
            <w:vAlign w:val="top"/>
          </w:tcPr>
          <w:p>
            <w:pPr>
              <w:ind w:left="293"/>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600" w:type="dxa"/>
            <w:vAlign w:val="top"/>
          </w:tcPr>
          <w:p>
            <w:pPr>
              <w:ind w:left="202"/>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w:t>
            </w:r>
          </w:p>
        </w:tc>
        <w:tc>
          <w:tcPr>
            <w:tcW w:w="648" w:type="dxa"/>
            <w:vAlign w:val="top"/>
          </w:tcPr>
          <w:p>
            <w:pPr>
              <w:ind w:left="227"/>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51</w:t>
            </w:r>
          </w:p>
        </w:tc>
        <w:tc>
          <w:tcPr>
            <w:tcW w:w="648" w:type="dxa"/>
            <w:vAlign w:val="top"/>
          </w:tcPr>
          <w:p>
            <w:pPr>
              <w:ind w:left="224"/>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w:t>
            </w:r>
          </w:p>
        </w:tc>
        <w:tc>
          <w:tcPr>
            <w:tcW w:w="720" w:type="dxa"/>
            <w:vAlign w:val="top"/>
          </w:tcPr>
          <w:p>
            <w:pPr>
              <w:ind w:left="256"/>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47</w:t>
            </w:r>
          </w:p>
        </w:tc>
        <w:tc>
          <w:tcPr>
            <w:tcW w:w="728" w:type="dxa"/>
            <w:vAlign w:val="top"/>
            <w:tcBorders>
              <w:right w:val="nil"/>
            </w:tcBorders>
          </w:tcPr>
          <w:p>
            <w:pPr>
              <w:ind w:left="258"/>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r>
      <w:tr>
        <w:trPr>
          <w:trHeight w:val="299" w:hRule="atLeast"/>
        </w:trPr>
        <w:tc>
          <w:tcPr>
            <w:tcW w:w="1224" w:type="dxa"/>
            <w:vAlign w:val="top"/>
            <w:tcBorders>
              <w:left w:val="nil"/>
              <w:bottom w:val="single" w:color="000000" w:sz="10" w:space="0"/>
            </w:tcBorders>
          </w:tcPr>
          <w:p>
            <w:pPr>
              <w:pStyle w:val="TableText"/>
              <w:ind w:left="314"/>
              <w:spacing w:before="52" w:line="208" w:lineRule="auto"/>
              <w:rPr/>
            </w:pPr>
            <w:r>
              <w:rPr>
                <w:spacing w:val="-2"/>
              </w:rPr>
              <w:t>叠加值</w:t>
            </w:r>
          </w:p>
        </w:tc>
        <w:tc>
          <w:tcPr>
            <w:tcW w:w="578" w:type="dxa"/>
            <w:vAlign w:val="top"/>
            <w:tcBorders>
              <w:bottom w:val="single" w:color="000000" w:sz="10" w:space="0"/>
            </w:tcBorders>
          </w:tcPr>
          <w:p>
            <w:pPr>
              <w:rPr>
                <w:rFonts w:ascii="Arial"/>
                <w:sz w:val="21"/>
              </w:rPr>
            </w:pPr>
            <w:r/>
          </w:p>
        </w:tc>
        <w:tc>
          <w:tcPr>
            <w:tcW w:w="667" w:type="dxa"/>
            <w:vAlign w:val="top"/>
            <w:tcBorders>
              <w:bottom w:val="single" w:color="000000" w:sz="10" w:space="0"/>
            </w:tcBorders>
          </w:tcPr>
          <w:p>
            <w:pPr>
              <w:rPr>
                <w:rFonts w:ascii="Arial"/>
                <w:sz w:val="21"/>
              </w:rPr>
            </w:pPr>
            <w:r/>
          </w:p>
        </w:tc>
        <w:tc>
          <w:tcPr>
            <w:tcW w:w="624" w:type="dxa"/>
            <w:vAlign w:val="top"/>
            <w:tcBorders>
              <w:bottom w:val="single" w:color="000000" w:sz="10" w:space="0"/>
            </w:tcBorders>
          </w:tcPr>
          <w:p>
            <w:pPr>
              <w:rPr>
                <w:rFonts w:ascii="Arial"/>
                <w:sz w:val="21"/>
              </w:rPr>
            </w:pPr>
            <w:r/>
          </w:p>
        </w:tc>
        <w:tc>
          <w:tcPr>
            <w:tcW w:w="694" w:type="dxa"/>
            <w:vAlign w:val="top"/>
            <w:tcBorders>
              <w:bottom w:val="single" w:color="000000" w:sz="10" w:space="0"/>
            </w:tcBorders>
          </w:tcPr>
          <w:p>
            <w:pPr>
              <w:rPr>
                <w:rFonts w:ascii="Arial"/>
                <w:sz w:val="21"/>
              </w:rPr>
            </w:pPr>
            <w:r/>
          </w:p>
        </w:tc>
        <w:tc>
          <w:tcPr>
            <w:tcW w:w="622" w:type="dxa"/>
            <w:vAlign w:val="top"/>
            <w:tcBorders>
              <w:bottom w:val="single" w:color="000000" w:sz="10" w:space="0"/>
            </w:tcBorders>
          </w:tcPr>
          <w:p>
            <w:pPr>
              <w:rPr>
                <w:rFonts w:ascii="Arial"/>
                <w:sz w:val="21"/>
              </w:rPr>
            </w:pPr>
            <w:r/>
          </w:p>
        </w:tc>
        <w:tc>
          <w:tcPr>
            <w:tcW w:w="785" w:type="dxa"/>
            <w:vAlign w:val="top"/>
            <w:tcBorders>
              <w:bottom w:val="single" w:color="000000" w:sz="10" w:space="0"/>
            </w:tcBorders>
          </w:tcPr>
          <w:p>
            <w:pPr>
              <w:rPr>
                <w:rFonts w:ascii="Arial"/>
                <w:sz w:val="21"/>
              </w:rPr>
            </w:pPr>
            <w:r/>
          </w:p>
        </w:tc>
        <w:tc>
          <w:tcPr>
            <w:tcW w:w="600" w:type="dxa"/>
            <w:vAlign w:val="top"/>
            <w:tcBorders>
              <w:bottom w:val="single" w:color="000000" w:sz="10" w:space="0"/>
            </w:tcBorders>
          </w:tcPr>
          <w:p>
            <w:pPr>
              <w:rPr>
                <w:rFonts w:ascii="Arial"/>
                <w:sz w:val="21"/>
              </w:rPr>
            </w:pPr>
            <w:r/>
          </w:p>
        </w:tc>
        <w:tc>
          <w:tcPr>
            <w:tcW w:w="648" w:type="dxa"/>
            <w:vAlign w:val="top"/>
            <w:tcBorders>
              <w:bottom w:val="single" w:color="000000" w:sz="10" w:space="0"/>
            </w:tcBorders>
          </w:tcPr>
          <w:p>
            <w:pPr>
              <w:rPr>
                <w:rFonts w:ascii="Arial"/>
                <w:sz w:val="21"/>
              </w:rPr>
            </w:pPr>
            <w:r/>
          </w:p>
        </w:tc>
        <w:tc>
          <w:tcPr>
            <w:tcW w:w="648" w:type="dxa"/>
            <w:vAlign w:val="top"/>
            <w:tcBorders>
              <w:bottom w:val="single" w:color="000000" w:sz="10" w:space="0"/>
            </w:tcBorders>
          </w:tcPr>
          <w:p>
            <w:pPr>
              <w:rPr>
                <w:rFonts w:ascii="Arial"/>
                <w:sz w:val="21"/>
              </w:rPr>
            </w:pPr>
            <w:r/>
          </w:p>
        </w:tc>
        <w:tc>
          <w:tcPr>
            <w:tcW w:w="720" w:type="dxa"/>
            <w:vAlign w:val="top"/>
            <w:tcBorders>
              <w:bottom w:val="single" w:color="000000" w:sz="10" w:space="0"/>
            </w:tcBorders>
          </w:tcPr>
          <w:p>
            <w:pPr>
              <w:rPr>
                <w:rFonts w:ascii="Arial"/>
                <w:sz w:val="21"/>
              </w:rPr>
            </w:pPr>
            <w:r/>
          </w:p>
        </w:tc>
        <w:tc>
          <w:tcPr>
            <w:tcW w:w="728" w:type="dxa"/>
            <w:vAlign w:val="top"/>
            <w:tcBorders>
              <w:right w:val="nil"/>
              <w:bottom w:val="single" w:color="000000" w:sz="10" w:space="0"/>
            </w:tcBorders>
          </w:tcPr>
          <w:p>
            <w:pPr>
              <w:rPr>
                <w:rFonts w:ascii="Arial"/>
                <w:sz w:val="21"/>
              </w:rPr>
            </w:pPr>
            <w:r/>
          </w:p>
        </w:tc>
      </w:tr>
    </w:tbl>
    <w:p>
      <w:pPr>
        <w:ind w:left="130" w:right="85" w:firstLine="480"/>
        <w:spacing w:before="35" w:line="353" w:lineRule="auto"/>
        <w:jc w:val="both"/>
        <w:rPr>
          <w:rFonts w:ascii="SimSun" w:hAnsi="SimSun" w:eastAsia="SimSun" w:cs="SimSun"/>
          <w:sz w:val="24"/>
          <w:szCs w:val="24"/>
        </w:rPr>
      </w:pPr>
      <w:r>
        <w:rPr>
          <w:rFonts w:ascii="SimSun" w:hAnsi="SimSun" w:eastAsia="SimSun" w:cs="SimSun"/>
          <w:sz w:val="24"/>
          <w:szCs w:val="24"/>
          <w:spacing w:val="-5"/>
        </w:rPr>
        <w:t>根据表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5"/>
        </w:rPr>
        <w:t>5-3</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5"/>
        </w:rPr>
        <w:t>的预测结果，各施工机械昼间达标距离为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5"/>
        </w:rPr>
        <w:t>15m</w:t>
      </w:r>
      <w:r>
        <w:rPr>
          <w:rFonts w:ascii="SimSun" w:hAnsi="SimSun" w:eastAsia="SimSun" w:cs="SimSun"/>
          <w:sz w:val="24"/>
          <w:szCs w:val="24"/>
          <w:spacing w:val="-5"/>
        </w:rPr>
        <w:t>，夜间不施工，达标</w:t>
      </w:r>
      <w:r>
        <w:rPr>
          <w:rFonts w:ascii="SimSun" w:hAnsi="SimSun" w:eastAsia="SimSun" w:cs="SimSun"/>
          <w:sz w:val="24"/>
          <w:szCs w:val="24"/>
        </w:rPr>
        <w:t>距离在场界范围内，故场界环境噪声满足 </w:t>
      </w:r>
      <w:r>
        <w:rPr>
          <w:rFonts w:ascii="Times New Roman" w:hAnsi="Times New Roman" w:eastAsia="Times New Roman" w:cs="Times New Roman"/>
          <w:sz w:val="24"/>
          <w:szCs w:val="24"/>
        </w:rPr>
        <w:t>GB12523—2011</w:t>
      </w:r>
      <w:r>
        <w:rPr>
          <w:rFonts w:ascii="SimSun" w:hAnsi="SimSun" w:eastAsia="SimSun" w:cs="SimSun"/>
          <w:sz w:val="24"/>
          <w:szCs w:val="24"/>
        </w:rPr>
        <w:t>《建筑施工场界环境噪</w:t>
      </w:r>
      <w:r>
        <w:rPr>
          <w:rFonts w:ascii="SimSun" w:hAnsi="SimSun" w:eastAsia="SimSun" w:cs="SimSun"/>
          <w:sz w:val="24"/>
          <w:szCs w:val="24"/>
          <w:spacing w:val="-3"/>
        </w:rPr>
        <w:t>声排放标准》限值要求。</w:t>
      </w:r>
    </w:p>
    <w:p>
      <w:pPr>
        <w:ind w:left="131" w:right="87" w:firstLine="480"/>
        <w:spacing w:before="22" w:line="359" w:lineRule="auto"/>
        <w:jc w:val="both"/>
        <w:rPr>
          <w:rFonts w:ascii="SimSun" w:hAnsi="SimSun" w:eastAsia="SimSun" w:cs="SimSun"/>
          <w:sz w:val="24"/>
          <w:szCs w:val="24"/>
        </w:rPr>
      </w:pPr>
      <w:r>
        <w:rPr>
          <w:rFonts w:ascii="SimSun" w:hAnsi="SimSun" w:eastAsia="SimSun" w:cs="SimSun"/>
          <w:sz w:val="24"/>
          <w:szCs w:val="24"/>
          <w:spacing w:val="-1"/>
        </w:rPr>
        <w:t>本项目最近敏感点为西侧 </w:t>
      </w:r>
      <w:r>
        <w:rPr>
          <w:rFonts w:ascii="Times New Roman" w:hAnsi="Times New Roman" w:eastAsia="Times New Roman" w:cs="Times New Roman"/>
          <w:sz w:val="24"/>
          <w:szCs w:val="24"/>
          <w:spacing w:val="-1"/>
        </w:rPr>
        <w:t>4.5km  </w:t>
      </w:r>
      <w:r>
        <w:rPr>
          <w:rFonts w:ascii="SimSun" w:hAnsi="SimSun" w:eastAsia="SimSun" w:cs="SimSun"/>
          <w:sz w:val="24"/>
          <w:szCs w:val="24"/>
          <w:spacing w:val="-1"/>
        </w:rPr>
        <w:t>处锡林浩特市居民，距离较远，对其影响不</w:t>
      </w:r>
      <w:r>
        <w:rPr>
          <w:rFonts w:ascii="SimSun" w:hAnsi="SimSun" w:eastAsia="SimSun" w:cs="SimSun"/>
          <w:sz w:val="24"/>
          <w:szCs w:val="24"/>
          <w:spacing w:val="3"/>
        </w:rPr>
        <w:t>大，本次评价建议采用低噪音的工艺和施工</w:t>
      </w:r>
      <w:r>
        <w:rPr>
          <w:rFonts w:ascii="SimSun" w:hAnsi="SimSun" w:eastAsia="SimSun" w:cs="SimSun"/>
          <w:sz w:val="24"/>
          <w:szCs w:val="24"/>
          <w:spacing w:val="2"/>
        </w:rPr>
        <w:t>方法，选用低噪音的机械设备设施，</w:t>
      </w:r>
      <w:r>
        <w:rPr>
          <w:rFonts w:ascii="SimSun" w:hAnsi="SimSun" w:eastAsia="SimSun" w:cs="SimSun"/>
          <w:sz w:val="24"/>
          <w:szCs w:val="24"/>
          <w:spacing w:val="3"/>
        </w:rPr>
        <w:t>运输车辆进入施工现场限速、禁鸣等措施。施</w:t>
      </w:r>
      <w:r>
        <w:rPr>
          <w:rFonts w:ascii="SimSun" w:hAnsi="SimSun" w:eastAsia="SimSun" w:cs="SimSun"/>
          <w:sz w:val="24"/>
          <w:szCs w:val="24"/>
          <w:spacing w:val="2"/>
        </w:rPr>
        <w:t>工期噪声影响会随着施工期的结束</w:t>
      </w:r>
      <w:r>
        <w:rPr>
          <w:rFonts w:ascii="SimSun" w:hAnsi="SimSun" w:eastAsia="SimSun" w:cs="SimSun"/>
          <w:sz w:val="24"/>
          <w:szCs w:val="24"/>
          <w:spacing w:val="-4"/>
        </w:rPr>
        <w:t>而结束，影响只是暂时的。</w:t>
      </w:r>
    </w:p>
    <w:p>
      <w:pPr>
        <w:pStyle w:val="BodyText"/>
        <w:spacing w:line="264" w:lineRule="auto"/>
        <w:rPr/>
      </w:pPr>
      <w:r/>
    </w:p>
    <w:p>
      <w:pPr>
        <w:ind w:left="130"/>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5.1.4 </w:t>
      </w:r>
      <w:r>
        <w:rPr>
          <w:rFonts w:ascii="SimSun" w:hAnsi="SimSun" w:eastAsia="SimSun" w:cs="SimSun"/>
          <w:sz w:val="24"/>
          <w:szCs w:val="24"/>
          <w:b/>
          <w:bCs/>
          <w:spacing w:val="-2"/>
        </w:rPr>
        <w:t>施工期固体废物环境影响分析</w:t>
      </w:r>
    </w:p>
    <w:p>
      <w:pPr>
        <w:pStyle w:val="BodyText"/>
        <w:spacing w:line="261" w:lineRule="auto"/>
        <w:rPr/>
      </w:pPr>
      <w:r/>
    </w:p>
    <w:p>
      <w:pPr>
        <w:ind w:left="610"/>
        <w:spacing w:before="79" w:line="220" w:lineRule="auto"/>
        <w:rPr>
          <w:rFonts w:ascii="SimSun" w:hAnsi="SimSun" w:eastAsia="SimSun" w:cs="SimSun"/>
          <w:sz w:val="24"/>
          <w:szCs w:val="24"/>
        </w:rPr>
      </w:pPr>
      <w:r>
        <w:rPr>
          <w:rFonts w:ascii="SimSun" w:hAnsi="SimSun" w:eastAsia="SimSun" w:cs="SimSun"/>
          <w:sz w:val="24"/>
          <w:szCs w:val="24"/>
          <w:spacing w:val="-3"/>
        </w:rPr>
        <w:t>施工期固废物主要包括施工垃圾和生活垃圾。</w:t>
      </w:r>
    </w:p>
    <w:p>
      <w:pPr>
        <w:ind w:left="618"/>
        <w:spacing w:before="182"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）施工垃圾</w:t>
      </w:r>
    </w:p>
    <w:p>
      <w:pPr>
        <w:spacing w:line="234" w:lineRule="auto"/>
        <w:sectPr>
          <w:headerReference w:type="default" r:id="rId122"/>
          <w:footerReference w:type="default" r:id="rId123"/>
          <w:pgSz w:w="11907" w:h="16839"/>
          <w:pgMar w:top="1442" w:right="1611" w:bottom="1235" w:left="1579" w:header="1064" w:footer="992" w:gutter="0"/>
        </w:sectPr>
        <w:rPr>
          <w:rFonts w:ascii="SimSun" w:hAnsi="SimSun" w:eastAsia="SimSun" w:cs="SimSun"/>
          <w:sz w:val="24"/>
          <w:szCs w:val="24"/>
        </w:rPr>
      </w:pPr>
    </w:p>
    <w:p>
      <w:pPr>
        <w:ind w:left="106" w:right="67" w:firstLine="479"/>
        <w:spacing w:before="293" w:line="359" w:lineRule="auto"/>
        <w:jc w:val="both"/>
        <w:rPr>
          <w:rFonts w:ascii="SimSun" w:hAnsi="SimSun" w:eastAsia="SimSun" w:cs="SimSun"/>
          <w:sz w:val="24"/>
          <w:szCs w:val="24"/>
        </w:rPr>
      </w:pPr>
      <w:r>
        <w:rPr>
          <w:rFonts w:ascii="SimSun" w:hAnsi="SimSun" w:eastAsia="SimSun" w:cs="SimSun"/>
          <w:sz w:val="24"/>
          <w:szCs w:val="24"/>
          <w:spacing w:val="3"/>
        </w:rPr>
        <w:t>本项目工程进入施工阶段要产生大量的建筑垃圾，主要是一些</w:t>
      </w:r>
      <w:r>
        <w:rPr>
          <w:rFonts w:ascii="SimSun" w:hAnsi="SimSun" w:eastAsia="SimSun" w:cs="SimSun"/>
          <w:sz w:val="24"/>
          <w:szCs w:val="24"/>
          <w:spacing w:val="2"/>
        </w:rPr>
        <w:t>废弃的砖瓦砂</w:t>
      </w:r>
      <w:r>
        <w:rPr>
          <w:rFonts w:ascii="SimSun" w:hAnsi="SimSun" w:eastAsia="SimSun" w:cs="SimSun"/>
          <w:sz w:val="24"/>
          <w:szCs w:val="24"/>
          <w:spacing w:val="2"/>
        </w:rPr>
        <w:t>石、水泥以及装修废物等。如任意排放，可造成将来厂区内土壤破坏，如土壤板</w:t>
      </w:r>
      <w:r>
        <w:rPr>
          <w:rFonts w:ascii="SimSun" w:hAnsi="SimSun" w:eastAsia="SimSun" w:cs="SimSun"/>
          <w:sz w:val="24"/>
          <w:szCs w:val="24"/>
          <w:spacing w:val="2"/>
        </w:rPr>
        <w:t>结等，给未来厂区绿化造成困难。建议建筑垃圾应及时清运至各建筑工地作地基</w:t>
      </w:r>
      <w:r>
        <w:rPr>
          <w:rFonts w:ascii="SimSun" w:hAnsi="SimSun" w:eastAsia="SimSun" w:cs="SimSun"/>
          <w:sz w:val="24"/>
          <w:szCs w:val="24"/>
          <w:spacing w:val="-1"/>
        </w:rPr>
        <w:t>填土使用。通过采取上述措施后，对周围环境影响不大。</w:t>
      </w:r>
    </w:p>
    <w:p>
      <w:pPr>
        <w:ind w:left="591"/>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）生活垃圾</w:t>
      </w:r>
    </w:p>
    <w:p>
      <w:pPr>
        <w:ind w:left="104" w:right="79" w:firstLine="481"/>
        <w:spacing w:before="162" w:line="353" w:lineRule="auto"/>
        <w:rPr>
          <w:rFonts w:ascii="SimSun" w:hAnsi="SimSun" w:eastAsia="SimSun" w:cs="SimSun"/>
          <w:sz w:val="24"/>
          <w:szCs w:val="24"/>
        </w:rPr>
      </w:pPr>
      <w:r>
        <w:rPr>
          <w:rFonts w:ascii="SimSun" w:hAnsi="SimSun" w:eastAsia="SimSun" w:cs="SimSun"/>
          <w:sz w:val="24"/>
          <w:szCs w:val="24"/>
          <w:spacing w:val="-2"/>
        </w:rPr>
        <w:t>本项目施工期平均人数为 </w:t>
      </w:r>
      <w:r>
        <w:rPr>
          <w:rFonts w:ascii="Times New Roman" w:hAnsi="Times New Roman" w:eastAsia="Times New Roman" w:cs="Times New Roman"/>
          <w:sz w:val="24"/>
          <w:szCs w:val="24"/>
          <w:spacing w:val="-2"/>
        </w:rPr>
        <w:t>10</w:t>
      </w:r>
      <w:r>
        <w:rPr>
          <w:rFonts w:ascii="Times New Roman" w:hAnsi="Times New Roman" w:eastAsia="Times New Roman" w:cs="Times New Roman"/>
          <w:sz w:val="24"/>
          <w:szCs w:val="24"/>
          <w:spacing w:val="37"/>
          <w:w w:val="101"/>
        </w:rPr>
        <w:t xml:space="preserve"> </w:t>
      </w:r>
      <w:r>
        <w:rPr>
          <w:rFonts w:ascii="SimSun" w:hAnsi="SimSun" w:eastAsia="SimSun" w:cs="SimSun"/>
          <w:sz w:val="24"/>
          <w:szCs w:val="24"/>
          <w:spacing w:val="-2"/>
        </w:rPr>
        <w:t>人，施工期固废物产生量按</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2"/>
        </w:rPr>
        <w:t>0.5kg/d·</w:t>
      </w:r>
      <w:r>
        <w:rPr>
          <w:rFonts w:ascii="SimSun" w:hAnsi="SimSun" w:eastAsia="SimSun" w:cs="SimSun"/>
          <w:sz w:val="24"/>
          <w:szCs w:val="24"/>
          <w:spacing w:val="-2"/>
        </w:rPr>
        <w:t>人，则施工</w:t>
      </w:r>
      <w:r>
        <w:rPr>
          <w:rFonts w:ascii="SimSun" w:hAnsi="SimSun" w:eastAsia="SimSun" w:cs="SimSun"/>
          <w:sz w:val="24"/>
          <w:szCs w:val="24"/>
          <w:spacing w:val="-1"/>
        </w:rPr>
        <w:t>期排放量约</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0.005t/d</w:t>
      </w:r>
      <w:r>
        <w:rPr>
          <w:rFonts w:ascii="SimSun" w:hAnsi="SimSun" w:eastAsia="SimSun" w:cs="SimSun"/>
          <w:sz w:val="24"/>
          <w:szCs w:val="24"/>
          <w:spacing w:val="-1"/>
        </w:rPr>
        <w:t>，生活垃圾应设置专</w:t>
      </w:r>
      <w:r>
        <w:rPr>
          <w:rFonts w:ascii="SimSun" w:hAnsi="SimSun" w:eastAsia="SimSun" w:cs="SimSun"/>
          <w:sz w:val="24"/>
          <w:szCs w:val="24"/>
          <w:spacing w:val="-2"/>
        </w:rPr>
        <w:t>门生活垃圾箱，由环卫部门清运处理，在</w:t>
      </w:r>
      <w:r>
        <w:rPr>
          <w:rFonts w:ascii="SimSun" w:hAnsi="SimSun" w:eastAsia="SimSun" w:cs="SimSun"/>
          <w:sz w:val="24"/>
          <w:szCs w:val="24"/>
          <w:spacing w:val="-3"/>
        </w:rPr>
        <w:t>采取上述措施后对环境影响程度不大。</w:t>
      </w:r>
    </w:p>
    <w:p>
      <w:pPr>
        <w:pStyle w:val="BodyText"/>
        <w:spacing w:line="285" w:lineRule="auto"/>
        <w:rPr/>
      </w:pPr>
      <w:r/>
    </w:p>
    <w:p>
      <w:pPr>
        <w:ind w:left="104"/>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5.1.5 </w:t>
      </w:r>
      <w:r>
        <w:rPr>
          <w:rFonts w:ascii="SimSun" w:hAnsi="SimSun" w:eastAsia="SimSun" w:cs="SimSun"/>
          <w:sz w:val="24"/>
          <w:szCs w:val="24"/>
          <w:b/>
          <w:bCs/>
          <w:spacing w:val="-2"/>
        </w:rPr>
        <w:t>施工期生态环境影响分析</w:t>
      </w:r>
    </w:p>
    <w:p>
      <w:pPr>
        <w:pStyle w:val="BodyText"/>
        <w:spacing w:line="342" w:lineRule="auto"/>
        <w:rPr/>
      </w:pPr>
      <w:r/>
    </w:p>
    <w:p>
      <w:pPr>
        <w:ind w:left="591"/>
        <w:spacing w:before="78"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）对生态系统的影响分析</w:t>
      </w:r>
    </w:p>
    <w:p>
      <w:pPr>
        <w:ind w:left="105" w:right="69" w:firstLine="480"/>
        <w:spacing w:before="164" w:line="360" w:lineRule="auto"/>
        <w:rPr>
          <w:rFonts w:ascii="SimSun" w:hAnsi="SimSun" w:eastAsia="SimSun" w:cs="SimSun"/>
          <w:sz w:val="24"/>
          <w:szCs w:val="24"/>
        </w:rPr>
      </w:pPr>
      <w:r>
        <w:rPr>
          <w:rFonts w:ascii="SimSun" w:hAnsi="SimSun" w:eastAsia="SimSun" w:cs="SimSun"/>
          <w:sz w:val="24"/>
          <w:szCs w:val="24"/>
          <w:spacing w:val="3"/>
        </w:rPr>
        <w:t>本项目租用锡林浩特市额尔敦街道办事处新兴社区沃源奶牛</w:t>
      </w:r>
      <w:r>
        <w:rPr>
          <w:rFonts w:ascii="SimSun" w:hAnsi="SimSun" w:eastAsia="SimSun" w:cs="SimSun"/>
          <w:sz w:val="24"/>
          <w:szCs w:val="24"/>
          <w:spacing w:val="2"/>
        </w:rPr>
        <w:t>场用地，不新占</w:t>
      </w:r>
      <w:r>
        <w:rPr>
          <w:rFonts w:ascii="SimSun" w:hAnsi="SimSun" w:eastAsia="SimSun" w:cs="SimSun"/>
          <w:sz w:val="24"/>
          <w:szCs w:val="24"/>
          <w:spacing w:val="3"/>
        </w:rPr>
        <w:t>用农田及草地，现状为荒草地，厂区周围分布牧草</w:t>
      </w:r>
      <w:r>
        <w:rPr>
          <w:rFonts w:ascii="SimSun" w:hAnsi="SimSun" w:eastAsia="SimSun" w:cs="SimSun"/>
          <w:sz w:val="24"/>
          <w:szCs w:val="24"/>
          <w:spacing w:val="2"/>
        </w:rPr>
        <w:t>地，施工过程风吹起的扬尘在</w:t>
      </w:r>
      <w:r>
        <w:rPr>
          <w:rFonts w:ascii="SimSun" w:hAnsi="SimSun" w:eastAsia="SimSun" w:cs="SimSun"/>
          <w:sz w:val="24"/>
          <w:szCs w:val="24"/>
          <w:spacing w:val="2"/>
        </w:rPr>
        <w:t>随风飘落到植物的嫩枝、新梢等组织上后，将影响植物的光合作用，妨碍植物生</w:t>
      </w:r>
      <w:r>
        <w:rPr>
          <w:rFonts w:ascii="SimSun" w:hAnsi="SimSun" w:eastAsia="SimSun" w:cs="SimSun"/>
          <w:sz w:val="24"/>
          <w:szCs w:val="24"/>
          <w:spacing w:val="2"/>
        </w:rPr>
        <w:t>长，减少产量，施工期加强洒水降尘措施，大风天停止施工等防尘措施，粉尘影</w:t>
      </w:r>
      <w:r>
        <w:rPr>
          <w:rFonts w:ascii="SimSun" w:hAnsi="SimSun" w:eastAsia="SimSun" w:cs="SimSun"/>
          <w:sz w:val="24"/>
          <w:szCs w:val="24"/>
          <w:spacing w:val="2"/>
        </w:rPr>
        <w:t>响和污染程度会明显减轻，一般不会对区域内的植被产生太大的不利影响，且该</w:t>
      </w:r>
      <w:r>
        <w:rPr>
          <w:rFonts w:ascii="SimSun" w:hAnsi="SimSun" w:eastAsia="SimSun" w:cs="SimSun"/>
          <w:sz w:val="24"/>
          <w:szCs w:val="24"/>
          <w:spacing w:val="2"/>
        </w:rPr>
        <w:t>影响主要体现在施工期，随着施工期的结束，这种影响也将消失，因此，粉尘对</w:t>
      </w:r>
      <w:r>
        <w:rPr>
          <w:rFonts w:ascii="SimSun" w:hAnsi="SimSun" w:eastAsia="SimSun" w:cs="SimSun"/>
          <w:sz w:val="24"/>
          <w:szCs w:val="24"/>
          <w:spacing w:val="-4"/>
        </w:rPr>
        <w:t>植被的不良影响不大。</w:t>
      </w:r>
    </w:p>
    <w:p>
      <w:pPr>
        <w:ind w:left="591"/>
        <w:spacing w:before="1"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）施工期水土流失影响</w:t>
      </w:r>
    </w:p>
    <w:p>
      <w:pPr>
        <w:ind w:left="107" w:right="77" w:firstLine="478"/>
        <w:spacing w:before="165" w:line="360" w:lineRule="auto"/>
        <w:rPr>
          <w:rFonts w:ascii="SimSun" w:hAnsi="SimSun" w:eastAsia="SimSun" w:cs="SimSun"/>
          <w:sz w:val="24"/>
          <w:szCs w:val="24"/>
        </w:rPr>
      </w:pPr>
      <w:r>
        <w:rPr>
          <w:rFonts w:ascii="SimSun" w:hAnsi="SimSun" w:eastAsia="SimSun" w:cs="SimSun"/>
          <w:sz w:val="24"/>
          <w:szCs w:val="24"/>
          <w:spacing w:val="2"/>
        </w:rPr>
        <w:t>本工程施工过程中将进行土石方的填挖，不仅需要动用土石方，而且有大量</w:t>
      </w:r>
      <w:r>
        <w:rPr>
          <w:rFonts w:ascii="SimSun" w:hAnsi="SimSun" w:eastAsia="SimSun" w:cs="SimSun"/>
          <w:sz w:val="24"/>
          <w:szCs w:val="24"/>
          <w:spacing w:val="2"/>
        </w:rPr>
        <w:t>的施工机械及人员活动。施工期对区域生态环境的影响主要表现为土壤扰动后，</w:t>
      </w:r>
      <w:r>
        <w:rPr>
          <w:rFonts w:ascii="SimSun" w:hAnsi="SimSun" w:eastAsia="SimSun" w:cs="SimSun"/>
          <w:sz w:val="24"/>
          <w:szCs w:val="24"/>
          <w:spacing w:val="-3"/>
        </w:rPr>
        <w:t>可能造成土壤的侵蚀及水土流失。</w:t>
      </w:r>
    </w:p>
    <w:p>
      <w:pPr>
        <w:ind w:left="584"/>
        <w:spacing w:before="1" w:line="217" w:lineRule="auto"/>
        <w:rPr>
          <w:rFonts w:ascii="SimSun" w:hAnsi="SimSun" w:eastAsia="SimSun" w:cs="SimSun"/>
          <w:sz w:val="24"/>
          <w:szCs w:val="24"/>
        </w:rPr>
      </w:pPr>
      <w:r>
        <w:rPr>
          <w:rFonts w:ascii="SimSun" w:hAnsi="SimSun" w:eastAsia="SimSun" w:cs="SimSun"/>
          <w:sz w:val="24"/>
          <w:szCs w:val="24"/>
          <w:spacing w:val="-1"/>
        </w:rPr>
        <w:t>①施工扰动土壤面积</w:t>
      </w:r>
    </w:p>
    <w:p>
      <w:pPr>
        <w:ind w:left="106" w:right="77" w:firstLine="479"/>
        <w:spacing w:before="168" w:line="353" w:lineRule="auto"/>
        <w:rPr>
          <w:rFonts w:ascii="SimSun" w:hAnsi="SimSun" w:eastAsia="SimSun" w:cs="SimSun"/>
          <w:sz w:val="24"/>
          <w:szCs w:val="24"/>
        </w:rPr>
      </w:pPr>
      <w:r>
        <w:rPr>
          <w:rFonts w:ascii="SimSun" w:hAnsi="SimSun" w:eastAsia="SimSun" w:cs="SimSun"/>
          <w:sz w:val="24"/>
          <w:szCs w:val="24"/>
          <w:spacing w:val="-3"/>
        </w:rPr>
        <w:t>本工程总占地面积为</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3"/>
        </w:rPr>
        <w:t>66300m</w:t>
      </w:r>
      <w:r>
        <w:rPr>
          <w:rFonts w:ascii="Times New Roman" w:hAnsi="Times New Roman" w:eastAsia="Times New Roman" w:cs="Times New Roman"/>
          <w:sz w:val="16"/>
          <w:szCs w:val="16"/>
          <w:spacing w:val="-3"/>
          <w:position w:val="10"/>
        </w:rPr>
        <w:t>2</w:t>
      </w:r>
      <w:r>
        <w:rPr>
          <w:rFonts w:ascii="SimSun" w:hAnsi="SimSun" w:eastAsia="SimSun" w:cs="SimSun"/>
          <w:sz w:val="24"/>
          <w:szCs w:val="24"/>
          <w:spacing w:val="-3"/>
        </w:rPr>
        <w:t>，施工期对区</w:t>
      </w:r>
      <w:r>
        <w:rPr>
          <w:rFonts w:ascii="SimSun" w:hAnsi="SimSun" w:eastAsia="SimSun" w:cs="SimSun"/>
          <w:sz w:val="24"/>
          <w:szCs w:val="24"/>
          <w:spacing w:val="-4"/>
        </w:rPr>
        <w:t>域生态环境的影响主要表现为区域</w:t>
      </w:r>
      <w:r>
        <w:rPr>
          <w:rFonts w:ascii="SimSun" w:hAnsi="SimSun" w:eastAsia="SimSun" w:cs="SimSun"/>
          <w:sz w:val="24"/>
          <w:szCs w:val="24"/>
          <w:spacing w:val="-2"/>
        </w:rPr>
        <w:t>土石方填挖等扰动土壤后，可能造成土壤的侵蚀及水土流失。</w:t>
      </w:r>
    </w:p>
    <w:p>
      <w:pPr>
        <w:ind w:left="583"/>
        <w:spacing w:before="29" w:line="217" w:lineRule="auto"/>
        <w:rPr>
          <w:rFonts w:ascii="SimSun" w:hAnsi="SimSun" w:eastAsia="SimSun" w:cs="SimSun"/>
          <w:sz w:val="24"/>
          <w:szCs w:val="24"/>
        </w:rPr>
      </w:pPr>
      <w:r>
        <w:rPr>
          <w:rFonts w:ascii="SimSun" w:hAnsi="SimSun" w:eastAsia="SimSun" w:cs="SimSun"/>
          <w:sz w:val="24"/>
          <w:szCs w:val="24"/>
          <w:spacing w:val="-2"/>
        </w:rPr>
        <w:t>②水土流失预测</w:t>
      </w:r>
    </w:p>
    <w:p>
      <w:pPr>
        <w:ind w:left="584"/>
        <w:spacing w:before="185" w:line="234" w:lineRule="auto"/>
        <w:rPr>
          <w:rFonts w:ascii="SimSun" w:hAnsi="SimSun" w:eastAsia="SimSun" w:cs="SimSun"/>
          <w:sz w:val="24"/>
          <w:szCs w:val="24"/>
        </w:rPr>
      </w:pPr>
      <w:r>
        <w:rPr>
          <w:rFonts w:ascii="Times New Roman" w:hAnsi="Times New Roman" w:eastAsia="Times New Roman" w:cs="Times New Roman"/>
          <w:sz w:val="24"/>
          <w:szCs w:val="24"/>
          <w:spacing w:val="-1"/>
        </w:rPr>
        <w:t>a </w:t>
      </w:r>
      <w:r>
        <w:rPr>
          <w:rFonts w:ascii="SimSun" w:hAnsi="SimSun" w:eastAsia="SimSun" w:cs="SimSun"/>
          <w:sz w:val="24"/>
          <w:szCs w:val="24"/>
          <w:spacing w:val="-1"/>
        </w:rPr>
        <w:t>预测时段的划分</w:t>
      </w:r>
    </w:p>
    <w:p>
      <w:pPr>
        <w:ind w:left="585"/>
        <w:spacing w:before="164" w:line="219" w:lineRule="auto"/>
        <w:rPr>
          <w:rFonts w:ascii="SimSun" w:hAnsi="SimSun" w:eastAsia="SimSun" w:cs="SimSun"/>
          <w:sz w:val="24"/>
          <w:szCs w:val="24"/>
        </w:rPr>
      </w:pPr>
      <w:r>
        <w:rPr>
          <w:rFonts w:ascii="SimSun" w:hAnsi="SimSun" w:eastAsia="SimSun" w:cs="SimSun"/>
          <w:sz w:val="24"/>
          <w:szCs w:val="24"/>
          <w:spacing w:val="2"/>
        </w:rPr>
        <w:t>根据本工程建设特点、施工方法及工期，该工程在建设期内由于平整土地、</w:t>
      </w:r>
    </w:p>
    <w:p>
      <w:pPr>
        <w:spacing w:line="219" w:lineRule="auto"/>
        <w:sectPr>
          <w:headerReference w:type="default" r:id="rId124"/>
          <w:footerReference w:type="default" r:id="rId125"/>
          <w:pgSz w:w="11907" w:h="16839"/>
          <w:pgMar w:top="1442" w:right="1631" w:bottom="1235" w:left="1606" w:header="1064" w:footer="992" w:gutter="0"/>
        </w:sectPr>
        <w:rPr>
          <w:rFonts w:ascii="SimSun" w:hAnsi="SimSun" w:eastAsia="SimSun" w:cs="SimSun"/>
          <w:sz w:val="24"/>
          <w:szCs w:val="24"/>
        </w:rPr>
      </w:pPr>
    </w:p>
    <w:p>
      <w:pPr>
        <w:pStyle w:val="BodyText"/>
        <w:spacing w:line="292" w:lineRule="auto"/>
        <w:rPr/>
      </w:pPr>
      <w:r/>
    </w:p>
    <w:p>
      <w:pPr>
        <w:ind w:left="133" w:right="120" w:hanging="3"/>
        <w:spacing w:before="78" w:line="360" w:lineRule="auto"/>
        <w:jc w:val="both"/>
        <w:rPr>
          <w:rFonts w:ascii="SimSun" w:hAnsi="SimSun" w:eastAsia="SimSun" w:cs="SimSun"/>
          <w:sz w:val="24"/>
          <w:szCs w:val="24"/>
        </w:rPr>
      </w:pPr>
      <w:r>
        <w:rPr>
          <w:rFonts w:ascii="SimSun" w:hAnsi="SimSun" w:eastAsia="SimSun" w:cs="SimSun"/>
          <w:sz w:val="24"/>
          <w:szCs w:val="24"/>
          <w:spacing w:val="1"/>
        </w:rPr>
        <w:t>挖填土方，</w:t>
      </w:r>
      <w:r>
        <w:rPr>
          <w:rFonts w:ascii="SimSun" w:hAnsi="SimSun" w:eastAsia="SimSun" w:cs="SimSun"/>
          <w:sz w:val="24"/>
          <w:szCs w:val="24"/>
          <w:spacing w:val="-65"/>
        </w:rPr>
        <w:t xml:space="preserve"> </w:t>
      </w:r>
      <w:r>
        <w:rPr>
          <w:rFonts w:ascii="SimSun" w:hAnsi="SimSun" w:eastAsia="SimSun" w:cs="SimSun"/>
          <w:sz w:val="24"/>
          <w:szCs w:val="24"/>
          <w:spacing w:val="1"/>
        </w:rPr>
        <w:t>占地将扰动土壤，引起水土流失，而工程运行期已经对上</w:t>
      </w:r>
      <w:r>
        <w:rPr>
          <w:rFonts w:ascii="SimSun" w:hAnsi="SimSun" w:eastAsia="SimSun" w:cs="SimSun"/>
          <w:sz w:val="24"/>
          <w:szCs w:val="24"/>
        </w:rPr>
        <w:t>述责任区采</w:t>
      </w:r>
      <w:r>
        <w:rPr>
          <w:rFonts w:ascii="SimSun" w:hAnsi="SimSun" w:eastAsia="SimSun" w:cs="SimSun"/>
          <w:sz w:val="24"/>
          <w:szCs w:val="24"/>
          <w:spacing w:val="2"/>
        </w:rPr>
        <w:t>取了水土保护措施，不再涉及水土流失问题，因此确定工程水土流失预测时段为</w:t>
      </w:r>
      <w:r>
        <w:rPr>
          <w:rFonts w:ascii="SimSun" w:hAnsi="SimSun" w:eastAsia="SimSun" w:cs="SimSun"/>
          <w:sz w:val="24"/>
          <w:szCs w:val="24"/>
          <w:spacing w:val="-2"/>
        </w:rPr>
        <w:t>工程建设期，本工程土建施工期为</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2"/>
        </w:rPr>
        <w:t>0.5a</w:t>
      </w:r>
      <w:r>
        <w:rPr>
          <w:rFonts w:ascii="SimSun" w:hAnsi="SimSun" w:eastAsia="SimSun" w:cs="SimSun"/>
          <w:sz w:val="24"/>
          <w:szCs w:val="24"/>
          <w:spacing w:val="-2"/>
        </w:rPr>
        <w:t>。</w:t>
      </w:r>
    </w:p>
    <w:p>
      <w:pPr>
        <w:ind w:left="602"/>
        <w:spacing w:line="234" w:lineRule="auto"/>
        <w:rPr>
          <w:rFonts w:ascii="SimSun" w:hAnsi="SimSun" w:eastAsia="SimSun" w:cs="SimSun"/>
          <w:sz w:val="24"/>
          <w:szCs w:val="24"/>
        </w:rPr>
      </w:pP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2"/>
        </w:rPr>
        <w:t>预测方法</w:t>
      </w:r>
    </w:p>
    <w:p>
      <w:pPr>
        <w:ind w:left="132" w:right="45" w:firstLine="478"/>
        <w:spacing w:before="164" w:line="361" w:lineRule="auto"/>
        <w:rPr>
          <w:rFonts w:ascii="SimSun" w:hAnsi="SimSun" w:eastAsia="SimSun" w:cs="SimSun"/>
          <w:sz w:val="24"/>
          <w:szCs w:val="24"/>
        </w:rPr>
      </w:pPr>
      <w:r>
        <w:rPr>
          <w:rFonts w:ascii="SimSun" w:hAnsi="SimSun" w:eastAsia="SimSun" w:cs="SimSun"/>
          <w:sz w:val="24"/>
          <w:szCs w:val="24"/>
          <w:spacing w:val="3"/>
        </w:rPr>
        <w:t>根据项目区域土壤侵蚀的背景资料和工程建</w:t>
      </w:r>
      <w:r>
        <w:rPr>
          <w:rFonts w:ascii="SimSun" w:hAnsi="SimSun" w:eastAsia="SimSun" w:cs="SimSun"/>
          <w:sz w:val="24"/>
          <w:szCs w:val="24"/>
          <w:spacing w:val="2"/>
        </w:rPr>
        <w:t>设特点，水土流失预测将采用专</w:t>
      </w:r>
      <w:r>
        <w:rPr>
          <w:rFonts w:ascii="SimSun" w:hAnsi="SimSun" w:eastAsia="SimSun" w:cs="SimSun"/>
          <w:sz w:val="24"/>
          <w:szCs w:val="24"/>
          <w:spacing w:val="2"/>
        </w:rPr>
        <w:t>家预测和经验公式法，确定原土地利用条件下的水土流失背景值；另一方面要通</w:t>
      </w:r>
      <w:r>
        <w:rPr>
          <w:rFonts w:ascii="SimSun" w:hAnsi="SimSun" w:eastAsia="SimSun" w:cs="SimSun"/>
          <w:sz w:val="24"/>
          <w:szCs w:val="24"/>
          <w:spacing w:val="-7"/>
        </w:rPr>
        <w:t>过相关的调查、分析，</w:t>
      </w:r>
      <w:r>
        <w:rPr>
          <w:rFonts w:ascii="SimSun" w:hAnsi="SimSun" w:eastAsia="SimSun" w:cs="SimSun"/>
          <w:sz w:val="24"/>
          <w:szCs w:val="24"/>
          <w:spacing w:val="58"/>
        </w:rPr>
        <w:t xml:space="preserve"> </w:t>
      </w:r>
      <w:r>
        <w:rPr>
          <w:rFonts w:ascii="SimSun" w:hAnsi="SimSun" w:eastAsia="SimSun" w:cs="SimSun"/>
          <w:sz w:val="24"/>
          <w:szCs w:val="24"/>
          <w:spacing w:val="-7"/>
        </w:rPr>
        <w:t>确定施工期和营运期地貌的土壤侵蚀，按照</w:t>
      </w:r>
      <w:r>
        <w:rPr>
          <w:rFonts w:ascii="SimSun" w:hAnsi="SimSun" w:eastAsia="SimSun" w:cs="SimSun"/>
          <w:sz w:val="24"/>
          <w:szCs w:val="24"/>
          <w:spacing w:val="-8"/>
        </w:rPr>
        <w:t>计算公式如下：</w:t>
      </w:r>
    </w:p>
    <w:p>
      <w:pPr>
        <w:ind w:left="3246"/>
        <w:spacing w:before="37" w:line="18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5"/>
        </w:rPr>
        <w:t>W=F×A×P×T</w:t>
      </w:r>
    </w:p>
    <w:p>
      <w:pPr>
        <w:ind w:left="616"/>
        <w:spacing w:before="213" w:line="233" w:lineRule="auto"/>
        <w:rPr>
          <w:rFonts w:ascii="SimSun" w:hAnsi="SimSun" w:eastAsia="SimSun" w:cs="SimSun"/>
          <w:sz w:val="24"/>
          <w:szCs w:val="24"/>
        </w:rPr>
      </w:pPr>
      <w:r>
        <w:rPr>
          <w:rFonts w:ascii="SimSun" w:hAnsi="SimSun" w:eastAsia="SimSun" w:cs="SimSun"/>
          <w:sz w:val="24"/>
          <w:szCs w:val="24"/>
          <w:spacing w:val="-1"/>
        </w:rPr>
        <w:t>式中：</w:t>
      </w:r>
      <w:r>
        <w:rPr>
          <w:rFonts w:ascii="Times New Roman" w:hAnsi="Times New Roman" w:eastAsia="Times New Roman" w:cs="Times New Roman"/>
          <w:sz w:val="24"/>
          <w:szCs w:val="24"/>
          <w:spacing w:val="-1"/>
        </w:rPr>
        <w:t>W—</w:t>
      </w:r>
      <w:r>
        <w:rPr>
          <w:rFonts w:ascii="SimSun" w:hAnsi="SimSun" w:eastAsia="SimSun" w:cs="SimSun"/>
          <w:sz w:val="24"/>
          <w:szCs w:val="24"/>
          <w:spacing w:val="-1"/>
        </w:rPr>
        <w:t>某一施工区水土流失量（</w:t>
      </w:r>
      <w:r>
        <w:rPr>
          <w:rFonts w:ascii="Times New Roman" w:hAnsi="Times New Roman" w:eastAsia="Times New Roman" w:cs="Times New Roman"/>
          <w:sz w:val="24"/>
          <w:szCs w:val="24"/>
          <w:spacing w:val="-1"/>
        </w:rPr>
        <w:t>t</w:t>
      </w:r>
      <w:r>
        <w:rPr>
          <w:rFonts w:ascii="SimSun" w:hAnsi="SimSun" w:eastAsia="SimSun" w:cs="SimSun"/>
          <w:sz w:val="24"/>
          <w:szCs w:val="24"/>
          <w:spacing w:val="-13"/>
        </w:rPr>
        <w:t>）；</w:t>
      </w:r>
    </w:p>
    <w:p>
      <w:pPr>
        <w:ind w:left="1446"/>
        <w:spacing w:before="148" w:line="241" w:lineRule="auto"/>
        <w:rPr>
          <w:rFonts w:ascii="SimSun" w:hAnsi="SimSun" w:eastAsia="SimSun" w:cs="SimSun"/>
          <w:sz w:val="24"/>
          <w:szCs w:val="24"/>
        </w:rPr>
      </w:pPr>
      <w:r>
        <w:rPr>
          <w:rFonts w:ascii="Times New Roman" w:hAnsi="Times New Roman" w:eastAsia="Times New Roman" w:cs="Times New Roman"/>
          <w:sz w:val="24"/>
          <w:szCs w:val="24"/>
          <w:spacing w:val="-1"/>
        </w:rPr>
        <w:t>F—</w:t>
      </w:r>
      <w:r>
        <w:rPr>
          <w:rFonts w:ascii="SimSun" w:hAnsi="SimSun" w:eastAsia="SimSun" w:cs="SimSun"/>
          <w:sz w:val="24"/>
          <w:szCs w:val="24"/>
          <w:spacing w:val="-1"/>
        </w:rPr>
        <w:t>加速侵蚀面积（</w:t>
      </w:r>
      <w:r>
        <w:rPr>
          <w:rFonts w:ascii="Times New Roman" w:hAnsi="Times New Roman" w:eastAsia="Times New Roman" w:cs="Times New Roman"/>
          <w:sz w:val="24"/>
          <w:szCs w:val="24"/>
          <w:spacing w:val="-1"/>
        </w:rPr>
        <w:t>km</w:t>
      </w:r>
      <w:r>
        <w:rPr>
          <w:rFonts w:ascii="Times New Roman" w:hAnsi="Times New Roman" w:eastAsia="Times New Roman" w:cs="Times New Roman"/>
          <w:sz w:val="16"/>
          <w:szCs w:val="16"/>
          <w:spacing w:val="-1"/>
          <w:position w:val="10"/>
        </w:rPr>
        <w:t>2</w:t>
      </w:r>
      <w:r>
        <w:rPr>
          <w:rFonts w:ascii="SimSun" w:hAnsi="SimSun" w:eastAsia="SimSun" w:cs="SimSun"/>
          <w:sz w:val="24"/>
          <w:szCs w:val="24"/>
          <w:spacing w:val="-11"/>
        </w:rPr>
        <w:t>）；</w:t>
      </w:r>
    </w:p>
    <w:p>
      <w:pPr>
        <w:ind w:left="1444"/>
        <w:spacing w:before="163" w:line="233"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加速侵蚀系数，本工程</w:t>
      </w:r>
      <w:r>
        <w:rPr>
          <w:rFonts w:ascii="Times New Roman" w:hAnsi="Times New Roman" w:eastAsia="Times New Roman" w:cs="Times New Roman"/>
          <w:sz w:val="24"/>
          <w:szCs w:val="24"/>
          <w:spacing w:val="-1"/>
        </w:rPr>
        <w:t>A</w:t>
      </w:r>
      <w:r>
        <w:rPr>
          <w:rFonts w:ascii="SimSun" w:hAnsi="SimSun" w:eastAsia="SimSun" w:cs="SimSun"/>
          <w:sz w:val="24"/>
          <w:szCs w:val="24"/>
          <w:spacing w:val="-1"/>
        </w:rPr>
        <w:t>值取</w:t>
      </w:r>
      <w:r>
        <w:rPr>
          <w:rFonts w:ascii="Times New Roman" w:hAnsi="Times New Roman" w:eastAsia="Times New Roman" w:cs="Times New Roman"/>
          <w:sz w:val="24"/>
          <w:szCs w:val="24"/>
          <w:spacing w:val="-1"/>
        </w:rPr>
        <w:t>2.0</w:t>
      </w:r>
      <w:r>
        <w:rPr>
          <w:rFonts w:ascii="SimSun" w:hAnsi="SimSun" w:eastAsia="SimSun" w:cs="SimSun"/>
          <w:sz w:val="24"/>
          <w:szCs w:val="24"/>
          <w:spacing w:val="-1"/>
        </w:rPr>
        <w:t>；</w:t>
      </w:r>
    </w:p>
    <w:p>
      <w:pPr>
        <w:ind w:left="1446"/>
        <w:spacing w:before="150" w:line="239" w:lineRule="auto"/>
        <w:rPr>
          <w:rFonts w:ascii="SimSun" w:hAnsi="SimSun" w:eastAsia="SimSun" w:cs="SimSun"/>
          <w:sz w:val="24"/>
          <w:szCs w:val="24"/>
        </w:rPr>
      </w:pPr>
      <w:r>
        <w:rPr>
          <w:rFonts w:ascii="Times New Roman" w:hAnsi="Times New Roman" w:eastAsia="Times New Roman" w:cs="Times New Roman"/>
          <w:sz w:val="24"/>
          <w:szCs w:val="24"/>
        </w:rPr>
        <w:t>P—</w:t>
      </w:r>
      <w:r>
        <w:rPr>
          <w:rFonts w:ascii="SimSun" w:hAnsi="SimSun" w:eastAsia="SimSun" w:cs="SimSun"/>
          <w:sz w:val="24"/>
          <w:szCs w:val="24"/>
        </w:rPr>
        <w:t>原生地貌土壤侵蚀模数（</w:t>
      </w:r>
      <w:r>
        <w:rPr>
          <w:rFonts w:ascii="Times New Roman" w:hAnsi="Times New Roman" w:eastAsia="Times New Roman" w:cs="Times New Roman"/>
          <w:sz w:val="24"/>
          <w:szCs w:val="24"/>
        </w:rPr>
        <w:t>t/km</w:t>
      </w:r>
      <w:r>
        <w:rPr>
          <w:rFonts w:ascii="Times New Roman" w:hAnsi="Times New Roman" w:eastAsia="Times New Roman" w:cs="Times New Roman"/>
          <w:sz w:val="16"/>
          <w:szCs w:val="16"/>
          <w:position w:val="10"/>
        </w:rPr>
        <w:t>2</w:t>
      </w:r>
      <w:r>
        <w:rPr>
          <w:rFonts w:ascii="Times New Roman" w:hAnsi="Times New Roman" w:eastAsia="Times New Roman" w:cs="Times New Roman"/>
          <w:sz w:val="24"/>
          <w:szCs w:val="24"/>
        </w:rPr>
        <w:t>·a</w:t>
      </w:r>
      <w:r>
        <w:rPr>
          <w:rFonts w:ascii="SimSun" w:hAnsi="SimSun" w:eastAsia="SimSun" w:cs="SimSun"/>
          <w:sz w:val="24"/>
          <w:szCs w:val="24"/>
          <w:spacing w:val="-1"/>
        </w:rPr>
        <w:t>），</w:t>
      </w:r>
      <w:r>
        <w:rPr>
          <w:rFonts w:ascii="SimSun" w:hAnsi="SimSun" w:eastAsia="SimSun" w:cs="SimSun"/>
          <w:sz w:val="24"/>
          <w:szCs w:val="24"/>
        </w:rPr>
        <w:t>本工程取</w:t>
      </w:r>
      <w:r>
        <w:rPr>
          <w:rFonts w:ascii="Times New Roman" w:hAnsi="Times New Roman" w:eastAsia="Times New Roman" w:cs="Times New Roman"/>
          <w:sz w:val="24"/>
          <w:szCs w:val="24"/>
        </w:rPr>
        <w:t>200t/km</w:t>
      </w:r>
      <w:r>
        <w:rPr>
          <w:rFonts w:ascii="Times New Roman" w:hAnsi="Times New Roman" w:eastAsia="Times New Roman" w:cs="Times New Roman"/>
          <w:sz w:val="16"/>
          <w:szCs w:val="16"/>
          <w:position w:val="10"/>
        </w:rPr>
        <w:t>2</w:t>
      </w:r>
      <w:r>
        <w:rPr>
          <w:rFonts w:ascii="Times New Roman" w:hAnsi="Times New Roman" w:eastAsia="Times New Roman" w:cs="Times New Roman"/>
          <w:sz w:val="24"/>
          <w:szCs w:val="24"/>
        </w:rPr>
        <w:t>·a</w:t>
      </w:r>
      <w:r>
        <w:rPr>
          <w:rFonts w:ascii="SimSun" w:hAnsi="SimSun" w:eastAsia="SimSun" w:cs="SimSun"/>
          <w:sz w:val="24"/>
          <w:szCs w:val="24"/>
        </w:rPr>
        <w:t>；</w:t>
      </w:r>
    </w:p>
    <w:p>
      <w:pPr>
        <w:ind w:left="1449"/>
        <w:spacing w:before="166" w:line="235" w:lineRule="auto"/>
        <w:rPr>
          <w:rFonts w:ascii="SimSun" w:hAnsi="SimSun" w:eastAsia="SimSun" w:cs="SimSun"/>
          <w:sz w:val="24"/>
          <w:szCs w:val="24"/>
        </w:rPr>
      </w:pPr>
      <w:r>
        <w:rPr>
          <w:rFonts w:ascii="Times New Roman" w:hAnsi="Times New Roman" w:eastAsia="Times New Roman" w:cs="Times New Roman"/>
          <w:sz w:val="24"/>
          <w:szCs w:val="24"/>
          <w:spacing w:val="-3"/>
        </w:rPr>
        <w:t>T—</w:t>
      </w:r>
      <w:r>
        <w:rPr>
          <w:rFonts w:ascii="SimSun" w:hAnsi="SimSun" w:eastAsia="SimSun" w:cs="SimSun"/>
          <w:sz w:val="24"/>
          <w:szCs w:val="24"/>
          <w:spacing w:val="-3"/>
        </w:rPr>
        <w:t>侵蚀时间（</w:t>
      </w:r>
      <w:r>
        <w:rPr>
          <w:rFonts w:ascii="Times New Roman" w:hAnsi="Times New Roman" w:eastAsia="Times New Roman" w:cs="Times New Roman"/>
          <w:sz w:val="24"/>
          <w:szCs w:val="24"/>
          <w:spacing w:val="-3"/>
        </w:rPr>
        <w:t>a</w:t>
      </w:r>
      <w:r>
        <w:rPr>
          <w:rFonts w:ascii="SimSun" w:hAnsi="SimSun" w:eastAsia="SimSun" w:cs="SimSun"/>
          <w:sz w:val="24"/>
          <w:szCs w:val="24"/>
          <w:spacing w:val="-3"/>
        </w:rPr>
        <w:t>）。</w:t>
      </w:r>
    </w:p>
    <w:p>
      <w:pPr>
        <w:ind w:left="610"/>
        <w:spacing w:before="163" w:line="234" w:lineRule="auto"/>
        <w:rPr>
          <w:rFonts w:ascii="SimSun" w:hAnsi="SimSun" w:eastAsia="SimSun" w:cs="SimSun"/>
          <w:sz w:val="24"/>
          <w:szCs w:val="24"/>
        </w:rPr>
      </w:pPr>
      <w:r>
        <w:rPr>
          <w:rFonts w:ascii="Times New Roman" w:hAnsi="Times New Roman" w:eastAsia="Times New Roman" w:cs="Times New Roman"/>
          <w:sz w:val="24"/>
          <w:szCs w:val="24"/>
          <w:spacing w:val="-1"/>
        </w:rPr>
        <w:t>c</w:t>
      </w:r>
      <w:r>
        <w:rPr>
          <w:rFonts w:ascii="SimSun" w:hAnsi="SimSun" w:eastAsia="SimSun" w:cs="SimSun"/>
          <w:sz w:val="24"/>
          <w:szCs w:val="24"/>
          <w:spacing w:val="-1"/>
        </w:rPr>
        <w:t>预测结果及其分析</w:t>
      </w:r>
    </w:p>
    <w:p>
      <w:pPr>
        <w:ind w:left="135" w:right="119" w:firstLine="476"/>
        <w:spacing w:before="162" w:line="330" w:lineRule="auto"/>
        <w:rPr>
          <w:rFonts w:ascii="SimSun" w:hAnsi="SimSun" w:eastAsia="SimSun" w:cs="SimSun"/>
          <w:sz w:val="24"/>
          <w:szCs w:val="24"/>
        </w:rPr>
      </w:pPr>
      <w:r>
        <w:rPr>
          <w:rFonts w:ascii="SimSun" w:hAnsi="SimSun" w:eastAsia="SimSun" w:cs="SimSun"/>
          <w:sz w:val="24"/>
          <w:szCs w:val="24"/>
          <w:spacing w:val="3"/>
        </w:rPr>
        <w:t>根据上式公式及有关系数，施工占地情况，</w:t>
      </w:r>
      <w:r>
        <w:rPr>
          <w:rFonts w:ascii="SimSun" w:hAnsi="SimSun" w:eastAsia="SimSun" w:cs="SimSun"/>
          <w:sz w:val="24"/>
          <w:szCs w:val="24"/>
          <w:spacing w:val="2"/>
        </w:rPr>
        <w:t>计算出本工程施工区水土流失背</w:t>
      </w:r>
      <w:r>
        <w:rPr>
          <w:rFonts w:ascii="SimSun" w:hAnsi="SimSun" w:eastAsia="SimSun" w:cs="SimSun"/>
          <w:sz w:val="24"/>
          <w:szCs w:val="24"/>
          <w:spacing w:val="-2"/>
        </w:rPr>
        <w:t>景值，详见表</w:t>
      </w:r>
      <w:r>
        <w:rPr>
          <w:rFonts w:ascii="Times New Roman" w:hAnsi="Times New Roman" w:eastAsia="Times New Roman" w:cs="Times New Roman"/>
          <w:sz w:val="24"/>
          <w:szCs w:val="24"/>
          <w:spacing w:val="-2"/>
        </w:rPr>
        <w:t>5-4</w:t>
      </w:r>
      <w:r>
        <w:rPr>
          <w:rFonts w:ascii="SimSun" w:hAnsi="SimSun" w:eastAsia="SimSun" w:cs="SimSun"/>
          <w:sz w:val="24"/>
          <w:szCs w:val="24"/>
          <w:spacing w:val="-2"/>
        </w:rPr>
        <w:t>。</w:t>
      </w:r>
    </w:p>
    <w:p>
      <w:pPr>
        <w:ind w:left="2867"/>
        <w:spacing w:before="1"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2"/>
        </w:rPr>
        <w:t>5-4    </w:t>
      </w:r>
      <w:r>
        <w:rPr>
          <w:rFonts w:ascii="SimSun" w:hAnsi="SimSun" w:eastAsia="SimSun" w:cs="SimSun"/>
          <w:sz w:val="24"/>
          <w:szCs w:val="24"/>
          <w:b/>
          <w:bCs/>
          <w:spacing w:val="-2"/>
        </w:rPr>
        <w:t>施工区原生水土流失量表</w:t>
      </w:r>
    </w:p>
    <w:p>
      <w:pPr>
        <w:spacing w:line="128" w:lineRule="exact"/>
        <w:rPr/>
      </w:pPr>
      <w:r/>
    </w:p>
    <w:tbl>
      <w:tblPr>
        <w:tblStyle w:val="TableNormal"/>
        <w:tblW w:w="873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18"/>
        <w:gridCol w:w="3512"/>
        <w:gridCol w:w="1337"/>
        <w:gridCol w:w="1971"/>
      </w:tblGrid>
      <w:tr>
        <w:trPr>
          <w:trHeight w:val="310" w:hRule="atLeast"/>
        </w:trPr>
        <w:tc>
          <w:tcPr>
            <w:tcW w:w="1918" w:type="dxa"/>
            <w:vAlign w:val="top"/>
            <w:tcBorders>
              <w:top w:val="single" w:color="000000" w:sz="10" w:space="0"/>
              <w:left w:val="nil"/>
            </w:tcBorders>
          </w:tcPr>
          <w:p>
            <w:pPr>
              <w:pStyle w:val="TableText"/>
              <w:ind w:left="208"/>
              <w:spacing w:before="39" w:line="229" w:lineRule="auto"/>
              <w:rPr/>
            </w:pPr>
            <w:r>
              <w:rPr>
                <w:spacing w:val="-5"/>
              </w:rPr>
              <w:t>占地面积（</w:t>
            </w:r>
            <w:r>
              <w:rPr>
                <w:rFonts w:ascii="Times New Roman" w:hAnsi="Times New Roman" w:eastAsia="Times New Roman" w:cs="Times New Roman"/>
                <w:spacing w:val="-5"/>
              </w:rPr>
              <w:t>km</w:t>
            </w:r>
            <w:r>
              <w:rPr>
                <w:rFonts w:ascii="Times New Roman" w:hAnsi="Times New Roman" w:eastAsia="Times New Roman" w:cs="Times New Roman"/>
                <w:sz w:val="13"/>
                <w:szCs w:val="13"/>
                <w:spacing w:val="-5"/>
                <w:position w:val="9"/>
              </w:rPr>
              <w:t>2</w:t>
            </w:r>
            <w:r>
              <w:rPr>
                <w:spacing w:val="-5"/>
              </w:rPr>
              <w:t>）</w:t>
            </w:r>
          </w:p>
        </w:tc>
        <w:tc>
          <w:tcPr>
            <w:tcW w:w="3512" w:type="dxa"/>
            <w:vAlign w:val="top"/>
            <w:tcBorders>
              <w:top w:val="single" w:color="000000" w:sz="10" w:space="0"/>
            </w:tcBorders>
          </w:tcPr>
          <w:p>
            <w:pPr>
              <w:pStyle w:val="TableText"/>
              <w:ind w:left="118"/>
              <w:spacing w:before="41" w:line="227" w:lineRule="auto"/>
              <w:rPr/>
            </w:pPr>
            <w:r>
              <w:rPr>
                <w:spacing w:val="-1"/>
              </w:rPr>
              <w:t>原生地貌侵蚀模数（</w:t>
            </w:r>
            <w:r>
              <w:rPr>
                <w:rFonts w:ascii="Times New Roman" w:hAnsi="Times New Roman" w:eastAsia="Times New Roman" w:cs="Times New Roman"/>
                <w:spacing w:val="-1"/>
              </w:rPr>
              <w:t>t/km</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pacing w:val="-1"/>
              </w:rPr>
              <w:t>.a</w:t>
            </w:r>
            <w:r>
              <w:rPr>
                <w:spacing w:val="-1"/>
              </w:rPr>
              <w:t>）</w:t>
            </w:r>
          </w:p>
        </w:tc>
        <w:tc>
          <w:tcPr>
            <w:tcW w:w="1337" w:type="dxa"/>
            <w:vAlign w:val="top"/>
            <w:tcBorders>
              <w:top w:val="single" w:color="000000" w:sz="10" w:space="0"/>
            </w:tcBorders>
          </w:tcPr>
          <w:p>
            <w:pPr>
              <w:pStyle w:val="TableText"/>
              <w:ind w:left="216"/>
              <w:spacing w:before="55" w:line="215" w:lineRule="auto"/>
              <w:rPr/>
            </w:pPr>
            <w:r>
              <w:rPr>
                <w:spacing w:val="-4"/>
              </w:rPr>
              <w:t>时间（</w:t>
            </w:r>
            <w:r>
              <w:rPr>
                <w:rFonts w:ascii="Times New Roman" w:hAnsi="Times New Roman" w:eastAsia="Times New Roman" w:cs="Times New Roman"/>
                <w:spacing w:val="-4"/>
              </w:rPr>
              <w:t>a</w:t>
            </w:r>
            <w:r>
              <w:rPr>
                <w:spacing w:val="-4"/>
              </w:rPr>
              <w:t>）</w:t>
            </w:r>
          </w:p>
        </w:tc>
        <w:tc>
          <w:tcPr>
            <w:tcW w:w="1971" w:type="dxa"/>
            <w:vAlign w:val="top"/>
            <w:tcBorders>
              <w:top w:val="single" w:color="000000" w:sz="10" w:space="0"/>
              <w:right w:val="nil"/>
            </w:tcBorders>
          </w:tcPr>
          <w:p>
            <w:pPr>
              <w:pStyle w:val="TableText"/>
              <w:ind w:left="330"/>
              <w:spacing w:before="55" w:line="215" w:lineRule="auto"/>
              <w:rPr/>
            </w:pPr>
            <w:r>
              <w:rPr>
                <w:spacing w:val="-1"/>
              </w:rPr>
              <w:t>流失总量（</w:t>
            </w:r>
            <w:r>
              <w:rPr>
                <w:rFonts w:ascii="Times New Roman" w:hAnsi="Times New Roman" w:eastAsia="Times New Roman" w:cs="Times New Roman"/>
                <w:spacing w:val="-1"/>
              </w:rPr>
              <w:t>t</w:t>
            </w:r>
            <w:r>
              <w:rPr>
                <w:spacing w:val="-1"/>
              </w:rPr>
              <w:t>）</w:t>
            </w:r>
          </w:p>
        </w:tc>
      </w:tr>
      <w:tr>
        <w:trPr>
          <w:trHeight w:val="328" w:hRule="atLeast"/>
        </w:trPr>
        <w:tc>
          <w:tcPr>
            <w:tcW w:w="1918" w:type="dxa"/>
            <w:vAlign w:val="top"/>
            <w:tcBorders>
              <w:bottom w:val="single" w:color="000000" w:sz="10" w:space="0"/>
              <w:left w:val="nil"/>
            </w:tcBorders>
          </w:tcPr>
          <w:p>
            <w:pPr>
              <w:ind w:left="693"/>
              <w:spacing w:before="9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0.0663</w:t>
            </w:r>
          </w:p>
        </w:tc>
        <w:tc>
          <w:tcPr>
            <w:tcW w:w="3512" w:type="dxa"/>
            <w:vAlign w:val="top"/>
            <w:tcBorders>
              <w:bottom w:val="single" w:color="000000" w:sz="10" w:space="0"/>
            </w:tcBorders>
          </w:tcPr>
          <w:p>
            <w:pPr>
              <w:ind w:left="1598"/>
              <w:spacing w:before="9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337" w:type="dxa"/>
            <w:vAlign w:val="top"/>
            <w:tcBorders>
              <w:bottom w:val="single" w:color="000000" w:sz="10" w:space="0"/>
            </w:tcBorders>
          </w:tcPr>
          <w:p>
            <w:pPr>
              <w:ind w:left="542"/>
              <w:spacing w:before="9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971" w:type="dxa"/>
            <w:vAlign w:val="top"/>
            <w:tcBorders>
              <w:bottom w:val="single" w:color="000000" w:sz="10" w:space="0"/>
              <w:right w:val="nil"/>
            </w:tcBorders>
          </w:tcPr>
          <w:p>
            <w:pPr>
              <w:ind w:left="861"/>
              <w:spacing w:before="96" w:line="22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6.6</w:t>
            </w:r>
          </w:p>
        </w:tc>
      </w:tr>
    </w:tbl>
    <w:p>
      <w:pPr>
        <w:ind w:left="138" w:right="173" w:firstLine="476"/>
        <w:spacing w:before="34" w:line="359" w:lineRule="auto"/>
        <w:rPr>
          <w:rFonts w:ascii="SimSun" w:hAnsi="SimSun" w:eastAsia="SimSun" w:cs="SimSun"/>
          <w:sz w:val="24"/>
          <w:szCs w:val="24"/>
        </w:rPr>
      </w:pPr>
      <w:r>
        <w:rPr>
          <w:rFonts w:ascii="SimSun" w:hAnsi="SimSun" w:eastAsia="SimSun" w:cs="SimSun"/>
          <w:sz w:val="24"/>
          <w:szCs w:val="24"/>
          <w:spacing w:val="1"/>
        </w:rPr>
        <w:t>工程产生水土流失主要是在施工期，施工将扰动原地貌，破坏原有</w:t>
      </w:r>
      <w:r>
        <w:rPr>
          <w:rFonts w:ascii="SimSun" w:hAnsi="SimSun" w:eastAsia="SimSun" w:cs="SimSun"/>
          <w:sz w:val="24"/>
          <w:szCs w:val="24"/>
        </w:rPr>
        <w:t>的土壤，</w:t>
      </w:r>
      <w:r>
        <w:rPr>
          <w:rFonts w:ascii="SimSun" w:hAnsi="SimSun" w:eastAsia="SimSun" w:cs="SimSun"/>
          <w:sz w:val="24"/>
          <w:szCs w:val="24"/>
          <w:spacing w:val="-4"/>
        </w:rPr>
        <w:t>导致一定程度水土流失发生。</w:t>
      </w:r>
    </w:p>
    <w:p>
      <w:pPr>
        <w:ind w:left="131" w:right="119" w:firstLine="479"/>
        <w:spacing w:before="1" w:line="372" w:lineRule="auto"/>
        <w:rPr>
          <w:rFonts w:ascii="SimSun" w:hAnsi="SimSun" w:eastAsia="SimSun" w:cs="SimSun"/>
          <w:sz w:val="24"/>
          <w:szCs w:val="24"/>
        </w:rPr>
      </w:pPr>
      <w:r>
        <w:rPr>
          <w:rFonts w:ascii="SimSun" w:hAnsi="SimSun" w:eastAsia="SimSun" w:cs="SimSun"/>
          <w:sz w:val="24"/>
          <w:szCs w:val="24"/>
          <w:spacing w:val="3"/>
        </w:rPr>
        <w:t>根据施工期的扰动面积和实际流失面积，将</w:t>
      </w:r>
      <w:r>
        <w:rPr>
          <w:rFonts w:ascii="SimSun" w:hAnsi="SimSun" w:eastAsia="SimSun" w:cs="SimSun"/>
          <w:sz w:val="24"/>
          <w:szCs w:val="24"/>
          <w:spacing w:val="2"/>
        </w:rPr>
        <w:t>施工区扰动的面积新增水土流失</w:t>
      </w:r>
      <w:r>
        <w:rPr>
          <w:rFonts w:ascii="SimSun" w:hAnsi="SimSun" w:eastAsia="SimSun" w:cs="SimSun"/>
          <w:sz w:val="24"/>
          <w:szCs w:val="24"/>
          <w:spacing w:val="-3"/>
        </w:rPr>
        <w:t>量统计如表</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5-5</w:t>
      </w:r>
      <w:r>
        <w:rPr>
          <w:rFonts w:ascii="SimSun" w:hAnsi="SimSun" w:eastAsia="SimSun" w:cs="SimSun"/>
          <w:sz w:val="24"/>
          <w:szCs w:val="24"/>
          <w:spacing w:val="-3"/>
        </w:rPr>
        <w:t>。</w:t>
      </w:r>
    </w:p>
    <w:p>
      <w:pPr>
        <w:ind w:left="1693"/>
        <w:spacing w:before="48" w:line="233"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5-5    </w:t>
      </w:r>
      <w:r>
        <w:rPr>
          <w:rFonts w:ascii="SimSun" w:hAnsi="SimSun" w:eastAsia="SimSun" w:cs="SimSun"/>
          <w:sz w:val="24"/>
          <w:szCs w:val="24"/>
          <w:b/>
          <w:bCs/>
          <w:spacing w:val="-2"/>
        </w:rPr>
        <w:t>施工区扰动面积新增水土流失量预测结果表</w:t>
      </w:r>
    </w:p>
    <w:p>
      <w:pPr>
        <w:spacing w:line="52" w:lineRule="exact"/>
        <w:rPr/>
      </w:pPr>
      <w:r/>
    </w:p>
    <w:tbl>
      <w:tblPr>
        <w:tblStyle w:val="TableNormal"/>
        <w:tblW w:w="873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14"/>
        <w:gridCol w:w="1313"/>
        <w:gridCol w:w="1879"/>
        <w:gridCol w:w="1613"/>
        <w:gridCol w:w="1918"/>
      </w:tblGrid>
      <w:tr>
        <w:trPr>
          <w:trHeight w:val="538" w:hRule="atLeast"/>
        </w:trPr>
        <w:tc>
          <w:tcPr>
            <w:tcW w:w="2014" w:type="dxa"/>
            <w:vAlign w:val="top"/>
            <w:tcBorders>
              <w:top w:val="single" w:color="000000" w:sz="10" w:space="0"/>
              <w:left w:val="nil"/>
            </w:tcBorders>
          </w:tcPr>
          <w:p>
            <w:pPr>
              <w:pStyle w:val="TableText"/>
              <w:ind w:left="309"/>
              <w:spacing w:before="154" w:line="283" w:lineRule="exact"/>
              <w:rPr/>
            </w:pPr>
            <w:r>
              <w:rPr>
                <w:spacing w:val="-5"/>
                <w:position w:val="1"/>
              </w:rPr>
              <w:t>占地面积（</w:t>
            </w:r>
            <w:r>
              <w:rPr>
                <w:rFonts w:ascii="Times New Roman" w:hAnsi="Times New Roman" w:eastAsia="Times New Roman" w:cs="Times New Roman"/>
                <w:spacing w:val="-5"/>
                <w:position w:val="1"/>
              </w:rPr>
              <w:t>m</w:t>
            </w:r>
            <w:r>
              <w:rPr>
                <w:rFonts w:ascii="Times New Roman" w:hAnsi="Times New Roman" w:eastAsia="Times New Roman" w:cs="Times New Roman"/>
                <w:sz w:val="13"/>
                <w:szCs w:val="13"/>
                <w:spacing w:val="-5"/>
                <w:position w:val="10"/>
              </w:rPr>
              <w:t>2</w:t>
            </w:r>
            <w:r>
              <w:rPr>
                <w:spacing w:val="-5"/>
                <w:position w:val="1"/>
              </w:rPr>
              <w:t>）</w:t>
            </w:r>
          </w:p>
        </w:tc>
        <w:tc>
          <w:tcPr>
            <w:tcW w:w="1313" w:type="dxa"/>
            <w:vAlign w:val="top"/>
            <w:tcBorders>
              <w:top w:val="single" w:color="000000" w:sz="10" w:space="0"/>
            </w:tcBorders>
          </w:tcPr>
          <w:p>
            <w:pPr>
              <w:pStyle w:val="TableText"/>
              <w:ind w:left="448"/>
              <w:spacing w:before="169" w:line="221" w:lineRule="auto"/>
              <w:rPr/>
            </w:pPr>
            <w:r>
              <w:rPr>
                <w:rFonts w:ascii="Times New Roman" w:hAnsi="Times New Roman" w:eastAsia="Times New Roman" w:cs="Times New Roman"/>
                <w:spacing w:val="-1"/>
              </w:rPr>
              <w:t>A</w:t>
            </w:r>
            <w:r>
              <w:rPr>
                <w:rFonts w:ascii="Times New Roman" w:hAnsi="Times New Roman" w:eastAsia="Times New Roman" w:cs="Times New Roman"/>
                <w:spacing w:val="9"/>
              </w:rPr>
              <w:t xml:space="preserve"> </w:t>
            </w:r>
            <w:r>
              <w:rPr>
                <w:spacing w:val="-1"/>
              </w:rPr>
              <w:t>值</w:t>
            </w:r>
          </w:p>
        </w:tc>
        <w:tc>
          <w:tcPr>
            <w:tcW w:w="1879" w:type="dxa"/>
            <w:vAlign w:val="top"/>
            <w:tcBorders>
              <w:top w:val="single" w:color="000000" w:sz="10" w:space="0"/>
            </w:tcBorders>
          </w:tcPr>
          <w:p>
            <w:pPr>
              <w:pStyle w:val="TableText"/>
              <w:ind w:left="330" w:right="198" w:hanging="116"/>
              <w:spacing w:before="34" w:line="217" w:lineRule="auto"/>
              <w:rPr/>
            </w:pPr>
            <w:r>
              <w:rPr>
                <w:spacing w:val="-2"/>
              </w:rPr>
              <w:t>原生地貌侵蚀模</w:t>
            </w:r>
            <w:r>
              <w:rPr>
                <w:spacing w:val="-1"/>
              </w:rPr>
              <w:t>数（</w:t>
            </w:r>
            <w:r>
              <w:rPr>
                <w:rFonts w:ascii="Times New Roman" w:hAnsi="Times New Roman" w:eastAsia="Times New Roman" w:cs="Times New Roman"/>
                <w:spacing w:val="-1"/>
              </w:rPr>
              <w:t>t/km</w:t>
            </w:r>
            <w:r>
              <w:rPr>
                <w:rFonts w:ascii="Times New Roman" w:hAnsi="Times New Roman" w:eastAsia="Times New Roman" w:cs="Times New Roman"/>
                <w:sz w:val="13"/>
                <w:szCs w:val="13"/>
                <w:spacing w:val="-1"/>
                <w:position w:val="9"/>
              </w:rPr>
              <w:t>2</w:t>
            </w:r>
            <w:r>
              <w:rPr>
                <w:rFonts w:ascii="Times New Roman" w:hAnsi="Times New Roman" w:eastAsia="Times New Roman" w:cs="Times New Roman"/>
                <w:spacing w:val="-1"/>
              </w:rPr>
              <w:t>.a</w:t>
            </w:r>
            <w:r>
              <w:rPr>
                <w:spacing w:val="-1"/>
              </w:rPr>
              <w:t>）</w:t>
            </w:r>
          </w:p>
        </w:tc>
        <w:tc>
          <w:tcPr>
            <w:tcW w:w="1613" w:type="dxa"/>
            <w:vAlign w:val="top"/>
            <w:tcBorders>
              <w:top w:val="single" w:color="000000" w:sz="10" w:space="0"/>
            </w:tcBorders>
          </w:tcPr>
          <w:p>
            <w:pPr>
              <w:pStyle w:val="TableText"/>
              <w:ind w:left="136"/>
              <w:spacing w:before="170" w:line="236" w:lineRule="auto"/>
              <w:rPr/>
            </w:pPr>
            <w:r>
              <w:rPr>
                <w:spacing w:val="-1"/>
              </w:rPr>
              <w:t>流失时间（</w:t>
            </w:r>
            <w:r>
              <w:rPr>
                <w:rFonts w:ascii="Times New Roman" w:hAnsi="Times New Roman" w:eastAsia="Times New Roman" w:cs="Times New Roman"/>
                <w:spacing w:val="-1"/>
              </w:rPr>
              <w:t>a</w:t>
            </w:r>
            <w:r>
              <w:rPr>
                <w:spacing w:val="-1"/>
              </w:rPr>
              <w:t>）</w:t>
            </w:r>
          </w:p>
        </w:tc>
        <w:tc>
          <w:tcPr>
            <w:tcW w:w="1918" w:type="dxa"/>
            <w:vAlign w:val="top"/>
            <w:tcBorders>
              <w:top w:val="single" w:color="000000" w:sz="10" w:space="0"/>
              <w:right w:val="nil"/>
            </w:tcBorders>
          </w:tcPr>
          <w:p>
            <w:pPr>
              <w:pStyle w:val="TableText"/>
              <w:ind w:left="116"/>
              <w:spacing w:before="170" w:line="234" w:lineRule="auto"/>
              <w:rPr/>
            </w:pPr>
            <w:r>
              <w:rPr>
                <w:spacing w:val="-1"/>
              </w:rPr>
              <w:t>预测水土流失（</w:t>
            </w:r>
            <w:r>
              <w:rPr>
                <w:rFonts w:ascii="Times New Roman" w:hAnsi="Times New Roman" w:eastAsia="Times New Roman" w:cs="Times New Roman"/>
                <w:spacing w:val="-1"/>
              </w:rPr>
              <w:t>t</w:t>
            </w:r>
            <w:r>
              <w:rPr>
                <w:spacing w:val="-1"/>
              </w:rPr>
              <w:t>）</w:t>
            </w:r>
          </w:p>
        </w:tc>
      </w:tr>
      <w:tr>
        <w:trPr>
          <w:trHeight w:val="333" w:hRule="atLeast"/>
        </w:trPr>
        <w:tc>
          <w:tcPr>
            <w:tcW w:w="2014" w:type="dxa"/>
            <w:vAlign w:val="top"/>
            <w:tcBorders>
              <w:bottom w:val="single" w:color="000000" w:sz="10" w:space="0"/>
              <w:left w:val="nil"/>
            </w:tcBorders>
          </w:tcPr>
          <w:p>
            <w:pPr>
              <w:ind w:left="741"/>
              <w:spacing w:before="94"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0.0663</w:t>
            </w:r>
          </w:p>
        </w:tc>
        <w:tc>
          <w:tcPr>
            <w:tcW w:w="1313" w:type="dxa"/>
            <w:vAlign w:val="top"/>
            <w:tcBorders>
              <w:bottom w:val="single" w:color="000000" w:sz="10" w:space="0"/>
            </w:tcBorders>
          </w:tcPr>
          <w:p>
            <w:pPr>
              <w:ind w:left="527"/>
              <w:spacing w:before="99"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879" w:type="dxa"/>
            <w:vAlign w:val="top"/>
            <w:tcBorders>
              <w:bottom w:val="single" w:color="000000" w:sz="10" w:space="0"/>
            </w:tcBorders>
          </w:tcPr>
          <w:p>
            <w:pPr>
              <w:ind w:left="784"/>
              <w:spacing w:before="94"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1613" w:type="dxa"/>
            <w:vAlign w:val="top"/>
            <w:tcBorders>
              <w:bottom w:val="single" w:color="000000" w:sz="10" w:space="0"/>
            </w:tcBorders>
          </w:tcPr>
          <w:p>
            <w:pPr>
              <w:ind w:left="680"/>
              <w:spacing w:before="94"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918" w:type="dxa"/>
            <w:vAlign w:val="top"/>
            <w:tcBorders>
              <w:bottom w:val="single" w:color="000000" w:sz="10" w:space="0"/>
              <w:right w:val="nil"/>
            </w:tcBorders>
          </w:tcPr>
          <w:p>
            <w:pPr>
              <w:ind w:left="798"/>
              <w:spacing w:before="94"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13.2</w:t>
            </w:r>
          </w:p>
        </w:tc>
      </w:tr>
    </w:tbl>
    <w:p>
      <w:pPr>
        <w:ind w:left="611"/>
        <w:spacing w:before="33" w:line="233" w:lineRule="auto"/>
        <w:rPr>
          <w:rFonts w:ascii="SimSun" w:hAnsi="SimSun" w:eastAsia="SimSun" w:cs="SimSun"/>
          <w:sz w:val="24"/>
          <w:szCs w:val="24"/>
        </w:rPr>
      </w:pPr>
      <w:r>
        <w:rPr>
          <w:rFonts w:ascii="SimSun" w:hAnsi="SimSun" w:eastAsia="SimSun" w:cs="SimSun"/>
          <w:sz w:val="24"/>
          <w:szCs w:val="24"/>
          <w:spacing w:val="-1"/>
        </w:rPr>
        <w:t>根据上表将本项目施工期水土流失与测量统计如表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5-6</w:t>
      </w:r>
      <w:r>
        <w:rPr>
          <w:rFonts w:ascii="SimSun" w:hAnsi="SimSun" w:eastAsia="SimSun" w:cs="SimSun"/>
          <w:sz w:val="24"/>
          <w:szCs w:val="24"/>
          <w:spacing w:val="-1"/>
        </w:rPr>
        <w:t>。</w:t>
      </w:r>
    </w:p>
    <w:p>
      <w:pPr>
        <w:spacing w:line="233" w:lineRule="auto"/>
        <w:sectPr>
          <w:headerReference w:type="default" r:id="rId126"/>
          <w:footerReference w:type="default" r:id="rId127"/>
          <w:pgSz w:w="11907" w:h="16839"/>
          <w:pgMar w:top="1442" w:right="1588" w:bottom="1235" w:left="1579" w:header="1064" w:footer="992" w:gutter="0"/>
        </w:sectPr>
        <w:rPr>
          <w:rFonts w:ascii="SimSun" w:hAnsi="SimSun" w:eastAsia="SimSun" w:cs="SimSun"/>
          <w:sz w:val="24"/>
          <w:szCs w:val="24"/>
        </w:rPr>
      </w:pPr>
    </w:p>
    <w:p>
      <w:pPr>
        <w:ind w:left="2624"/>
        <w:spacing w:before="293"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2"/>
        </w:rPr>
        <w:t>5-6    </w:t>
      </w:r>
      <w:r>
        <w:rPr>
          <w:rFonts w:ascii="SimSun" w:hAnsi="SimSun" w:eastAsia="SimSun" w:cs="SimSun"/>
          <w:sz w:val="24"/>
          <w:szCs w:val="24"/>
          <w:b/>
          <w:bCs/>
          <w:spacing w:val="-2"/>
        </w:rPr>
        <w:t>施工期水土流失量统计表</w:t>
      </w:r>
    </w:p>
    <w:p>
      <w:pPr>
        <w:spacing w:line="128" w:lineRule="exact"/>
        <w:rPr/>
      </w:pPr>
      <w:r/>
    </w:p>
    <w:tbl>
      <w:tblPr>
        <w:tblStyle w:val="TableNormal"/>
        <w:tblW w:w="873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78"/>
        <w:gridCol w:w="1457"/>
        <w:gridCol w:w="2033"/>
        <w:gridCol w:w="2022"/>
        <w:gridCol w:w="1748"/>
      </w:tblGrid>
      <w:tr>
        <w:trPr>
          <w:trHeight w:val="539" w:hRule="atLeast"/>
        </w:trPr>
        <w:tc>
          <w:tcPr>
            <w:tcW w:w="1478" w:type="dxa"/>
            <w:vAlign w:val="top"/>
            <w:tcBorders>
              <w:top w:val="single" w:color="000000" w:sz="10" w:space="0"/>
              <w:left w:val="nil"/>
            </w:tcBorders>
          </w:tcPr>
          <w:p>
            <w:pPr>
              <w:pStyle w:val="TableText"/>
              <w:ind w:left="225"/>
              <w:spacing w:before="172" w:line="223" w:lineRule="auto"/>
              <w:rPr/>
            </w:pPr>
            <w:r>
              <w:rPr>
                <w:b/>
                <w:bCs/>
                <w:spacing w:val="-3"/>
              </w:rPr>
              <w:t>施工区名称</w:t>
            </w:r>
          </w:p>
        </w:tc>
        <w:tc>
          <w:tcPr>
            <w:tcW w:w="1457" w:type="dxa"/>
            <w:vAlign w:val="top"/>
            <w:tcBorders>
              <w:top w:val="single" w:color="000000" w:sz="10" w:space="0"/>
            </w:tcBorders>
          </w:tcPr>
          <w:p>
            <w:pPr>
              <w:pStyle w:val="TableText"/>
              <w:spacing w:before="172" w:line="236" w:lineRule="auto"/>
              <w:jc w:val="right"/>
              <w:rPr/>
            </w:pPr>
            <w:r>
              <w:rPr>
                <w:b/>
                <w:bCs/>
                <w:spacing w:val="-8"/>
              </w:rPr>
              <w:t>流失时间（</w:t>
            </w:r>
            <w:r>
              <w:rPr>
                <w:rFonts w:ascii="Times New Roman" w:hAnsi="Times New Roman" w:eastAsia="Times New Roman" w:cs="Times New Roman"/>
                <w:b/>
                <w:bCs/>
                <w:spacing w:val="-8"/>
              </w:rPr>
              <w:t>a</w:t>
            </w:r>
            <w:r>
              <w:rPr>
                <w:b/>
                <w:bCs/>
                <w:spacing w:val="-8"/>
              </w:rPr>
              <w:t>）</w:t>
            </w:r>
          </w:p>
        </w:tc>
        <w:tc>
          <w:tcPr>
            <w:tcW w:w="2033" w:type="dxa"/>
            <w:vAlign w:val="top"/>
            <w:tcBorders>
              <w:top w:val="single" w:color="000000" w:sz="10" w:space="0"/>
            </w:tcBorders>
          </w:tcPr>
          <w:p>
            <w:pPr>
              <w:pStyle w:val="TableText"/>
              <w:ind w:left="460" w:right="464" w:firstLine="142"/>
              <w:spacing w:before="35" w:line="217" w:lineRule="auto"/>
              <w:rPr/>
            </w:pPr>
            <w:r>
              <w:rPr>
                <w:b/>
                <w:bCs/>
                <w:spacing w:val="-4"/>
              </w:rPr>
              <w:t>预测水土</w:t>
            </w:r>
            <w:r>
              <w:rPr>
                <w:b/>
                <w:bCs/>
                <w:spacing w:val="-5"/>
              </w:rPr>
              <w:t>流失量（</w:t>
            </w:r>
            <w:r>
              <w:rPr>
                <w:rFonts w:ascii="Times New Roman" w:hAnsi="Times New Roman" w:eastAsia="Times New Roman" w:cs="Times New Roman"/>
                <w:b/>
                <w:bCs/>
                <w:spacing w:val="-5"/>
              </w:rPr>
              <w:t>t</w:t>
            </w:r>
            <w:r>
              <w:rPr>
                <w:b/>
                <w:bCs/>
                <w:spacing w:val="-5"/>
              </w:rPr>
              <w:t>）</w:t>
            </w:r>
          </w:p>
        </w:tc>
        <w:tc>
          <w:tcPr>
            <w:tcW w:w="2022" w:type="dxa"/>
            <w:vAlign w:val="top"/>
            <w:tcBorders>
              <w:top w:val="single" w:color="000000" w:sz="10" w:space="0"/>
            </w:tcBorders>
          </w:tcPr>
          <w:p>
            <w:pPr>
              <w:pStyle w:val="TableText"/>
              <w:ind w:left="456" w:right="460" w:firstLine="140"/>
              <w:spacing w:before="35" w:line="217" w:lineRule="auto"/>
              <w:rPr/>
            </w:pPr>
            <w:r>
              <w:rPr>
                <w:b/>
                <w:bCs/>
                <w:spacing w:val="-4"/>
              </w:rPr>
              <w:t>水土流失</w:t>
            </w:r>
            <w:r>
              <w:rPr>
                <w:b/>
                <w:bCs/>
                <w:spacing w:val="-6"/>
              </w:rPr>
              <w:t>背景量（</w:t>
            </w:r>
            <w:r>
              <w:rPr>
                <w:rFonts w:ascii="Times New Roman" w:hAnsi="Times New Roman" w:eastAsia="Times New Roman" w:cs="Times New Roman"/>
                <w:b/>
                <w:bCs/>
                <w:spacing w:val="-6"/>
              </w:rPr>
              <w:t>t</w:t>
            </w:r>
            <w:r>
              <w:rPr>
                <w:b/>
                <w:bCs/>
                <w:spacing w:val="-6"/>
              </w:rPr>
              <w:t>）</w:t>
            </w:r>
          </w:p>
        </w:tc>
        <w:tc>
          <w:tcPr>
            <w:tcW w:w="1748" w:type="dxa"/>
            <w:vAlign w:val="top"/>
            <w:tcBorders>
              <w:top w:val="single" w:color="000000" w:sz="10" w:space="0"/>
              <w:right w:val="nil"/>
            </w:tcBorders>
          </w:tcPr>
          <w:p>
            <w:pPr>
              <w:pStyle w:val="TableText"/>
              <w:ind w:left="670"/>
              <w:spacing w:before="35" w:line="221" w:lineRule="auto"/>
              <w:rPr/>
            </w:pPr>
            <w:r>
              <w:rPr>
                <w:b/>
                <w:bCs/>
                <w:spacing w:val="-5"/>
              </w:rPr>
              <w:t>水土</w:t>
            </w:r>
          </w:p>
          <w:p>
            <w:pPr>
              <w:pStyle w:val="TableText"/>
              <w:ind w:left="213"/>
              <w:spacing w:before="20" w:line="195" w:lineRule="auto"/>
              <w:rPr/>
            </w:pPr>
            <w:r>
              <w:rPr>
                <w:b/>
                <w:bCs/>
                <w:spacing w:val="-3"/>
              </w:rPr>
              <w:t>流失增量（</w:t>
            </w:r>
            <w:r>
              <w:rPr>
                <w:rFonts w:ascii="Times New Roman" w:hAnsi="Times New Roman" w:eastAsia="Times New Roman" w:cs="Times New Roman"/>
                <w:b/>
                <w:bCs/>
                <w:spacing w:val="-3"/>
              </w:rPr>
              <w:t>t</w:t>
            </w:r>
            <w:r>
              <w:rPr>
                <w:b/>
                <w:bCs/>
                <w:spacing w:val="-3"/>
              </w:rPr>
              <w:t>）</w:t>
            </w:r>
          </w:p>
        </w:tc>
      </w:tr>
      <w:tr>
        <w:trPr>
          <w:trHeight w:val="294" w:hRule="atLeast"/>
        </w:trPr>
        <w:tc>
          <w:tcPr>
            <w:tcW w:w="1478" w:type="dxa"/>
            <w:vAlign w:val="top"/>
            <w:tcBorders>
              <w:bottom w:val="single" w:color="000000" w:sz="10" w:space="0"/>
              <w:left w:val="nil"/>
            </w:tcBorders>
          </w:tcPr>
          <w:p>
            <w:pPr>
              <w:pStyle w:val="TableText"/>
              <w:ind w:left="336"/>
              <w:spacing w:before="46" w:line="209" w:lineRule="auto"/>
              <w:rPr/>
            </w:pPr>
            <w:r>
              <w:rPr>
                <w:spacing w:val="-2"/>
              </w:rPr>
              <w:t>永久占地</w:t>
            </w:r>
          </w:p>
        </w:tc>
        <w:tc>
          <w:tcPr>
            <w:tcW w:w="1457" w:type="dxa"/>
            <w:vAlign w:val="top"/>
            <w:tcBorders>
              <w:bottom w:val="single" w:color="000000" w:sz="10" w:space="0"/>
            </w:tcBorders>
          </w:tcPr>
          <w:p>
            <w:pPr>
              <w:ind w:left="601"/>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2033" w:type="dxa"/>
            <w:vAlign w:val="top"/>
            <w:tcBorders>
              <w:bottom w:val="single" w:color="000000" w:sz="10" w:space="0"/>
            </w:tcBorders>
          </w:tcPr>
          <w:p>
            <w:pPr>
              <w:ind w:left="855"/>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13.2</w:t>
            </w:r>
          </w:p>
        </w:tc>
        <w:tc>
          <w:tcPr>
            <w:tcW w:w="2022" w:type="dxa"/>
            <w:vAlign w:val="top"/>
            <w:tcBorders>
              <w:bottom w:val="single" w:color="000000" w:sz="10" w:space="0"/>
            </w:tcBorders>
          </w:tcPr>
          <w:p>
            <w:pPr>
              <w:ind w:left="885"/>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6.6</w:t>
            </w:r>
          </w:p>
        </w:tc>
        <w:tc>
          <w:tcPr>
            <w:tcW w:w="1748" w:type="dxa"/>
            <w:vAlign w:val="top"/>
            <w:tcBorders>
              <w:bottom w:val="single" w:color="000000" w:sz="10" w:space="0"/>
              <w:right w:val="nil"/>
            </w:tcBorders>
          </w:tcPr>
          <w:p>
            <w:pPr>
              <w:ind w:left="750"/>
              <w:spacing w:before="74"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6.6</w:t>
            </w:r>
          </w:p>
        </w:tc>
      </w:tr>
    </w:tbl>
    <w:p>
      <w:pPr>
        <w:ind w:left="132" w:right="110" w:firstLine="478"/>
        <w:spacing w:before="37" w:line="358" w:lineRule="auto"/>
        <w:jc w:val="both"/>
        <w:rPr>
          <w:rFonts w:ascii="SimSun" w:hAnsi="SimSun" w:eastAsia="SimSun" w:cs="SimSun"/>
          <w:sz w:val="24"/>
          <w:szCs w:val="24"/>
        </w:rPr>
      </w:pPr>
      <w:r>
        <w:rPr>
          <w:rFonts w:ascii="SimSun" w:hAnsi="SimSun" w:eastAsia="SimSun" w:cs="SimSun"/>
          <w:sz w:val="24"/>
          <w:szCs w:val="24"/>
        </w:rPr>
        <w:t>通过对本项目施工期水土流失的预测结果可以看出</w:t>
      </w:r>
      <w:r>
        <w:rPr>
          <w:rFonts w:ascii="SimSun" w:hAnsi="SimSun" w:eastAsia="SimSun" w:cs="SimSun"/>
          <w:sz w:val="24"/>
          <w:szCs w:val="24"/>
          <w:spacing w:val="-1"/>
        </w:rPr>
        <w:t>，由于施工期在一定程度</w:t>
      </w:r>
      <w:r>
        <w:rPr>
          <w:rFonts w:ascii="SimSun" w:hAnsi="SimSun" w:eastAsia="SimSun" w:cs="SimSun"/>
          <w:sz w:val="24"/>
          <w:szCs w:val="24"/>
        </w:rPr>
        <w:t>上破坏了施工区原有地貌，使表层松散，抗水力侵蚀</w:t>
      </w:r>
      <w:r>
        <w:rPr>
          <w:rFonts w:ascii="SimSun" w:hAnsi="SimSun" w:eastAsia="SimSun" w:cs="SimSun"/>
          <w:sz w:val="24"/>
          <w:szCs w:val="24"/>
          <w:spacing w:val="-1"/>
        </w:rPr>
        <w:t>能力减弱，使土壤失去了原</w:t>
      </w:r>
      <w:r>
        <w:rPr>
          <w:rFonts w:ascii="SimSun" w:hAnsi="SimSun" w:eastAsia="SimSun" w:cs="SimSun"/>
          <w:sz w:val="24"/>
          <w:szCs w:val="24"/>
        </w:rPr>
        <w:t>有的固土防风能力，从而增加了一定量的水土流失，</w:t>
      </w:r>
      <w:r>
        <w:rPr>
          <w:rFonts w:ascii="SimSun" w:hAnsi="SimSun" w:eastAsia="SimSun" w:cs="SimSun"/>
          <w:sz w:val="24"/>
          <w:szCs w:val="24"/>
          <w:spacing w:val="-1"/>
        </w:rPr>
        <w:t>在不采取任何水土保持措施</w:t>
      </w:r>
      <w:r>
        <w:rPr>
          <w:rFonts w:ascii="SimSun" w:hAnsi="SimSun" w:eastAsia="SimSun" w:cs="SimSun"/>
          <w:sz w:val="24"/>
          <w:szCs w:val="24"/>
          <w:spacing w:val="-3"/>
        </w:rPr>
        <w:t>的情况下，施工期将新增水土流失量</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3"/>
        </w:rPr>
        <w:t>6.6t</w:t>
      </w:r>
      <w:r>
        <w:rPr>
          <w:rFonts w:ascii="SimSun" w:hAnsi="SimSun" w:eastAsia="SimSun" w:cs="SimSun"/>
          <w:sz w:val="24"/>
          <w:szCs w:val="24"/>
          <w:spacing w:val="-3"/>
        </w:rPr>
        <w:t>，可见，水土流失量不大，在采取相应的</w:t>
      </w:r>
      <w:r>
        <w:rPr>
          <w:rFonts w:ascii="SimSun" w:hAnsi="SimSun" w:eastAsia="SimSun" w:cs="SimSun"/>
          <w:sz w:val="24"/>
          <w:szCs w:val="24"/>
          <w:spacing w:val="-3"/>
        </w:rPr>
        <w:t>治理措施后，不会产生较大不利影响。</w:t>
      </w:r>
    </w:p>
    <w:p>
      <w:pPr>
        <w:ind w:left="129" w:right="215" w:firstLine="485"/>
        <w:spacing w:before="4" w:line="360" w:lineRule="auto"/>
        <w:jc w:val="both"/>
        <w:rPr>
          <w:rFonts w:ascii="SimSun" w:hAnsi="SimSun" w:eastAsia="SimSun" w:cs="SimSun"/>
          <w:sz w:val="24"/>
          <w:szCs w:val="24"/>
        </w:rPr>
      </w:pPr>
      <w:r>
        <w:rPr>
          <w:rFonts w:ascii="SimSun" w:hAnsi="SimSun" w:eastAsia="SimSun" w:cs="SimSun"/>
          <w:sz w:val="24"/>
          <w:szCs w:val="24"/>
          <w:spacing w:val="-1"/>
        </w:rPr>
        <w:t>项目区域周边植树、种草等绿化、美化措施进行生态恢复，丰富区域内植物</w:t>
      </w:r>
      <w:r>
        <w:rPr>
          <w:rFonts w:ascii="SimSun" w:hAnsi="SimSun" w:eastAsia="SimSun" w:cs="SimSun"/>
          <w:sz w:val="24"/>
          <w:szCs w:val="24"/>
        </w:rPr>
        <w:t>物种的多样性，可使项目区域土壤侵蚀量大大降低。施工过</w:t>
      </w:r>
      <w:r>
        <w:rPr>
          <w:rFonts w:ascii="SimSun" w:hAnsi="SimSun" w:eastAsia="SimSun" w:cs="SimSun"/>
          <w:sz w:val="24"/>
          <w:szCs w:val="24"/>
          <w:spacing w:val="-1"/>
        </w:rPr>
        <w:t>程中存在挖方现象，</w:t>
      </w:r>
      <w:r>
        <w:rPr>
          <w:rFonts w:ascii="SimSun" w:hAnsi="SimSun" w:eastAsia="SimSun" w:cs="SimSun"/>
          <w:sz w:val="24"/>
          <w:szCs w:val="24"/>
        </w:rPr>
        <w:t>将改变土壤的理化指标，造成短期内的水土流失，随着施工</w:t>
      </w:r>
      <w:r>
        <w:rPr>
          <w:rFonts w:ascii="SimSun" w:hAnsi="SimSun" w:eastAsia="SimSun" w:cs="SimSun"/>
          <w:sz w:val="24"/>
          <w:szCs w:val="24"/>
          <w:spacing w:val="-1"/>
        </w:rPr>
        <w:t>期的结束，土壤表面</w:t>
      </w:r>
      <w:r>
        <w:rPr>
          <w:rFonts w:ascii="SimSun" w:hAnsi="SimSun" w:eastAsia="SimSun" w:cs="SimSun"/>
          <w:sz w:val="24"/>
          <w:szCs w:val="24"/>
          <w:spacing w:val="-2"/>
        </w:rPr>
        <w:t>将逐渐固化，其对生态环境影响也将逐渐消失。</w:t>
      </w:r>
    </w:p>
    <w:p>
      <w:pPr>
        <w:pStyle w:val="BodyText"/>
        <w:spacing w:line="257" w:lineRule="auto"/>
        <w:rPr/>
      </w:pPr>
      <w:r/>
    </w:p>
    <w:p>
      <w:pPr>
        <w:ind w:left="130"/>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5.1.6 </w:t>
      </w:r>
      <w:r>
        <w:rPr>
          <w:rFonts w:ascii="SimSun" w:hAnsi="SimSun" w:eastAsia="SimSun" w:cs="SimSun"/>
          <w:sz w:val="24"/>
          <w:szCs w:val="24"/>
          <w:b/>
          <w:bCs/>
          <w:spacing w:val="-2"/>
        </w:rPr>
        <w:t>施工期环境影响减缓措施</w:t>
      </w:r>
    </w:p>
    <w:p>
      <w:pPr>
        <w:pStyle w:val="BodyText"/>
        <w:spacing w:line="264" w:lineRule="auto"/>
        <w:rPr/>
      </w:pPr>
      <w:r/>
    </w:p>
    <w:p>
      <w:pPr>
        <w:ind w:left="132" w:right="43" w:firstLine="482"/>
        <w:spacing w:before="79" w:line="359" w:lineRule="auto"/>
        <w:jc w:val="both"/>
        <w:rPr>
          <w:rFonts w:ascii="SimSun" w:hAnsi="SimSun" w:eastAsia="SimSun" w:cs="SimSun"/>
          <w:sz w:val="24"/>
          <w:szCs w:val="24"/>
        </w:rPr>
      </w:pPr>
      <w:r>
        <w:rPr>
          <w:rFonts w:ascii="SimSun" w:hAnsi="SimSun" w:eastAsia="SimSun" w:cs="SimSun"/>
          <w:sz w:val="24"/>
          <w:szCs w:val="24"/>
          <w:spacing w:val="2"/>
        </w:rPr>
        <w:t>一般来说，施工期环境影响是暂时的，随着工程的竣工，施工期环境影响都</w:t>
      </w:r>
      <w:r>
        <w:rPr>
          <w:rFonts w:ascii="SimSun" w:hAnsi="SimSun" w:eastAsia="SimSun" w:cs="SimSun"/>
          <w:sz w:val="24"/>
          <w:szCs w:val="24"/>
          <w:spacing w:val="-7"/>
        </w:rPr>
        <w:t>可以消除或减缓。但施工期某些环境因素表现得比较明显，</w:t>
      </w:r>
      <w:r>
        <w:rPr>
          <w:rFonts w:ascii="SimSun" w:hAnsi="SimSun" w:eastAsia="SimSun" w:cs="SimSun"/>
          <w:sz w:val="24"/>
          <w:szCs w:val="24"/>
          <w:spacing w:val="59"/>
        </w:rPr>
        <w:t xml:space="preserve"> </w:t>
      </w:r>
      <w:r>
        <w:rPr>
          <w:rFonts w:ascii="SimSun" w:hAnsi="SimSun" w:eastAsia="SimSun" w:cs="SimSun"/>
          <w:sz w:val="24"/>
          <w:szCs w:val="24"/>
          <w:spacing w:val="-7"/>
        </w:rPr>
        <w:t>故必须</w:t>
      </w:r>
      <w:r>
        <w:rPr>
          <w:rFonts w:ascii="SimSun" w:hAnsi="SimSun" w:eastAsia="SimSun" w:cs="SimSun"/>
          <w:sz w:val="24"/>
          <w:szCs w:val="24"/>
          <w:spacing w:val="-8"/>
        </w:rPr>
        <w:t>采取减缓措施，</w:t>
      </w:r>
      <w:r>
        <w:rPr>
          <w:rFonts w:ascii="SimSun" w:hAnsi="SimSun" w:eastAsia="SimSun" w:cs="SimSun"/>
          <w:sz w:val="24"/>
          <w:szCs w:val="24"/>
          <w:spacing w:val="-3"/>
        </w:rPr>
        <w:t>尽可能地减少或消除这些影响。</w:t>
      </w:r>
    </w:p>
    <w:p>
      <w:pPr>
        <w:ind w:left="618"/>
        <w:spacing w:before="1" w:line="23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）施工扬尘</w:t>
      </w:r>
    </w:p>
    <w:p>
      <w:pPr>
        <w:ind w:left="610"/>
        <w:spacing w:before="159" w:line="217" w:lineRule="auto"/>
        <w:rPr>
          <w:rFonts w:ascii="SimSun" w:hAnsi="SimSun" w:eastAsia="SimSun" w:cs="SimSun"/>
          <w:sz w:val="24"/>
          <w:szCs w:val="24"/>
        </w:rPr>
      </w:pPr>
      <w:r>
        <w:rPr>
          <w:rFonts w:ascii="SimSun" w:hAnsi="SimSun" w:eastAsia="SimSun" w:cs="SimSun"/>
          <w:sz w:val="24"/>
          <w:szCs w:val="24"/>
          <w:spacing w:val="-2"/>
        </w:rPr>
        <w:t>①施工场地每天定时洒水，防止浮尘，在大风天加大洒水量及洒水次数；</w:t>
      </w:r>
    </w:p>
    <w:p>
      <w:pPr>
        <w:ind w:left="609"/>
        <w:spacing w:before="186" w:line="217" w:lineRule="auto"/>
        <w:rPr>
          <w:rFonts w:ascii="SimSun" w:hAnsi="SimSun" w:eastAsia="SimSun" w:cs="SimSun"/>
          <w:sz w:val="24"/>
          <w:szCs w:val="24"/>
        </w:rPr>
      </w:pPr>
      <w:r>
        <w:rPr>
          <w:rFonts w:ascii="SimSun" w:hAnsi="SimSun" w:eastAsia="SimSun" w:cs="SimSun"/>
          <w:sz w:val="24"/>
          <w:szCs w:val="24"/>
          <w:spacing w:val="-2"/>
        </w:rPr>
        <w:t>②施工场地内运输通道及时清运、冲洗，以减少</w:t>
      </w:r>
      <w:r>
        <w:rPr>
          <w:rFonts w:ascii="SimSun" w:hAnsi="SimSun" w:eastAsia="SimSun" w:cs="SimSun"/>
          <w:sz w:val="24"/>
          <w:szCs w:val="24"/>
          <w:spacing w:val="-3"/>
        </w:rPr>
        <w:t>汽车行驶扬尘；</w:t>
      </w:r>
    </w:p>
    <w:p>
      <w:pPr>
        <w:ind w:left="609"/>
        <w:spacing w:before="186" w:line="217" w:lineRule="auto"/>
        <w:rPr>
          <w:rFonts w:ascii="SimSun" w:hAnsi="SimSun" w:eastAsia="SimSun" w:cs="SimSun"/>
          <w:sz w:val="24"/>
          <w:szCs w:val="24"/>
        </w:rPr>
      </w:pPr>
      <w:r>
        <w:rPr>
          <w:rFonts w:ascii="SimSun" w:hAnsi="SimSun" w:eastAsia="SimSun" w:cs="SimSun"/>
          <w:sz w:val="24"/>
          <w:szCs w:val="24"/>
          <w:spacing w:val="-2"/>
        </w:rPr>
        <w:t>③运输车辆进入施工场地应低速行驶或限速行驶</w:t>
      </w:r>
      <w:r>
        <w:rPr>
          <w:rFonts w:ascii="SimSun" w:hAnsi="SimSun" w:eastAsia="SimSun" w:cs="SimSun"/>
          <w:sz w:val="24"/>
          <w:szCs w:val="24"/>
          <w:spacing w:val="-3"/>
        </w:rPr>
        <w:t>，减少产生量；</w:t>
      </w:r>
    </w:p>
    <w:p>
      <w:pPr>
        <w:ind w:left="609"/>
        <w:spacing w:before="184" w:line="217" w:lineRule="auto"/>
        <w:rPr>
          <w:rFonts w:ascii="SimSun" w:hAnsi="SimSun" w:eastAsia="SimSun" w:cs="SimSun"/>
          <w:sz w:val="24"/>
          <w:szCs w:val="24"/>
        </w:rPr>
      </w:pPr>
      <w:r>
        <w:rPr>
          <w:rFonts w:ascii="SimSun" w:hAnsi="SimSun" w:eastAsia="SimSun" w:cs="SimSun"/>
          <w:sz w:val="24"/>
          <w:szCs w:val="24"/>
          <w:spacing w:val="-4"/>
        </w:rPr>
        <w:t>④施工渣土外运车辆应覆盖，严禁沿路遗洒；</w:t>
      </w:r>
    </w:p>
    <w:p>
      <w:pPr>
        <w:ind w:left="609"/>
        <w:spacing w:before="186" w:line="217" w:lineRule="auto"/>
        <w:rPr>
          <w:rFonts w:ascii="SimSun" w:hAnsi="SimSun" w:eastAsia="SimSun" w:cs="SimSun"/>
          <w:sz w:val="24"/>
          <w:szCs w:val="24"/>
        </w:rPr>
      </w:pPr>
      <w:r>
        <w:rPr>
          <w:rFonts w:ascii="SimSun" w:hAnsi="SimSun" w:eastAsia="SimSun" w:cs="SimSun"/>
          <w:sz w:val="24"/>
          <w:szCs w:val="24"/>
          <w:spacing w:val="-2"/>
        </w:rPr>
        <w:t>⑤避免起尘原料的露天堆放，所有来往施工现场的起</w:t>
      </w:r>
      <w:r>
        <w:rPr>
          <w:rFonts w:ascii="SimSun" w:hAnsi="SimSun" w:eastAsia="SimSun" w:cs="SimSun"/>
          <w:sz w:val="24"/>
          <w:szCs w:val="24"/>
          <w:spacing w:val="-3"/>
        </w:rPr>
        <w:t>尘物料均应用苫布覆盖；</w:t>
      </w:r>
    </w:p>
    <w:p>
      <w:pPr>
        <w:ind w:left="609"/>
        <w:spacing w:before="184" w:line="217" w:lineRule="auto"/>
        <w:rPr>
          <w:rFonts w:ascii="SimSun" w:hAnsi="SimSun" w:eastAsia="SimSun" w:cs="SimSun"/>
          <w:sz w:val="24"/>
          <w:szCs w:val="24"/>
        </w:rPr>
      </w:pPr>
      <w:r>
        <w:rPr>
          <w:rFonts w:ascii="SimSun" w:hAnsi="SimSun" w:eastAsia="SimSun" w:cs="SimSun"/>
          <w:sz w:val="24"/>
          <w:szCs w:val="24"/>
          <w:spacing w:val="-2"/>
        </w:rPr>
        <w:t>⑥施工过程中应采用商品砼和水泥预制件，尽量少用干水泥。</w:t>
      </w:r>
    </w:p>
    <w:p>
      <w:pPr>
        <w:ind w:left="618"/>
        <w:spacing w:before="185"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）施工噪声</w:t>
      </w:r>
    </w:p>
    <w:p>
      <w:pPr>
        <w:ind w:left="143" w:right="119" w:firstLine="466"/>
        <w:spacing w:before="162" w:line="359" w:lineRule="auto"/>
        <w:rPr>
          <w:rFonts w:ascii="SimSun" w:hAnsi="SimSun" w:eastAsia="SimSun" w:cs="SimSun"/>
          <w:sz w:val="24"/>
          <w:szCs w:val="24"/>
        </w:rPr>
      </w:pPr>
      <w:r>
        <w:rPr>
          <w:rFonts w:ascii="SimSun" w:hAnsi="SimSun" w:eastAsia="SimSun" w:cs="SimSun"/>
          <w:sz w:val="24"/>
          <w:szCs w:val="24"/>
          <w:spacing w:val="3"/>
        </w:rPr>
        <w:t>施工期噪声影响特点是运输车辆的行驶和施工</w:t>
      </w:r>
      <w:r>
        <w:rPr>
          <w:rFonts w:ascii="SimSun" w:hAnsi="SimSun" w:eastAsia="SimSun" w:cs="SimSun"/>
          <w:sz w:val="24"/>
          <w:szCs w:val="24"/>
          <w:spacing w:val="2"/>
        </w:rPr>
        <w:t>设备的运转是分散的，噪声影</w:t>
      </w:r>
      <w:r>
        <w:rPr>
          <w:rFonts w:ascii="SimSun" w:hAnsi="SimSun" w:eastAsia="SimSun" w:cs="SimSun"/>
          <w:sz w:val="24"/>
          <w:szCs w:val="24"/>
          <w:spacing w:val="-4"/>
        </w:rPr>
        <w:t>响具有流动性和不稳定性，本环评建议：</w:t>
      </w:r>
    </w:p>
    <w:p>
      <w:pPr>
        <w:ind w:left="131" w:right="42" w:firstLine="478"/>
        <w:spacing w:line="362" w:lineRule="auto"/>
        <w:rPr>
          <w:rFonts w:ascii="SimSun" w:hAnsi="SimSun" w:eastAsia="SimSun" w:cs="SimSun"/>
          <w:sz w:val="24"/>
          <w:szCs w:val="24"/>
        </w:rPr>
      </w:pPr>
      <w:r>
        <w:rPr>
          <w:rFonts w:ascii="SimSun" w:hAnsi="SimSun" w:eastAsia="SimSun" w:cs="SimSun"/>
          <w:sz w:val="24"/>
          <w:szCs w:val="24"/>
          <w:spacing w:val="-2"/>
        </w:rPr>
        <w:t>①合理安排施工时间，制订施工计划时，应尽可能避免高噪</w:t>
      </w:r>
      <w:r>
        <w:rPr>
          <w:rFonts w:ascii="SimSun" w:hAnsi="SimSun" w:eastAsia="SimSun" w:cs="SimSun"/>
          <w:sz w:val="24"/>
          <w:szCs w:val="24"/>
          <w:spacing w:val="-3"/>
        </w:rPr>
        <w:t>声设备同时施工，</w:t>
      </w:r>
      <w:r>
        <w:rPr>
          <w:rFonts w:ascii="SimSun" w:hAnsi="SimSun" w:eastAsia="SimSun" w:cs="SimSun"/>
          <w:sz w:val="24"/>
          <w:szCs w:val="24"/>
          <w:spacing w:val="-6"/>
        </w:rPr>
        <w:t>禁止夜间施工。</w:t>
      </w:r>
    </w:p>
    <w:p>
      <w:pPr>
        <w:spacing w:line="362" w:lineRule="auto"/>
        <w:sectPr>
          <w:footerReference w:type="default" r:id="rId128"/>
          <w:pgSz w:w="11907" w:h="16839"/>
          <w:pgMar w:top="1442" w:right="1588" w:bottom="1235" w:left="1579" w:header="1064" w:footer="992" w:gutter="0"/>
        </w:sectPr>
        <w:rPr>
          <w:rFonts w:ascii="SimSun" w:hAnsi="SimSun" w:eastAsia="SimSun" w:cs="SimSun"/>
          <w:sz w:val="24"/>
          <w:szCs w:val="24"/>
        </w:rPr>
      </w:pPr>
    </w:p>
    <w:p>
      <w:pPr>
        <w:ind w:left="125" w:right="77" w:firstLine="458"/>
        <w:spacing w:before="293" w:line="289" w:lineRule="auto"/>
        <w:rPr>
          <w:rFonts w:ascii="SimSun" w:hAnsi="SimSun" w:eastAsia="SimSun" w:cs="SimSun"/>
          <w:sz w:val="24"/>
          <w:szCs w:val="24"/>
        </w:rPr>
      </w:pPr>
      <w:r>
        <w:rPr>
          <w:rFonts w:ascii="SimSun" w:hAnsi="SimSun" w:eastAsia="SimSun" w:cs="SimSun"/>
          <w:sz w:val="24"/>
          <w:szCs w:val="24"/>
          <w:spacing w:val="3"/>
        </w:rPr>
        <w:t>②合理规划施工平面，对位置相对固定的机械设</w:t>
      </w:r>
      <w:r>
        <w:rPr>
          <w:rFonts w:ascii="SimSun" w:hAnsi="SimSun" w:eastAsia="SimSun" w:cs="SimSun"/>
          <w:sz w:val="24"/>
          <w:szCs w:val="24"/>
          <w:spacing w:val="2"/>
        </w:rPr>
        <w:t>备远离环境敏感点并设必要</w:t>
      </w:r>
      <w:r>
        <w:rPr>
          <w:rFonts w:ascii="SimSun" w:hAnsi="SimSun" w:eastAsia="SimSun" w:cs="SimSun"/>
          <w:sz w:val="24"/>
          <w:szCs w:val="24"/>
          <w:spacing w:val="-9"/>
        </w:rPr>
        <w:t>的防护措施。</w:t>
      </w:r>
    </w:p>
    <w:p>
      <w:pPr>
        <w:ind w:left="106" w:right="77" w:firstLine="477"/>
        <w:spacing w:before="181" w:line="324" w:lineRule="auto"/>
        <w:rPr>
          <w:rFonts w:ascii="SimSun" w:hAnsi="SimSun" w:eastAsia="SimSun" w:cs="SimSun"/>
          <w:sz w:val="24"/>
          <w:szCs w:val="24"/>
        </w:rPr>
      </w:pPr>
      <w:r>
        <w:rPr>
          <w:rFonts w:ascii="SimSun" w:hAnsi="SimSun" w:eastAsia="SimSun" w:cs="SimSun"/>
          <w:sz w:val="24"/>
          <w:szCs w:val="24"/>
          <w:spacing w:val="3"/>
        </w:rPr>
        <w:t>③降低设备声级，设备选型上尽量采用低噪声设</w:t>
      </w:r>
      <w:r>
        <w:rPr>
          <w:rFonts w:ascii="SimSun" w:hAnsi="SimSun" w:eastAsia="SimSun" w:cs="SimSun"/>
          <w:sz w:val="24"/>
          <w:szCs w:val="24"/>
          <w:spacing w:val="2"/>
        </w:rPr>
        <w:t>备；可通过消音器和隔离发</w:t>
      </w:r>
      <w:r>
        <w:rPr>
          <w:rFonts w:ascii="SimSun" w:hAnsi="SimSun" w:eastAsia="SimSun" w:cs="SimSun"/>
          <w:sz w:val="24"/>
          <w:szCs w:val="24"/>
          <w:spacing w:val="16"/>
        </w:rPr>
        <w:t>动机振动部件的方法降低噪声；对动力机械设备进行定期的维修、养护，维</w:t>
      </w:r>
      <w:r>
        <w:rPr>
          <w:rFonts w:ascii="SimSun" w:hAnsi="SimSun" w:eastAsia="SimSun" w:cs="SimSun"/>
          <w:sz w:val="24"/>
          <w:szCs w:val="24"/>
          <w:spacing w:val="17"/>
        </w:rPr>
        <w:t>护不良的设备常因松动不紧的振动或消音器的损坏而增加其工作时噪声级；</w:t>
      </w:r>
      <w:r>
        <w:rPr>
          <w:rFonts w:ascii="SimSun" w:hAnsi="SimSun" w:eastAsia="SimSun" w:cs="SimSun"/>
          <w:sz w:val="24"/>
          <w:szCs w:val="24"/>
          <w:spacing w:val="15"/>
        </w:rPr>
        <w:t>闲置不用的设备应立即关闭；</w:t>
      </w:r>
      <w:r>
        <w:rPr>
          <w:rFonts w:ascii="SimSun" w:hAnsi="SimSun" w:eastAsia="SimSun" w:cs="SimSun"/>
          <w:sz w:val="24"/>
          <w:szCs w:val="24"/>
          <w:spacing w:val="-70"/>
        </w:rPr>
        <w:t xml:space="preserve"> </w:t>
      </w:r>
      <w:r>
        <w:rPr>
          <w:rFonts w:ascii="SimSun" w:hAnsi="SimSun" w:eastAsia="SimSun" w:cs="SimSun"/>
          <w:sz w:val="24"/>
          <w:szCs w:val="24"/>
          <w:spacing w:val="15"/>
        </w:rPr>
        <w:t>运输车辆进入现</w:t>
      </w:r>
      <w:r>
        <w:rPr>
          <w:rFonts w:ascii="SimSun" w:hAnsi="SimSun" w:eastAsia="SimSun" w:cs="SimSun"/>
          <w:sz w:val="24"/>
          <w:szCs w:val="24"/>
          <w:spacing w:val="14"/>
        </w:rPr>
        <w:t>场应减速，</w:t>
      </w:r>
      <w:r>
        <w:rPr>
          <w:rFonts w:ascii="SimSun" w:hAnsi="SimSun" w:eastAsia="SimSun" w:cs="SimSun"/>
          <w:sz w:val="24"/>
          <w:szCs w:val="24"/>
          <w:spacing w:val="-64"/>
        </w:rPr>
        <w:t xml:space="preserve"> </w:t>
      </w:r>
      <w:r>
        <w:rPr>
          <w:rFonts w:ascii="SimSun" w:hAnsi="SimSun" w:eastAsia="SimSun" w:cs="SimSun"/>
          <w:sz w:val="24"/>
          <w:szCs w:val="24"/>
          <w:spacing w:val="14"/>
        </w:rPr>
        <w:t>并禁止鸣笛。</w:t>
      </w:r>
    </w:p>
    <w:p>
      <w:pPr>
        <w:ind w:left="591"/>
        <w:spacing w:before="183"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）施工废水</w:t>
      </w:r>
    </w:p>
    <w:p>
      <w:pPr>
        <w:ind w:left="108" w:right="87" w:firstLine="476"/>
        <w:spacing w:before="162" w:line="360" w:lineRule="auto"/>
        <w:rPr>
          <w:rFonts w:ascii="SimSun" w:hAnsi="SimSun" w:eastAsia="SimSun" w:cs="SimSun"/>
          <w:sz w:val="24"/>
          <w:szCs w:val="24"/>
        </w:rPr>
      </w:pPr>
      <w:r>
        <w:rPr>
          <w:rFonts w:ascii="SimSun" w:hAnsi="SimSun" w:eastAsia="SimSun" w:cs="SimSun"/>
          <w:sz w:val="24"/>
          <w:szCs w:val="24"/>
          <w:spacing w:val="2"/>
        </w:rPr>
        <w:t>施工期产生的废水沉淀后回用于施工，生活污水排入室外临时防渗旱厕，定</w:t>
      </w:r>
      <w:r>
        <w:rPr>
          <w:rFonts w:ascii="SimSun" w:hAnsi="SimSun" w:eastAsia="SimSun" w:cs="SimSun"/>
          <w:sz w:val="24"/>
          <w:szCs w:val="24"/>
          <w:spacing w:val="-1"/>
        </w:rPr>
        <w:t>期清抽外运作农家肥，不外排，不会对地表水环境造成污染。</w:t>
      </w:r>
    </w:p>
    <w:p>
      <w:pPr>
        <w:ind w:left="591"/>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）固体废物</w:t>
      </w:r>
    </w:p>
    <w:p>
      <w:pPr>
        <w:ind w:left="105" w:right="68" w:firstLine="478"/>
        <w:spacing w:before="161" w:line="359" w:lineRule="auto"/>
        <w:rPr>
          <w:rFonts w:ascii="SimSun" w:hAnsi="SimSun" w:eastAsia="SimSun" w:cs="SimSun"/>
          <w:sz w:val="24"/>
          <w:szCs w:val="24"/>
        </w:rPr>
      </w:pPr>
      <w:r>
        <w:rPr>
          <w:rFonts w:ascii="SimSun" w:hAnsi="SimSun" w:eastAsia="SimSun" w:cs="SimSun"/>
          <w:sz w:val="24"/>
          <w:szCs w:val="24"/>
          <w:spacing w:val="1"/>
        </w:rPr>
        <w:t>施工人员的生活垃圾暂存于垃圾箱中，</w:t>
      </w:r>
      <w:r>
        <w:rPr>
          <w:rFonts w:ascii="SimSun" w:hAnsi="SimSun" w:eastAsia="SimSun" w:cs="SimSun"/>
          <w:sz w:val="24"/>
          <w:szCs w:val="24"/>
          <w:spacing w:val="-59"/>
        </w:rPr>
        <w:t xml:space="preserve"> </w:t>
      </w:r>
      <w:r>
        <w:rPr>
          <w:rFonts w:ascii="SimSun" w:hAnsi="SimSun" w:eastAsia="SimSun" w:cs="SimSun"/>
          <w:sz w:val="24"/>
          <w:szCs w:val="24"/>
          <w:spacing w:val="1"/>
        </w:rPr>
        <w:t>由环卫部门统一清运处理，建筑垃圾</w:t>
      </w:r>
      <w:r>
        <w:rPr>
          <w:rFonts w:ascii="SimSun" w:hAnsi="SimSun" w:eastAsia="SimSun" w:cs="SimSun"/>
          <w:sz w:val="24"/>
          <w:szCs w:val="24"/>
          <w:spacing w:val="-1"/>
        </w:rPr>
        <w:t>应及时清运至各建筑工地作地基填土使用。</w:t>
      </w:r>
    </w:p>
    <w:p>
      <w:pPr>
        <w:ind w:left="632"/>
        <w:spacing w:before="1" w:line="235"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5</w:t>
      </w:r>
      <w:r>
        <w:rPr>
          <w:rFonts w:ascii="SimSun" w:hAnsi="SimSun" w:eastAsia="SimSun" w:cs="SimSun"/>
          <w:sz w:val="24"/>
          <w:szCs w:val="24"/>
          <w:spacing w:val="10"/>
        </w:rPr>
        <w:t>）生态影响</w:t>
      </w:r>
    </w:p>
    <w:p>
      <w:pPr>
        <w:ind w:left="105" w:right="69" w:firstLine="480"/>
        <w:spacing w:before="163" w:line="359" w:lineRule="auto"/>
        <w:rPr>
          <w:rFonts w:ascii="SimSun" w:hAnsi="SimSun" w:eastAsia="SimSun" w:cs="SimSun"/>
          <w:sz w:val="24"/>
          <w:szCs w:val="24"/>
        </w:rPr>
      </w:pPr>
      <w:r>
        <w:rPr>
          <w:rFonts w:ascii="SimSun" w:hAnsi="SimSun" w:eastAsia="SimSun" w:cs="SimSun"/>
          <w:sz w:val="24"/>
          <w:szCs w:val="24"/>
          <w:spacing w:val="3"/>
        </w:rPr>
        <w:t>本项目租用锡林浩特市额尔敦街道办事处新兴</w:t>
      </w:r>
      <w:r>
        <w:rPr>
          <w:rFonts w:ascii="SimSun" w:hAnsi="SimSun" w:eastAsia="SimSun" w:cs="SimSun"/>
          <w:sz w:val="24"/>
          <w:szCs w:val="24"/>
          <w:spacing w:val="2"/>
        </w:rPr>
        <w:t>社区沃源奶牛场部分厂址进行</w:t>
      </w:r>
      <w:r>
        <w:rPr>
          <w:rFonts w:ascii="SimSun" w:hAnsi="SimSun" w:eastAsia="SimSun" w:cs="SimSun"/>
          <w:sz w:val="24"/>
          <w:szCs w:val="24"/>
          <w:spacing w:val="3"/>
        </w:rPr>
        <w:t>建设，不新增占地，建设过程不存在树木砍伐等破</w:t>
      </w:r>
      <w:r>
        <w:rPr>
          <w:rFonts w:ascii="SimSun" w:hAnsi="SimSun" w:eastAsia="SimSun" w:cs="SimSun"/>
          <w:sz w:val="24"/>
          <w:szCs w:val="24"/>
          <w:spacing w:val="2"/>
        </w:rPr>
        <w:t>坏现象，且工程建成后，场区</w:t>
      </w:r>
      <w:r>
        <w:rPr>
          <w:rFonts w:ascii="SimSun" w:hAnsi="SimSun" w:eastAsia="SimSun" w:cs="SimSun"/>
          <w:sz w:val="24"/>
          <w:szCs w:val="24"/>
          <w:spacing w:val="2"/>
        </w:rPr>
        <w:t>内各建（构）筑物已建成，场区内道路及空地等已经进行地面硬化，并加强绿化</w:t>
      </w:r>
      <w:r>
        <w:rPr>
          <w:rFonts w:ascii="SimSun" w:hAnsi="SimSun" w:eastAsia="SimSun" w:cs="SimSun"/>
          <w:sz w:val="24"/>
          <w:szCs w:val="24"/>
          <w:spacing w:val="2"/>
        </w:rPr>
        <w:t>建设，在树木选择上，种植生命力较强，有较好的净化空气能力，适应性强的树</w:t>
      </w:r>
      <w:r>
        <w:rPr>
          <w:rFonts w:ascii="SimSun" w:hAnsi="SimSun" w:eastAsia="SimSun" w:cs="SimSun"/>
          <w:sz w:val="24"/>
          <w:szCs w:val="24"/>
          <w:spacing w:val="2"/>
        </w:rPr>
        <w:t>种，采用耐寒耐旱，能适应贫瘠土壤的植物物种，使绿化率大大提高，故不会对</w:t>
      </w:r>
      <w:r>
        <w:rPr>
          <w:rFonts w:ascii="SimSun" w:hAnsi="SimSun" w:eastAsia="SimSun" w:cs="SimSun"/>
          <w:sz w:val="24"/>
          <w:szCs w:val="24"/>
          <w:spacing w:val="-3"/>
        </w:rPr>
        <w:t>生态环境产生较大不良影响。</w:t>
      </w:r>
    </w:p>
    <w:p>
      <w:pPr>
        <w:ind w:left="104" w:right="77" w:firstLine="483"/>
        <w:spacing w:before="1" w:line="360" w:lineRule="auto"/>
        <w:rPr>
          <w:rFonts w:ascii="SimSun" w:hAnsi="SimSun" w:eastAsia="SimSun" w:cs="SimSun"/>
          <w:sz w:val="24"/>
          <w:szCs w:val="24"/>
        </w:rPr>
      </w:pPr>
      <w:r>
        <w:rPr>
          <w:rFonts w:ascii="SimSun" w:hAnsi="SimSun" w:eastAsia="SimSun" w:cs="SimSun"/>
          <w:sz w:val="24"/>
          <w:szCs w:val="24"/>
          <w:spacing w:val="2"/>
        </w:rPr>
        <w:t>综上所述，施工期虽然可能带来某些环境影响因素，但这些因素不可能长期</w:t>
      </w:r>
      <w:r>
        <w:rPr>
          <w:rFonts w:ascii="SimSun" w:hAnsi="SimSun" w:eastAsia="SimSun" w:cs="SimSun"/>
          <w:sz w:val="24"/>
          <w:szCs w:val="24"/>
          <w:spacing w:val="-2"/>
        </w:rPr>
        <w:t>存在，随着工程的竣工，绝大部分影响因素将消失或缓解。</w:t>
      </w:r>
    </w:p>
    <w:p>
      <w:pPr>
        <w:ind w:left="104"/>
        <w:spacing w:before="258" w:line="234" w:lineRule="auto"/>
        <w:outlineLvl w:val="1"/>
        <w:rPr>
          <w:rFonts w:ascii="SimSun" w:hAnsi="SimSun" w:eastAsia="SimSun" w:cs="SimSun"/>
          <w:sz w:val="24"/>
          <w:szCs w:val="24"/>
        </w:rPr>
      </w:pPr>
      <w:bookmarkStart w:name="bookmark28" w:id="34"/>
      <w:bookmarkEnd w:id="34"/>
      <w:r>
        <w:rPr>
          <w:rFonts w:ascii="Times New Roman" w:hAnsi="Times New Roman" w:eastAsia="Times New Roman" w:cs="Times New Roman"/>
          <w:sz w:val="24"/>
          <w:szCs w:val="24"/>
          <w:b/>
          <w:bCs/>
          <w:spacing w:val="-3"/>
        </w:rPr>
        <w:t>5.2</w:t>
      </w:r>
      <w:r>
        <w:rPr>
          <w:rFonts w:ascii="Times New Roman" w:hAnsi="Times New Roman" w:eastAsia="Times New Roman" w:cs="Times New Roman"/>
          <w:sz w:val="24"/>
          <w:szCs w:val="24"/>
          <w:b/>
          <w:bCs/>
          <w:spacing w:val="16"/>
          <w:w w:val="101"/>
        </w:rPr>
        <w:t xml:space="preserve"> </w:t>
      </w:r>
      <w:r>
        <w:rPr>
          <w:rFonts w:ascii="SimSun" w:hAnsi="SimSun" w:eastAsia="SimSun" w:cs="SimSun"/>
          <w:sz w:val="24"/>
          <w:szCs w:val="24"/>
          <w:b/>
          <w:bCs/>
          <w:spacing w:val="-3"/>
        </w:rPr>
        <w:t>营运期环境影响分析与预测</w:t>
      </w:r>
    </w:p>
    <w:p>
      <w:pPr>
        <w:pStyle w:val="BodyText"/>
        <w:spacing w:line="247" w:lineRule="auto"/>
        <w:rPr/>
      </w:pPr>
      <w:r/>
    </w:p>
    <w:p>
      <w:pPr>
        <w:pStyle w:val="BodyText"/>
        <w:spacing w:line="247"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3"/>
        </w:rPr>
        <w:t>5.2.1</w:t>
      </w:r>
      <w:r>
        <w:rPr>
          <w:rFonts w:ascii="Times New Roman" w:hAnsi="Times New Roman" w:eastAsia="Times New Roman" w:cs="Times New Roman"/>
          <w:sz w:val="24"/>
          <w:szCs w:val="24"/>
          <w:b/>
          <w:bCs/>
          <w:spacing w:val="22"/>
        </w:rPr>
        <w:t xml:space="preserve"> </w:t>
      </w:r>
      <w:r>
        <w:rPr>
          <w:rFonts w:ascii="SimSun" w:hAnsi="SimSun" w:eastAsia="SimSun" w:cs="SimSun"/>
          <w:sz w:val="24"/>
          <w:szCs w:val="24"/>
          <w:b/>
          <w:bCs/>
          <w:spacing w:val="-3"/>
        </w:rPr>
        <w:t>营运期地表水环境影响分析</w:t>
      </w:r>
    </w:p>
    <w:p>
      <w:pPr>
        <w:pStyle w:val="BodyText"/>
        <w:spacing w:line="264" w:lineRule="auto"/>
        <w:rPr/>
      </w:pPr>
      <w:r/>
    </w:p>
    <w:p>
      <w:pPr>
        <w:ind w:left="105" w:right="66" w:firstLine="480"/>
        <w:spacing w:before="78" w:line="356" w:lineRule="auto"/>
        <w:jc w:val="both"/>
        <w:rPr>
          <w:rFonts w:ascii="SimSun" w:hAnsi="SimSun" w:eastAsia="SimSun" w:cs="SimSun"/>
          <w:sz w:val="24"/>
          <w:szCs w:val="24"/>
        </w:rPr>
      </w:pPr>
      <w:r>
        <w:rPr>
          <w:rFonts w:ascii="SimSun" w:hAnsi="SimSun" w:eastAsia="SimSun" w:cs="SimSun"/>
          <w:sz w:val="24"/>
          <w:szCs w:val="24"/>
          <w:spacing w:val="-2"/>
        </w:rPr>
        <w:t>本项目地表水评价等级为水污染影响型三级</w:t>
      </w:r>
      <w:r>
        <w:rPr>
          <w:rFonts w:ascii="Times New Roman" w:hAnsi="Times New Roman" w:eastAsia="Times New Roman" w:cs="Times New Roman"/>
          <w:sz w:val="24"/>
          <w:szCs w:val="24"/>
          <w:spacing w:val="-2"/>
        </w:rPr>
        <w:t>B</w:t>
      </w:r>
      <w:r>
        <w:rPr>
          <w:rFonts w:ascii="SimSun" w:hAnsi="SimSun" w:eastAsia="SimSun" w:cs="SimSun"/>
          <w:sz w:val="24"/>
          <w:szCs w:val="24"/>
          <w:spacing w:val="-2"/>
        </w:rPr>
        <w:t>评价。根据《环境影响评价技术</w:t>
      </w:r>
      <w:r>
        <w:rPr>
          <w:rFonts w:ascii="SimSun" w:hAnsi="SimSun" w:eastAsia="SimSun" w:cs="SimSun"/>
          <w:sz w:val="24"/>
          <w:szCs w:val="24"/>
          <w:spacing w:val="-3"/>
        </w:rPr>
        <w:t>导则 地表水环境》（</w:t>
      </w:r>
      <w:r>
        <w:rPr>
          <w:rFonts w:ascii="Times New Roman" w:hAnsi="Times New Roman" w:eastAsia="Times New Roman" w:cs="Times New Roman"/>
          <w:sz w:val="24"/>
          <w:szCs w:val="24"/>
          <w:spacing w:val="-3"/>
        </w:rPr>
        <w:t>HJ2.3-2018</w:t>
      </w:r>
      <w:r>
        <w:rPr>
          <w:rFonts w:ascii="SimSun" w:hAnsi="SimSun" w:eastAsia="SimSun" w:cs="SimSun"/>
          <w:sz w:val="24"/>
          <w:szCs w:val="24"/>
          <w:spacing w:val="-3"/>
        </w:rPr>
        <w:t>）相关要求，水污染影响型三级</w:t>
      </w:r>
      <w:r>
        <w:rPr>
          <w:rFonts w:ascii="Times New Roman" w:hAnsi="Times New Roman" w:eastAsia="Times New Roman" w:cs="Times New Roman"/>
          <w:sz w:val="24"/>
          <w:szCs w:val="24"/>
          <w:spacing w:val="-3"/>
        </w:rPr>
        <w:t>B</w:t>
      </w:r>
      <w:r>
        <w:rPr>
          <w:rFonts w:ascii="SimSun" w:hAnsi="SimSun" w:eastAsia="SimSun" w:cs="SimSun"/>
          <w:sz w:val="24"/>
          <w:szCs w:val="24"/>
          <w:spacing w:val="-3"/>
        </w:rPr>
        <w:t>评价可不进行水</w:t>
      </w:r>
      <w:r>
        <w:rPr>
          <w:rFonts w:ascii="SimSun" w:hAnsi="SimSun" w:eastAsia="SimSun" w:cs="SimSun"/>
          <w:sz w:val="24"/>
          <w:szCs w:val="24"/>
          <w:spacing w:val="-1"/>
        </w:rPr>
        <w:t>环境影响预测，主要评价内容包括水污染控制和水环境</w:t>
      </w:r>
      <w:r>
        <w:rPr>
          <w:rFonts w:ascii="SimSun" w:hAnsi="SimSun" w:eastAsia="SimSun" w:cs="SimSun"/>
          <w:sz w:val="24"/>
          <w:szCs w:val="24"/>
          <w:spacing w:val="-2"/>
        </w:rPr>
        <w:t>减缓措施有效性评价。</w:t>
      </w:r>
    </w:p>
    <w:p>
      <w:pPr>
        <w:ind w:left="585"/>
        <w:spacing w:before="12" w:line="219" w:lineRule="auto"/>
        <w:rPr>
          <w:rFonts w:ascii="SimSun" w:hAnsi="SimSun" w:eastAsia="SimSun" w:cs="SimSun"/>
          <w:sz w:val="24"/>
          <w:szCs w:val="24"/>
        </w:rPr>
      </w:pPr>
      <w:r>
        <w:rPr>
          <w:rFonts w:ascii="SimSun" w:hAnsi="SimSun" w:eastAsia="SimSun" w:cs="SimSun"/>
          <w:sz w:val="24"/>
          <w:szCs w:val="24"/>
          <w:spacing w:val="3"/>
        </w:rPr>
        <w:t>根据“内蒙古自治区人民政府办公厅关于印</w:t>
      </w:r>
      <w:r>
        <w:rPr>
          <w:rFonts w:ascii="SimSun" w:hAnsi="SimSun" w:eastAsia="SimSun" w:cs="SimSun"/>
          <w:sz w:val="24"/>
          <w:szCs w:val="24"/>
          <w:spacing w:val="2"/>
        </w:rPr>
        <w:t>发《畜禽粪污资源化利用工作方</w:t>
      </w:r>
    </w:p>
    <w:p>
      <w:pPr>
        <w:spacing w:line="219" w:lineRule="auto"/>
        <w:sectPr>
          <w:headerReference w:type="default" r:id="rId124"/>
          <w:footerReference w:type="default" r:id="rId129"/>
          <w:pgSz w:w="11907" w:h="16839"/>
          <w:pgMar w:top="1442" w:right="1631" w:bottom="1235" w:left="1606" w:header="1064" w:footer="992" w:gutter="0"/>
        </w:sectPr>
        <w:rPr>
          <w:rFonts w:ascii="SimSun" w:hAnsi="SimSun" w:eastAsia="SimSun" w:cs="SimSun"/>
          <w:sz w:val="24"/>
          <w:szCs w:val="24"/>
        </w:rPr>
      </w:pPr>
    </w:p>
    <w:p>
      <w:pPr>
        <w:ind w:left="104" w:right="119" w:firstLine="2"/>
        <w:spacing w:before="290" w:line="359" w:lineRule="auto"/>
        <w:jc w:val="both"/>
        <w:rPr>
          <w:rFonts w:ascii="SimSun" w:hAnsi="SimSun" w:eastAsia="SimSun" w:cs="SimSun"/>
          <w:sz w:val="24"/>
          <w:szCs w:val="24"/>
        </w:rPr>
      </w:pPr>
      <w:r>
        <w:rPr>
          <w:rFonts w:ascii="SimSun" w:hAnsi="SimSun" w:eastAsia="SimSun" w:cs="SimSun"/>
          <w:sz w:val="24"/>
          <w:szCs w:val="24"/>
        </w:rPr>
        <w:t>案（</w:t>
      </w:r>
      <w:r>
        <w:rPr>
          <w:rFonts w:ascii="Times New Roman" w:hAnsi="Times New Roman" w:eastAsia="Times New Roman" w:cs="Times New Roman"/>
          <w:sz w:val="24"/>
          <w:szCs w:val="24"/>
        </w:rPr>
        <w:t>2017-2020</w:t>
      </w:r>
      <w:r>
        <w:rPr>
          <w:rFonts w:ascii="SimSun" w:hAnsi="SimSun" w:eastAsia="SimSun" w:cs="SimSun"/>
          <w:sz w:val="24"/>
          <w:szCs w:val="24"/>
        </w:rPr>
        <w:t>年）》的通知”中畜禽粪污资源化利用工作方案具体措施的规定，</w:t>
      </w:r>
      <w:r>
        <w:rPr>
          <w:rFonts w:ascii="SimSun" w:hAnsi="SimSun" w:eastAsia="SimSun" w:cs="SimSun"/>
          <w:sz w:val="24"/>
          <w:szCs w:val="24"/>
          <w:spacing w:val="2"/>
        </w:rPr>
        <w:t>根据我区现阶段畜禽养殖现状和资源环境特点，以源头减量、过程控制、末端利</w:t>
      </w:r>
      <w:r>
        <w:rPr>
          <w:rFonts w:ascii="SimSun" w:hAnsi="SimSun" w:eastAsia="SimSun" w:cs="SimSun"/>
          <w:sz w:val="24"/>
          <w:szCs w:val="24"/>
          <w:spacing w:val="2"/>
        </w:rPr>
        <w:t>用为核心，重点推广经济适用的通用技术模式。猪和牛等规模化养殖场鼓励采用</w:t>
      </w:r>
      <w:r>
        <w:rPr>
          <w:rFonts w:ascii="SimSun" w:hAnsi="SimSun" w:eastAsia="SimSun" w:cs="SimSun"/>
          <w:sz w:val="24"/>
          <w:szCs w:val="24"/>
          <w:spacing w:val="-1"/>
        </w:rPr>
        <w:t>粪污全量收集还田利用和“固体粪便堆肥</w:t>
      </w:r>
      <w:r>
        <w:rPr>
          <w:rFonts w:ascii="Times New Roman" w:hAnsi="Times New Roman" w:eastAsia="Times New Roman" w:cs="Times New Roman"/>
          <w:sz w:val="24"/>
          <w:szCs w:val="24"/>
          <w:spacing w:val="-1"/>
        </w:rPr>
        <w:t>+</w:t>
      </w:r>
      <w:r>
        <w:rPr>
          <w:rFonts w:ascii="SimSun" w:hAnsi="SimSun" w:eastAsia="SimSun" w:cs="SimSun"/>
          <w:sz w:val="24"/>
          <w:szCs w:val="24"/>
          <w:spacing w:val="-1"/>
        </w:rPr>
        <w:t>污水肥料化利用”等技术模式，</w:t>
      </w:r>
      <w:r>
        <w:rPr>
          <w:rFonts w:ascii="SimSun" w:hAnsi="SimSun" w:eastAsia="SimSun" w:cs="SimSun"/>
          <w:sz w:val="24"/>
          <w:szCs w:val="24"/>
          <w:spacing w:val="-2"/>
        </w:rPr>
        <w:t>推广快</w:t>
      </w:r>
      <w:r>
        <w:rPr>
          <w:rFonts w:ascii="SimSun" w:hAnsi="SimSun" w:eastAsia="SimSun" w:cs="SimSun"/>
          <w:sz w:val="24"/>
          <w:szCs w:val="24"/>
          <w:spacing w:val="2"/>
        </w:rPr>
        <w:t>速低排放的固体粪便堆肥技术和水肥一体化施用技术，促进畜禽粪污就近就地还</w:t>
      </w:r>
      <w:r>
        <w:rPr>
          <w:rFonts w:ascii="SimSun" w:hAnsi="SimSun" w:eastAsia="SimSun" w:cs="SimSun"/>
          <w:sz w:val="24"/>
          <w:szCs w:val="24"/>
          <w:spacing w:val="-9"/>
        </w:rPr>
        <w:t>田利用。</w:t>
      </w:r>
    </w:p>
    <w:p>
      <w:pPr>
        <w:ind w:left="588"/>
        <w:spacing w:before="3" w:line="218" w:lineRule="auto"/>
        <w:rPr>
          <w:rFonts w:ascii="SimSun" w:hAnsi="SimSun" w:eastAsia="SimSun" w:cs="SimSun"/>
          <w:sz w:val="24"/>
          <w:szCs w:val="24"/>
        </w:rPr>
      </w:pPr>
      <w:r>
        <w:rPr>
          <w:rFonts w:ascii="SimSun" w:hAnsi="SimSun" w:eastAsia="SimSun" w:cs="SimSun"/>
          <w:sz w:val="24"/>
          <w:szCs w:val="24"/>
          <w:spacing w:val="-4"/>
        </w:rPr>
        <w:t>水污染控制和水环境影响减缓措施有效性评价：</w:t>
      </w:r>
    </w:p>
    <w:p>
      <w:pPr>
        <w:ind w:left="105" w:right="129" w:firstLine="483"/>
        <w:spacing w:before="182" w:line="360" w:lineRule="auto"/>
        <w:rPr>
          <w:rFonts w:ascii="SimSun" w:hAnsi="SimSun" w:eastAsia="SimSun" w:cs="SimSun"/>
          <w:sz w:val="24"/>
          <w:szCs w:val="24"/>
        </w:rPr>
      </w:pPr>
      <w:r>
        <w:rPr>
          <w:rFonts w:ascii="SimSun" w:hAnsi="SimSun" w:eastAsia="SimSun" w:cs="SimSun"/>
          <w:sz w:val="24"/>
          <w:szCs w:val="24"/>
          <w:spacing w:val="2"/>
        </w:rPr>
        <w:t>项目养殖过程中饮用水量较少，排放的尿液较少，牛尿进入垫层后作为有机</w:t>
      </w:r>
      <w:r>
        <w:rPr>
          <w:rFonts w:ascii="SimSun" w:hAnsi="SimSun" w:eastAsia="SimSun" w:cs="SimSun"/>
          <w:sz w:val="24"/>
          <w:szCs w:val="24"/>
          <w:spacing w:val="-3"/>
        </w:rPr>
        <w:t>肥原料外卖，牛舍内没有流动性尿液排放。</w:t>
      </w:r>
    </w:p>
    <w:p>
      <w:pPr>
        <w:ind w:left="109" w:right="52" w:firstLine="477"/>
        <w:spacing w:before="2" w:line="358" w:lineRule="auto"/>
        <w:jc w:val="both"/>
        <w:rPr>
          <w:rFonts w:ascii="SimSun" w:hAnsi="SimSun" w:eastAsia="SimSun" w:cs="SimSun"/>
          <w:sz w:val="24"/>
          <w:szCs w:val="24"/>
        </w:rPr>
      </w:pPr>
      <w:r>
        <w:rPr>
          <w:rFonts w:ascii="SimSun" w:hAnsi="SimSun" w:eastAsia="SimSun" w:cs="SimSun"/>
          <w:sz w:val="24"/>
          <w:szCs w:val="24"/>
          <w:spacing w:val="3"/>
        </w:rPr>
        <w:t>本项目牛舍铺设垫料，牛尿及牛粪进入垫料，及时将废</w:t>
      </w:r>
      <w:r>
        <w:rPr>
          <w:rFonts w:ascii="SimSun" w:hAnsi="SimSun" w:eastAsia="SimSun" w:cs="SimSun"/>
          <w:sz w:val="24"/>
          <w:szCs w:val="24"/>
          <w:spacing w:val="2"/>
        </w:rPr>
        <w:t>垫料清运至储粪库后</w:t>
      </w:r>
      <w:r>
        <w:rPr>
          <w:rFonts w:ascii="SimSun" w:hAnsi="SimSun" w:eastAsia="SimSun" w:cs="SimSun"/>
          <w:sz w:val="24"/>
          <w:szCs w:val="24"/>
          <w:spacing w:val="-7"/>
        </w:rPr>
        <w:t>定期外售相关单位生产有机肥。此外，</w:t>
      </w:r>
      <w:r>
        <w:rPr>
          <w:rFonts w:ascii="SimSun" w:hAnsi="SimSun" w:eastAsia="SimSun" w:cs="SimSun"/>
          <w:sz w:val="24"/>
          <w:szCs w:val="24"/>
          <w:spacing w:val="59"/>
        </w:rPr>
        <w:t xml:space="preserve"> </w:t>
      </w:r>
      <w:r>
        <w:rPr>
          <w:rFonts w:ascii="SimSun" w:hAnsi="SimSun" w:eastAsia="SimSun" w:cs="SimSun"/>
          <w:sz w:val="24"/>
          <w:szCs w:val="24"/>
          <w:spacing w:val="-7"/>
        </w:rPr>
        <w:t>养殖场场地不采取水冲</w:t>
      </w:r>
      <w:r>
        <w:rPr>
          <w:rFonts w:ascii="SimSun" w:hAnsi="SimSun" w:eastAsia="SimSun" w:cs="SimSun"/>
          <w:sz w:val="24"/>
          <w:szCs w:val="24"/>
          <w:spacing w:val="-8"/>
        </w:rPr>
        <w:t>洗方式清理，因此，</w:t>
      </w:r>
      <w:r>
        <w:rPr>
          <w:rFonts w:ascii="SimSun" w:hAnsi="SimSun" w:eastAsia="SimSun" w:cs="SimSun"/>
          <w:sz w:val="24"/>
          <w:szCs w:val="24"/>
          <w:spacing w:val="-1"/>
        </w:rPr>
        <w:t>不产生冲洗废水。项目产生的生活污水排入防渗池</w:t>
      </w:r>
      <w:r>
        <w:rPr>
          <w:rFonts w:ascii="SimSun" w:hAnsi="SimSun" w:eastAsia="SimSun" w:cs="SimSun"/>
          <w:sz w:val="24"/>
          <w:szCs w:val="24"/>
          <w:spacing w:val="-2"/>
        </w:rPr>
        <w:t>，由环卫部门定期清抽处理。</w:t>
      </w:r>
    </w:p>
    <w:p>
      <w:pPr>
        <w:ind w:left="107" w:right="52" w:firstLine="478"/>
        <w:spacing w:before="2" w:line="358" w:lineRule="auto"/>
        <w:jc w:val="both"/>
        <w:rPr>
          <w:rFonts w:ascii="SimSun" w:hAnsi="SimSun" w:eastAsia="SimSun" w:cs="SimSun"/>
          <w:sz w:val="24"/>
          <w:szCs w:val="24"/>
        </w:rPr>
      </w:pPr>
      <w:r>
        <w:rPr>
          <w:rFonts w:ascii="SimSun" w:hAnsi="SimSun" w:eastAsia="SimSun" w:cs="SimSun"/>
          <w:sz w:val="24"/>
          <w:szCs w:val="24"/>
          <w:spacing w:val="2"/>
        </w:rPr>
        <w:t>根据《内蒙古自治区畜禽养殖主要污染物减排项目建设技术指南（试行）》</w:t>
      </w:r>
      <w:r>
        <w:rPr>
          <w:rFonts w:ascii="SimSun" w:hAnsi="SimSun" w:eastAsia="SimSun" w:cs="SimSun"/>
          <w:sz w:val="24"/>
          <w:szCs w:val="24"/>
          <w:spacing w:val="10"/>
        </w:rPr>
        <w:t xml:space="preserve"> </w:t>
      </w:r>
      <w:r>
        <w:rPr>
          <w:rFonts w:ascii="SimSun" w:hAnsi="SimSun" w:eastAsia="SimSun" w:cs="SimSun"/>
          <w:sz w:val="24"/>
          <w:szCs w:val="24"/>
          <w:spacing w:val="2"/>
        </w:rPr>
        <w:t>（内环发【</w:t>
      </w:r>
      <w:r>
        <w:rPr>
          <w:rFonts w:ascii="Times New Roman" w:hAnsi="Times New Roman" w:eastAsia="Times New Roman" w:cs="Times New Roman"/>
          <w:sz w:val="24"/>
          <w:szCs w:val="24"/>
          <w:spacing w:val="2"/>
        </w:rPr>
        <w:t>2014</w:t>
      </w:r>
      <w:r>
        <w:rPr>
          <w:rFonts w:ascii="SimSun" w:hAnsi="SimSun" w:eastAsia="SimSun" w:cs="SimSun"/>
          <w:sz w:val="24"/>
          <w:szCs w:val="24"/>
          <w:spacing w:val="2"/>
        </w:rPr>
        <w:t>】</w:t>
      </w:r>
      <w:r>
        <w:rPr>
          <w:rFonts w:ascii="Times New Roman" w:hAnsi="Times New Roman" w:eastAsia="Times New Roman" w:cs="Times New Roman"/>
          <w:sz w:val="24"/>
          <w:szCs w:val="24"/>
          <w:spacing w:val="2"/>
        </w:rPr>
        <w:t>83</w:t>
      </w:r>
      <w:r>
        <w:rPr>
          <w:rFonts w:ascii="SimSun" w:hAnsi="SimSun" w:eastAsia="SimSun" w:cs="SimSun"/>
          <w:sz w:val="24"/>
          <w:szCs w:val="24"/>
          <w:spacing w:val="2"/>
        </w:rPr>
        <w:t>号）中“种养结合原则，养殖产生的污染物全部得到综合利</w:t>
      </w:r>
      <w:r>
        <w:rPr>
          <w:rFonts w:ascii="SimSun" w:hAnsi="SimSun" w:eastAsia="SimSun" w:cs="SimSun"/>
          <w:sz w:val="24"/>
          <w:szCs w:val="24"/>
          <w:spacing w:val="4"/>
        </w:rPr>
        <w:t>用和土地利用；牧场需要采用土地消纳，土地消纳面积要求每存栏</w:t>
      </w:r>
      <w:r>
        <w:rPr>
          <w:rFonts w:ascii="Times New Roman" w:hAnsi="Times New Roman" w:eastAsia="Times New Roman" w:cs="Times New Roman"/>
          <w:sz w:val="24"/>
          <w:szCs w:val="24"/>
          <w:spacing w:val="4"/>
        </w:rPr>
        <w:t>1</w:t>
      </w:r>
      <w:r>
        <w:rPr>
          <w:rFonts w:ascii="SimSun" w:hAnsi="SimSun" w:eastAsia="SimSun" w:cs="SimSun"/>
          <w:sz w:val="24"/>
          <w:szCs w:val="24"/>
          <w:spacing w:val="4"/>
        </w:rPr>
        <w:t>头奶牛（</w:t>
      </w:r>
      <w:r>
        <w:rPr>
          <w:rFonts w:ascii="Times New Roman" w:hAnsi="Times New Roman" w:eastAsia="Times New Roman" w:cs="Times New Roman"/>
          <w:sz w:val="24"/>
          <w:szCs w:val="24"/>
          <w:spacing w:val="4"/>
        </w:rPr>
        <w:t>0.5</w:t>
      </w:r>
      <w:r>
        <w:rPr>
          <w:rFonts w:ascii="SimSun" w:hAnsi="SimSun" w:eastAsia="SimSun" w:cs="SimSun"/>
          <w:sz w:val="24"/>
          <w:szCs w:val="24"/>
          <w:spacing w:val="-7"/>
        </w:rPr>
        <w:t>头肉牛）不少于</w:t>
      </w:r>
      <w:r>
        <w:rPr>
          <w:rFonts w:ascii="Times New Roman" w:hAnsi="Times New Roman" w:eastAsia="Times New Roman" w:cs="Times New Roman"/>
          <w:sz w:val="24"/>
          <w:szCs w:val="24"/>
          <w:spacing w:val="-7"/>
        </w:rPr>
        <w:t>1.25</w:t>
      </w:r>
      <w:r>
        <w:rPr>
          <w:rFonts w:ascii="SimSun" w:hAnsi="SimSun" w:eastAsia="SimSun" w:cs="SimSun"/>
          <w:sz w:val="24"/>
          <w:szCs w:val="24"/>
          <w:spacing w:val="-7"/>
        </w:rPr>
        <w:t>亩土地；废污水需进行厌氧处理或储存；粪便采取干清粪工艺，</w:t>
      </w:r>
      <w:r>
        <w:rPr>
          <w:rFonts w:ascii="SimSun" w:hAnsi="SimSun" w:eastAsia="SimSun" w:cs="SimSun"/>
          <w:sz w:val="24"/>
          <w:szCs w:val="24"/>
          <w:spacing w:val="2"/>
        </w:rPr>
        <w:t>粪便进行堆肥发酵后土地消纳，粪便堆放场可有使用容积要求每头肉牛（出栏）</w:t>
      </w:r>
      <w:r>
        <w:rPr>
          <w:rFonts w:ascii="SimSun" w:hAnsi="SimSun" w:eastAsia="SimSun" w:cs="SimSun"/>
          <w:sz w:val="24"/>
          <w:szCs w:val="24"/>
          <w:spacing w:val="-1"/>
        </w:rPr>
        <w:t>不低于</w:t>
      </w:r>
      <w:r>
        <w:rPr>
          <w:rFonts w:ascii="Times New Roman" w:hAnsi="Times New Roman" w:eastAsia="Times New Roman" w:cs="Times New Roman"/>
          <w:sz w:val="24"/>
          <w:szCs w:val="24"/>
          <w:spacing w:val="-1"/>
        </w:rPr>
        <w:t>0.5m</w:t>
      </w:r>
      <w:r>
        <w:rPr>
          <w:rFonts w:ascii="Times New Roman" w:hAnsi="Times New Roman" w:eastAsia="Times New Roman" w:cs="Times New Roman"/>
          <w:sz w:val="16"/>
          <w:szCs w:val="16"/>
          <w:spacing w:val="-1"/>
          <w:position w:val="10"/>
        </w:rPr>
        <w:t>3</w:t>
      </w:r>
      <w:r>
        <w:rPr>
          <w:rFonts w:ascii="SimSun" w:hAnsi="SimSun" w:eastAsia="SimSun" w:cs="SimSun"/>
          <w:sz w:val="24"/>
          <w:szCs w:val="24"/>
          <w:spacing w:val="-1"/>
        </w:rPr>
        <w:t>。粪污处理单元需采取防雨防渗措施</w:t>
      </w:r>
      <w:r>
        <w:rPr>
          <w:rFonts w:ascii="Times New Roman" w:hAnsi="Times New Roman" w:eastAsia="Times New Roman" w:cs="Times New Roman"/>
          <w:sz w:val="24"/>
          <w:szCs w:val="24"/>
          <w:spacing w:val="-1"/>
        </w:rPr>
        <w:t>”</w:t>
      </w:r>
      <w:r>
        <w:rPr>
          <w:rFonts w:ascii="SimSun" w:hAnsi="SimSun" w:eastAsia="SimSun" w:cs="SimSun"/>
          <w:sz w:val="24"/>
          <w:szCs w:val="24"/>
          <w:spacing w:val="-1"/>
        </w:rPr>
        <w:t>。</w:t>
      </w:r>
    </w:p>
    <w:p>
      <w:pPr>
        <w:ind w:left="105" w:right="129" w:firstLine="480"/>
        <w:spacing w:line="353" w:lineRule="auto"/>
        <w:rPr>
          <w:rFonts w:ascii="SimSun" w:hAnsi="SimSun" w:eastAsia="SimSun" w:cs="SimSun"/>
          <w:sz w:val="24"/>
          <w:szCs w:val="24"/>
        </w:rPr>
      </w:pPr>
      <w:r>
        <w:rPr>
          <w:rFonts w:ascii="SimSun" w:hAnsi="SimSun" w:eastAsia="SimSun" w:cs="SimSun"/>
          <w:sz w:val="24"/>
          <w:szCs w:val="24"/>
          <w:spacing w:val="2"/>
        </w:rPr>
        <w:t>本项目牛舍铺设垫料，牛尿及牛粪进入垫料，废垫料暂存于储粪库，最终外</w:t>
      </w:r>
      <w:r>
        <w:rPr>
          <w:rFonts w:ascii="SimSun" w:hAnsi="SimSun" w:eastAsia="SimSun" w:cs="SimSun"/>
          <w:sz w:val="24"/>
          <w:szCs w:val="24"/>
          <w:spacing w:val="-3"/>
        </w:rPr>
        <w:t>卖有机肥厂生产有机肥，无需土地消纳。</w:t>
      </w:r>
    </w:p>
    <w:p>
      <w:pPr>
        <w:ind w:left="106" w:firstLine="479"/>
        <w:spacing w:before="4" w:line="358" w:lineRule="auto"/>
        <w:jc w:val="both"/>
        <w:rPr>
          <w:rFonts w:ascii="SimSun" w:hAnsi="SimSun" w:eastAsia="SimSun" w:cs="SimSun"/>
          <w:sz w:val="24"/>
          <w:szCs w:val="24"/>
        </w:rPr>
      </w:pPr>
      <w:r>
        <w:rPr>
          <w:rFonts w:ascii="SimSun" w:hAnsi="SimSun" w:eastAsia="SimSun" w:cs="SimSun"/>
          <w:sz w:val="24"/>
          <w:szCs w:val="24"/>
          <w:spacing w:val="-10"/>
        </w:rPr>
        <w:t>本项目储粪库</w:t>
      </w:r>
      <w:r>
        <w:rPr>
          <w:rFonts w:ascii="Times New Roman" w:hAnsi="Times New Roman" w:eastAsia="Times New Roman" w:cs="Times New Roman"/>
          <w:sz w:val="24"/>
          <w:szCs w:val="24"/>
          <w:spacing w:val="-10"/>
        </w:rPr>
        <w:t>1</w:t>
      </w:r>
      <w:r>
        <w:rPr>
          <w:rFonts w:ascii="SimSun" w:hAnsi="SimSun" w:eastAsia="SimSun" w:cs="SimSun"/>
          <w:sz w:val="24"/>
          <w:szCs w:val="24"/>
          <w:spacing w:val="-10"/>
        </w:rPr>
        <w:t>座，为罩棚结构，总建筑面积为</w:t>
      </w:r>
      <w:r>
        <w:rPr>
          <w:rFonts w:ascii="Times New Roman" w:hAnsi="Times New Roman" w:eastAsia="Times New Roman" w:cs="Times New Roman"/>
          <w:sz w:val="24"/>
          <w:szCs w:val="24"/>
          <w:spacing w:val="-10"/>
        </w:rPr>
        <w:t>300m</w:t>
      </w:r>
      <w:r>
        <w:rPr>
          <w:rFonts w:ascii="Times New Roman" w:hAnsi="Times New Roman" w:eastAsia="Times New Roman" w:cs="Times New Roman"/>
          <w:sz w:val="16"/>
          <w:szCs w:val="16"/>
          <w:spacing w:val="-10"/>
          <w:position w:val="10"/>
        </w:rPr>
        <w:t>2</w:t>
      </w:r>
      <w:r>
        <w:rPr>
          <w:rFonts w:ascii="SimSun" w:hAnsi="SimSun" w:eastAsia="SimSun" w:cs="SimSun"/>
          <w:sz w:val="24"/>
          <w:szCs w:val="24"/>
          <w:spacing w:val="-10"/>
        </w:rPr>
        <w:t>，高</w:t>
      </w:r>
      <w:r>
        <w:rPr>
          <w:rFonts w:ascii="Times New Roman" w:hAnsi="Times New Roman" w:eastAsia="Times New Roman" w:cs="Times New Roman"/>
          <w:sz w:val="24"/>
          <w:szCs w:val="24"/>
          <w:spacing w:val="-10"/>
        </w:rPr>
        <w:t>7m</w:t>
      </w:r>
      <w:r>
        <w:rPr>
          <w:rFonts w:ascii="SimSun" w:hAnsi="SimSun" w:eastAsia="SimSun" w:cs="SimSun"/>
          <w:sz w:val="24"/>
          <w:szCs w:val="24"/>
          <w:spacing w:val="-10"/>
        </w:rPr>
        <w:t>，总容积为</w:t>
      </w:r>
      <w:r>
        <w:rPr>
          <w:rFonts w:ascii="Times New Roman" w:hAnsi="Times New Roman" w:eastAsia="Times New Roman" w:cs="Times New Roman"/>
          <w:sz w:val="24"/>
          <w:szCs w:val="24"/>
          <w:spacing w:val="-10"/>
        </w:rPr>
        <w:t>2100m</w:t>
      </w:r>
      <w:r>
        <w:rPr>
          <w:rFonts w:ascii="Times New Roman" w:hAnsi="Times New Roman" w:eastAsia="Times New Roman" w:cs="Times New Roman"/>
          <w:sz w:val="16"/>
          <w:szCs w:val="16"/>
          <w:spacing w:val="-10"/>
          <w:position w:val="10"/>
        </w:rPr>
        <w:t>3</w:t>
      </w:r>
      <w:r>
        <w:rPr>
          <w:rFonts w:ascii="Times New Roman" w:hAnsi="Times New Roman" w:eastAsia="Times New Roman" w:cs="Times New Roman"/>
          <w:sz w:val="16"/>
          <w:szCs w:val="16"/>
          <w:spacing w:val="-6"/>
          <w:position w:val="10"/>
        </w:rPr>
        <w:t xml:space="preserve"> </w:t>
      </w:r>
      <w:r>
        <w:rPr>
          <w:rFonts w:ascii="SimSun" w:hAnsi="SimSun" w:eastAsia="SimSun" w:cs="SimSun"/>
          <w:sz w:val="24"/>
          <w:szCs w:val="24"/>
          <w:spacing w:val="-10"/>
        </w:rPr>
        <w:t>，</w:t>
      </w:r>
      <w:r>
        <w:rPr>
          <w:rFonts w:ascii="SimSun" w:hAnsi="SimSun" w:eastAsia="SimSun" w:cs="SimSun"/>
          <w:sz w:val="24"/>
          <w:szCs w:val="24"/>
          <w:spacing w:val="-7"/>
        </w:rPr>
        <w:t>本项目年出栏肉牛</w:t>
      </w:r>
      <w:r>
        <w:rPr>
          <w:rFonts w:ascii="Times New Roman" w:hAnsi="Times New Roman" w:eastAsia="Times New Roman" w:cs="Times New Roman"/>
          <w:sz w:val="24"/>
          <w:szCs w:val="24"/>
          <w:spacing w:val="-7"/>
        </w:rPr>
        <w:t>1200</w:t>
      </w:r>
      <w:r>
        <w:rPr>
          <w:rFonts w:ascii="SimSun" w:hAnsi="SimSun" w:eastAsia="SimSun" w:cs="SimSun"/>
          <w:sz w:val="24"/>
          <w:szCs w:val="24"/>
          <w:spacing w:val="-7"/>
        </w:rPr>
        <w:t>头，满足每头牛（出栏）不低于</w:t>
      </w:r>
      <w:r>
        <w:rPr>
          <w:rFonts w:ascii="Times New Roman" w:hAnsi="Times New Roman" w:eastAsia="Times New Roman" w:cs="Times New Roman"/>
          <w:sz w:val="24"/>
          <w:szCs w:val="24"/>
          <w:spacing w:val="-7"/>
        </w:rPr>
        <w:t>0.5m</w:t>
      </w:r>
      <w:r>
        <w:rPr>
          <w:rFonts w:ascii="Times New Roman" w:hAnsi="Times New Roman" w:eastAsia="Times New Roman" w:cs="Times New Roman"/>
          <w:sz w:val="16"/>
          <w:szCs w:val="16"/>
          <w:spacing w:val="-7"/>
          <w:position w:val="10"/>
        </w:rPr>
        <w:t>3</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8"/>
        </w:rPr>
        <w:t>的限值要求，符合《内</w:t>
      </w:r>
      <w:r>
        <w:rPr>
          <w:rFonts w:ascii="SimSun" w:hAnsi="SimSun" w:eastAsia="SimSun" w:cs="SimSun"/>
          <w:sz w:val="24"/>
          <w:szCs w:val="24"/>
          <w:spacing w:val="-7"/>
        </w:rPr>
        <w:t>蒙古自治区畜禽养殖主要污染物减排项目建设技术指南（试行）》（内环发【</w:t>
      </w:r>
      <w:r>
        <w:rPr>
          <w:rFonts w:ascii="Times New Roman" w:hAnsi="Times New Roman" w:eastAsia="Times New Roman" w:cs="Times New Roman"/>
          <w:sz w:val="24"/>
          <w:szCs w:val="24"/>
          <w:spacing w:val="-7"/>
        </w:rPr>
        <w:t>2014</w:t>
      </w:r>
      <w:r>
        <w:rPr>
          <w:rFonts w:ascii="SimSun" w:hAnsi="SimSun" w:eastAsia="SimSun" w:cs="SimSun"/>
          <w:sz w:val="24"/>
          <w:szCs w:val="24"/>
          <w:spacing w:val="-7"/>
        </w:rPr>
        <w:t>】</w:t>
      </w:r>
      <w:r>
        <w:rPr>
          <w:rFonts w:ascii="SimSun" w:hAnsi="SimSun" w:eastAsia="SimSun" w:cs="SimSun"/>
          <w:sz w:val="24"/>
          <w:szCs w:val="24"/>
          <w:spacing w:val="7"/>
        </w:rPr>
        <w:t xml:space="preserve"> </w:t>
      </w:r>
      <w:r>
        <w:rPr>
          <w:rFonts w:ascii="Times New Roman" w:hAnsi="Times New Roman" w:eastAsia="Times New Roman" w:cs="Times New Roman"/>
          <w:sz w:val="24"/>
          <w:szCs w:val="24"/>
          <w:spacing w:val="-6"/>
        </w:rPr>
        <w:t>83</w:t>
      </w:r>
      <w:r>
        <w:rPr>
          <w:rFonts w:ascii="SimSun" w:hAnsi="SimSun" w:eastAsia="SimSun" w:cs="SimSun"/>
          <w:sz w:val="24"/>
          <w:szCs w:val="24"/>
          <w:spacing w:val="-6"/>
        </w:rPr>
        <w:t>号）要求。</w:t>
      </w:r>
    </w:p>
    <w:p>
      <w:pPr>
        <w:ind w:left="106" w:right="148" w:firstLine="481"/>
        <w:spacing w:before="6" w:line="360" w:lineRule="auto"/>
        <w:rPr>
          <w:rFonts w:ascii="SimSun" w:hAnsi="SimSun" w:eastAsia="SimSun" w:cs="SimSun"/>
          <w:sz w:val="24"/>
          <w:szCs w:val="24"/>
        </w:rPr>
      </w:pPr>
      <w:r>
        <w:rPr>
          <w:rFonts w:ascii="SimSun" w:hAnsi="SimSun" w:eastAsia="SimSun" w:cs="SimSun"/>
          <w:sz w:val="24"/>
          <w:szCs w:val="24"/>
          <w:spacing w:val="2"/>
        </w:rPr>
        <w:t>综上所述，项目产生的废水及粪便全部综合利用，不直接排至地表水</w:t>
      </w:r>
      <w:r>
        <w:rPr>
          <w:rFonts w:ascii="SimSun" w:hAnsi="SimSun" w:eastAsia="SimSun" w:cs="SimSun"/>
          <w:sz w:val="24"/>
          <w:szCs w:val="24"/>
          <w:spacing w:val="1"/>
        </w:rPr>
        <w:t>体。因</w:t>
      </w:r>
      <w:r>
        <w:rPr>
          <w:rFonts w:ascii="SimSun" w:hAnsi="SimSun" w:eastAsia="SimSun" w:cs="SimSun"/>
          <w:sz w:val="24"/>
          <w:szCs w:val="24"/>
          <w:spacing w:val="-3"/>
        </w:rPr>
        <w:t>此，本项目对地表水体环境影响较小。</w:t>
      </w:r>
    </w:p>
    <w:p>
      <w:pPr>
        <w:spacing w:line="360" w:lineRule="auto"/>
        <w:sectPr>
          <w:headerReference w:type="default" r:id="rId130"/>
          <w:footerReference w:type="default" r:id="rId131"/>
          <w:pgSz w:w="11907" w:h="16839"/>
          <w:pgMar w:top="1442" w:right="1578" w:bottom="1235" w:left="1606" w:header="1064" w:footer="992" w:gutter="0"/>
        </w:sectPr>
        <w:rPr>
          <w:rFonts w:ascii="SimSun" w:hAnsi="SimSun" w:eastAsia="SimSun" w:cs="SimSun"/>
          <w:sz w:val="24"/>
          <w:szCs w:val="24"/>
        </w:rPr>
      </w:pPr>
    </w:p>
    <w:p>
      <w:pPr>
        <w:pStyle w:val="BodyText"/>
        <w:spacing w:line="293"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3"/>
        </w:rPr>
        <w:t>5.2.2</w:t>
      </w:r>
      <w:r>
        <w:rPr>
          <w:rFonts w:ascii="Times New Roman" w:hAnsi="Times New Roman" w:eastAsia="Times New Roman" w:cs="Times New Roman"/>
          <w:sz w:val="24"/>
          <w:szCs w:val="24"/>
          <w:b/>
          <w:bCs/>
          <w:spacing w:val="22"/>
        </w:rPr>
        <w:t xml:space="preserve"> </w:t>
      </w:r>
      <w:r>
        <w:rPr>
          <w:rFonts w:ascii="SimSun" w:hAnsi="SimSun" w:eastAsia="SimSun" w:cs="SimSun"/>
          <w:sz w:val="24"/>
          <w:szCs w:val="24"/>
          <w:b/>
          <w:bCs/>
          <w:spacing w:val="-3"/>
        </w:rPr>
        <w:t>营运期地下水环境影响分析</w:t>
      </w:r>
    </w:p>
    <w:p>
      <w:pPr>
        <w:pStyle w:val="BodyText"/>
        <w:spacing w:line="265" w:lineRule="auto"/>
        <w:rPr/>
      </w:pPr>
      <w:r/>
    </w:p>
    <w:p>
      <w:pPr>
        <w:ind w:left="609"/>
        <w:spacing w:before="78" w:line="233" w:lineRule="auto"/>
        <w:rPr>
          <w:rFonts w:ascii="SimSun" w:hAnsi="SimSun" w:eastAsia="SimSun" w:cs="SimSun"/>
          <w:sz w:val="24"/>
          <w:szCs w:val="24"/>
        </w:rPr>
      </w:pPr>
      <w:r>
        <w:rPr>
          <w:rFonts w:ascii="Times New Roman" w:hAnsi="Times New Roman" w:eastAsia="Times New Roman" w:cs="Times New Roman"/>
          <w:sz w:val="24"/>
          <w:szCs w:val="24"/>
          <w:spacing w:val="-3"/>
        </w:rPr>
        <w:t>5.2.2.1</w:t>
      </w:r>
      <w:r>
        <w:rPr>
          <w:rFonts w:ascii="Times New Roman" w:hAnsi="Times New Roman" w:eastAsia="Times New Roman" w:cs="Times New Roman"/>
          <w:sz w:val="24"/>
          <w:szCs w:val="24"/>
          <w:spacing w:val="35"/>
          <w:w w:val="101"/>
        </w:rPr>
        <w:t xml:space="preserve"> </w:t>
      </w:r>
      <w:r>
        <w:rPr>
          <w:rFonts w:ascii="SimSun" w:hAnsi="SimSun" w:eastAsia="SimSun" w:cs="SimSun"/>
          <w:sz w:val="24"/>
          <w:szCs w:val="24"/>
          <w:spacing w:val="-3"/>
        </w:rPr>
        <w:t>区域地质构造特征</w:t>
      </w:r>
    </w:p>
    <w:p>
      <w:pPr>
        <w:ind w:left="104" w:right="95" w:firstLine="484"/>
        <w:spacing w:before="244" w:line="360" w:lineRule="auto"/>
        <w:jc w:val="both"/>
        <w:rPr>
          <w:rFonts w:ascii="SimSun" w:hAnsi="SimSun" w:eastAsia="SimSun" w:cs="SimSun"/>
          <w:sz w:val="24"/>
          <w:szCs w:val="24"/>
        </w:rPr>
      </w:pPr>
      <w:r>
        <w:rPr>
          <w:rFonts w:ascii="SimSun" w:hAnsi="SimSun" w:eastAsia="SimSun" w:cs="SimSun"/>
          <w:sz w:val="24"/>
          <w:szCs w:val="24"/>
          <w:spacing w:val="2"/>
        </w:rPr>
        <w:t>项目区位于锡林浩特市东部，在大地构造上处于内蒙地槽区的次级构造单元</w:t>
      </w:r>
      <w:r>
        <w:rPr>
          <w:rFonts w:ascii="SimSun" w:hAnsi="SimSun" w:eastAsia="SimSun" w:cs="SimSun"/>
          <w:sz w:val="24"/>
          <w:szCs w:val="24"/>
          <w:spacing w:val="2"/>
        </w:rPr>
        <w:t>锡林郭勒复背斜的北翼。在早古生代形成的地槽拗陷带，接受沉积。华力西运动</w:t>
      </w:r>
      <w:r>
        <w:rPr>
          <w:rFonts w:ascii="SimSun" w:hAnsi="SimSun" w:eastAsia="SimSun" w:cs="SimSun"/>
          <w:sz w:val="24"/>
          <w:szCs w:val="24"/>
          <w:spacing w:val="2"/>
        </w:rPr>
        <w:t>使地槽褶皱回返成山，形成华力西晚期褶皱带的次一级构造单元西乌珠穆沁旗向</w:t>
      </w:r>
      <w:r>
        <w:rPr>
          <w:rFonts w:ascii="SimSun" w:hAnsi="SimSun" w:eastAsia="SimSun" w:cs="SimSun"/>
          <w:sz w:val="24"/>
          <w:szCs w:val="24"/>
          <w:spacing w:val="2"/>
        </w:rPr>
        <w:t>斜。中生代燕山运动使本区上升隆起成为侵蚀环境，伴随断裂活动和大量酸性岩</w:t>
      </w:r>
      <w:r>
        <w:rPr>
          <w:rFonts w:ascii="SimSun" w:hAnsi="SimSun" w:eastAsia="SimSun" w:cs="SimSun"/>
          <w:sz w:val="24"/>
          <w:szCs w:val="24"/>
          <w:spacing w:val="-2"/>
        </w:rPr>
        <w:t>浆侵入及酸，基性火山喷发，显示了强烈的活动性。</w:t>
      </w:r>
    </w:p>
    <w:p>
      <w:pPr>
        <w:ind w:left="105" w:firstLine="492"/>
        <w:spacing w:before="8" w:line="359" w:lineRule="auto"/>
        <w:rPr>
          <w:rFonts w:ascii="SimSun" w:hAnsi="SimSun" w:eastAsia="SimSun" w:cs="SimSun"/>
          <w:sz w:val="24"/>
          <w:szCs w:val="24"/>
        </w:rPr>
      </w:pPr>
      <w:r>
        <w:rPr>
          <w:rFonts w:ascii="SimSun" w:hAnsi="SimSun" w:eastAsia="SimSun" w:cs="SimSun"/>
          <w:sz w:val="24"/>
          <w:szCs w:val="24"/>
          <w:spacing w:val="1"/>
        </w:rPr>
        <w:t>晚期燕山运动使中生代地层形成平缓的褶皱并伴有大规模的酸性岩浆侵入。</w:t>
      </w:r>
      <w:r>
        <w:rPr>
          <w:rFonts w:ascii="SimSun" w:hAnsi="SimSun" w:eastAsia="SimSun" w:cs="SimSun"/>
          <w:sz w:val="24"/>
          <w:szCs w:val="24"/>
          <w:spacing w:val="2"/>
        </w:rPr>
        <w:t>第三纪喜马拉雅运动继承了中生代后期的特点，断裂进一步发育形成了广阔的断</w:t>
      </w:r>
      <w:r>
        <w:rPr>
          <w:rFonts w:ascii="SimSun" w:hAnsi="SimSun" w:eastAsia="SimSun" w:cs="SimSun"/>
          <w:sz w:val="24"/>
          <w:szCs w:val="24"/>
          <w:spacing w:val="-7"/>
        </w:rPr>
        <w:t>陷内陆盆地，伴有大规模的火山喷发。锡林河的形成，</w:t>
      </w:r>
      <w:r>
        <w:rPr>
          <w:rFonts w:ascii="SimSun" w:hAnsi="SimSun" w:eastAsia="SimSun" w:cs="SimSun"/>
          <w:sz w:val="24"/>
          <w:szCs w:val="24"/>
          <w:spacing w:val="72"/>
        </w:rPr>
        <w:t xml:space="preserve"> </w:t>
      </w:r>
      <w:r>
        <w:rPr>
          <w:rFonts w:ascii="SimSun" w:hAnsi="SimSun" w:eastAsia="SimSun" w:cs="SimSun"/>
          <w:sz w:val="24"/>
          <w:szCs w:val="24"/>
          <w:spacing w:val="-7"/>
        </w:rPr>
        <w:t>显示了新构造运动的存在。</w:t>
      </w:r>
      <w:r>
        <w:rPr>
          <w:rFonts w:ascii="SimSun" w:hAnsi="SimSun" w:eastAsia="SimSun" w:cs="SimSun"/>
          <w:sz w:val="24"/>
          <w:szCs w:val="24"/>
          <w:spacing w:val="2"/>
        </w:rPr>
        <w:t>现今地形地貌基本继承中生代的构造骨架轮廓，受古构造，古地形控制。根据收</w:t>
      </w:r>
      <w:r>
        <w:rPr>
          <w:rFonts w:ascii="SimSun" w:hAnsi="SimSun" w:eastAsia="SimSun" w:cs="SimSun"/>
          <w:sz w:val="24"/>
          <w:szCs w:val="24"/>
          <w:spacing w:val="3"/>
        </w:rPr>
        <w:t>集的资料，锡林浩特位于胜利</w:t>
      </w:r>
      <w:r>
        <w:rPr>
          <w:rFonts w:ascii="Times New Roman" w:hAnsi="Times New Roman" w:eastAsia="Times New Roman" w:cs="Times New Roman"/>
          <w:sz w:val="24"/>
          <w:szCs w:val="24"/>
          <w:spacing w:val="3"/>
        </w:rPr>
        <w:t>—</w:t>
      </w:r>
      <w:r>
        <w:rPr>
          <w:rFonts w:ascii="SimSun" w:hAnsi="SimSun" w:eastAsia="SimSun" w:cs="SimSun"/>
          <w:sz w:val="24"/>
          <w:szCs w:val="24"/>
          <w:spacing w:val="3"/>
        </w:rPr>
        <w:t>毛登向斜的西南端，其</w:t>
      </w:r>
      <w:r>
        <w:rPr>
          <w:rFonts w:ascii="SimSun" w:hAnsi="SimSun" w:eastAsia="SimSun" w:cs="SimSun"/>
          <w:sz w:val="24"/>
          <w:szCs w:val="24"/>
          <w:spacing w:val="2"/>
        </w:rPr>
        <w:t>向斜呈东北</w:t>
      </w:r>
      <w:r>
        <w:rPr>
          <w:rFonts w:ascii="Times New Roman" w:hAnsi="Times New Roman" w:eastAsia="Times New Roman" w:cs="Times New Roman"/>
          <w:sz w:val="24"/>
          <w:szCs w:val="24"/>
          <w:spacing w:val="2"/>
        </w:rPr>
        <w:t>—</w:t>
      </w:r>
      <w:r>
        <w:rPr>
          <w:rFonts w:ascii="SimSun" w:hAnsi="SimSun" w:eastAsia="SimSun" w:cs="SimSun"/>
          <w:sz w:val="24"/>
          <w:szCs w:val="24"/>
          <w:spacing w:val="2"/>
        </w:rPr>
        <w:t>西南向，全</w:t>
      </w:r>
      <w:r>
        <w:rPr>
          <w:rFonts w:ascii="SimSun" w:hAnsi="SimSun" w:eastAsia="SimSun" w:cs="SimSun"/>
          <w:sz w:val="24"/>
          <w:szCs w:val="24"/>
          <w:spacing w:val="-7"/>
        </w:rPr>
        <w:t>长约</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90km</w:t>
      </w:r>
      <w:r>
        <w:rPr>
          <w:rFonts w:ascii="SimSun" w:hAnsi="SimSun" w:eastAsia="SimSun" w:cs="SimSun"/>
          <w:sz w:val="24"/>
          <w:szCs w:val="24"/>
          <w:spacing w:val="-7"/>
        </w:rPr>
        <w:t>。本项目场址位于向斜的南翼。在盆地的中部，</w:t>
      </w:r>
      <w:r>
        <w:rPr>
          <w:rFonts w:ascii="SimSun" w:hAnsi="SimSun" w:eastAsia="SimSun" w:cs="SimSun"/>
          <w:sz w:val="24"/>
          <w:szCs w:val="24"/>
          <w:spacing w:val="102"/>
        </w:rPr>
        <w:t xml:space="preserve"> </w:t>
      </w:r>
      <w:r>
        <w:rPr>
          <w:rFonts w:ascii="SimSun" w:hAnsi="SimSun" w:eastAsia="SimSun" w:cs="SimSun"/>
          <w:sz w:val="24"/>
          <w:szCs w:val="24"/>
          <w:spacing w:val="-7"/>
        </w:rPr>
        <w:t>目前仅发现有</w:t>
      </w:r>
      <w:r>
        <w:rPr>
          <w:rFonts w:ascii="SimSun" w:hAnsi="SimSun" w:eastAsia="SimSun" w:cs="SimSun"/>
          <w:sz w:val="24"/>
          <w:szCs w:val="24"/>
          <w:spacing w:val="-8"/>
        </w:rPr>
        <w:t>一断层其</w:t>
      </w:r>
      <w:r>
        <w:rPr>
          <w:rFonts w:ascii="SimSun" w:hAnsi="SimSun" w:eastAsia="SimSun" w:cs="SimSun"/>
          <w:sz w:val="24"/>
          <w:szCs w:val="24"/>
          <w:spacing w:val="6"/>
        </w:rPr>
        <w:t>走向为北东 </w:t>
      </w:r>
      <w:r>
        <w:rPr>
          <w:rFonts w:ascii="Times New Roman" w:hAnsi="Times New Roman" w:eastAsia="Times New Roman" w:cs="Times New Roman"/>
          <w:sz w:val="24"/>
          <w:szCs w:val="24"/>
          <w:spacing w:val="6"/>
        </w:rPr>
        <w:t>20°</w:t>
      </w:r>
      <w:r>
        <w:rPr>
          <w:rFonts w:ascii="SimSun" w:hAnsi="SimSun" w:eastAsia="SimSun" w:cs="SimSun"/>
          <w:sz w:val="24"/>
          <w:szCs w:val="24"/>
          <w:spacing w:val="6"/>
        </w:rPr>
        <w:t>,西南段为北东 </w:t>
      </w:r>
      <w:r>
        <w:rPr>
          <w:rFonts w:ascii="Times New Roman" w:hAnsi="Times New Roman" w:eastAsia="Times New Roman" w:cs="Times New Roman"/>
          <w:sz w:val="24"/>
          <w:szCs w:val="24"/>
          <w:spacing w:val="6"/>
        </w:rPr>
        <w:t>32°</w:t>
      </w:r>
      <w:r>
        <w:rPr>
          <w:rFonts w:ascii="SimSun" w:hAnsi="SimSun" w:eastAsia="SimSun" w:cs="SimSun"/>
          <w:sz w:val="24"/>
          <w:szCs w:val="24"/>
          <w:spacing w:val="6"/>
        </w:rPr>
        <w:t>,北东段为北东 </w:t>
      </w:r>
      <w:r>
        <w:rPr>
          <w:rFonts w:ascii="Times New Roman" w:hAnsi="Times New Roman" w:eastAsia="Times New Roman" w:cs="Times New Roman"/>
          <w:sz w:val="24"/>
          <w:szCs w:val="24"/>
          <w:spacing w:val="6"/>
        </w:rPr>
        <w:t>16°</w:t>
      </w:r>
      <w:r>
        <w:rPr>
          <w:rFonts w:ascii="SimSun" w:hAnsi="SimSun" w:eastAsia="SimSun" w:cs="SimSun"/>
          <w:sz w:val="24"/>
          <w:szCs w:val="24"/>
          <w:spacing w:val="6"/>
        </w:rPr>
        <w:t>,略呈弧形向南东突出。</w:t>
      </w:r>
      <w:r>
        <w:rPr>
          <w:rFonts w:ascii="SimSun" w:hAnsi="SimSun" w:eastAsia="SimSun" w:cs="SimSun"/>
          <w:sz w:val="24"/>
          <w:szCs w:val="24"/>
          <w:spacing w:val="-7"/>
        </w:rPr>
        <w:t>断层长约</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7"/>
        </w:rPr>
        <w:t>11km</w:t>
      </w:r>
      <w:r>
        <w:rPr>
          <w:rFonts w:ascii="SimSun" w:hAnsi="SimSun" w:eastAsia="SimSun" w:cs="SimSun"/>
          <w:sz w:val="24"/>
          <w:szCs w:val="24"/>
          <w:spacing w:val="-7"/>
        </w:rPr>
        <w:t>，断距为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100</w:t>
      </w:r>
      <w:r>
        <w:rPr>
          <w:rFonts w:ascii="SimSun" w:hAnsi="SimSun" w:eastAsia="SimSun" w:cs="SimSun"/>
          <w:sz w:val="24"/>
          <w:szCs w:val="24"/>
          <w:spacing w:val="-7"/>
        </w:rPr>
        <w:t>～</w:t>
      </w:r>
      <w:r>
        <w:rPr>
          <w:rFonts w:ascii="Times New Roman" w:hAnsi="Times New Roman" w:eastAsia="Times New Roman" w:cs="Times New Roman"/>
          <w:sz w:val="24"/>
          <w:szCs w:val="24"/>
          <w:spacing w:val="-7"/>
        </w:rPr>
        <w:t>132m</w:t>
      </w:r>
      <w:r>
        <w:rPr>
          <w:rFonts w:ascii="SimSun" w:hAnsi="SimSun" w:eastAsia="SimSun" w:cs="SimSun"/>
          <w:sz w:val="24"/>
          <w:szCs w:val="24"/>
          <w:spacing w:val="-7"/>
        </w:rPr>
        <w:t>。倾向南东，</w:t>
      </w:r>
      <w:r>
        <w:rPr>
          <w:rFonts w:ascii="SimSun" w:hAnsi="SimSun" w:eastAsia="SimSun" w:cs="SimSun"/>
          <w:sz w:val="24"/>
          <w:szCs w:val="24"/>
          <w:spacing w:val="61"/>
        </w:rPr>
        <w:t xml:space="preserve"> </w:t>
      </w:r>
      <w:r>
        <w:rPr>
          <w:rFonts w:ascii="SimSun" w:hAnsi="SimSun" w:eastAsia="SimSun" w:cs="SimSun"/>
          <w:sz w:val="24"/>
          <w:szCs w:val="24"/>
          <w:spacing w:val="-7"/>
        </w:rPr>
        <w:t>为张扭性正断层，具有新华夏系</w:t>
      </w:r>
      <w:r>
        <w:rPr>
          <w:rFonts w:ascii="SimSun" w:hAnsi="SimSun" w:eastAsia="SimSun" w:cs="SimSun"/>
          <w:sz w:val="24"/>
          <w:szCs w:val="24"/>
          <w:spacing w:val="-6"/>
        </w:rPr>
        <w:t>的特征。盆地中部根据钻探揭露上覆第四系松散堆积物， 厚</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6"/>
        </w:rPr>
        <w:t>100m </w:t>
      </w:r>
      <w:r>
        <w:rPr>
          <w:rFonts w:ascii="SimSun" w:hAnsi="SimSun" w:eastAsia="SimSun" w:cs="SimSun"/>
          <w:sz w:val="24"/>
          <w:szCs w:val="24"/>
          <w:spacing w:val="-6"/>
        </w:rPr>
        <w:t>左</w:t>
      </w:r>
      <w:r>
        <w:rPr>
          <w:rFonts w:ascii="SimSun" w:hAnsi="SimSun" w:eastAsia="SimSun" w:cs="SimSun"/>
          <w:sz w:val="24"/>
          <w:szCs w:val="24"/>
          <w:spacing w:val="-7"/>
        </w:rPr>
        <w:t>右，下为第三</w:t>
      </w:r>
      <w:r>
        <w:rPr>
          <w:rFonts w:ascii="SimSun" w:hAnsi="SimSun" w:eastAsia="SimSun" w:cs="SimSun"/>
          <w:sz w:val="24"/>
          <w:szCs w:val="24"/>
          <w:spacing w:val="2"/>
        </w:rPr>
        <w:t>系砂砾岩，泥岩及白垩系，侏罗系煤系地层。从地质发展史来看，本区古代具有</w:t>
      </w:r>
      <w:r>
        <w:rPr>
          <w:rFonts w:ascii="SimSun" w:hAnsi="SimSun" w:eastAsia="SimSun" w:cs="SimSun"/>
          <w:sz w:val="24"/>
          <w:szCs w:val="24"/>
          <w:spacing w:val="2"/>
        </w:rPr>
        <w:t>地槽特征，中生代显陆台特征，说明地壳运动由活动期趋向稳定期。尽管新构造</w:t>
      </w:r>
      <w:r>
        <w:rPr>
          <w:rFonts w:ascii="SimSun" w:hAnsi="SimSun" w:eastAsia="SimSun" w:cs="SimSun"/>
          <w:sz w:val="24"/>
          <w:szCs w:val="24"/>
          <w:spacing w:val="-1"/>
        </w:rPr>
        <w:t>运动在本区仍有显示，但从构造形迹来看活动性不大，</w:t>
      </w:r>
      <w:r>
        <w:rPr>
          <w:rFonts w:ascii="SimSun" w:hAnsi="SimSun" w:eastAsia="SimSun" w:cs="SimSun"/>
          <w:sz w:val="24"/>
          <w:szCs w:val="24"/>
          <w:spacing w:val="-2"/>
        </w:rPr>
        <w:t>相对还是比较稳定的。</w:t>
      </w:r>
    </w:p>
    <w:p>
      <w:pPr>
        <w:ind w:left="587"/>
        <w:spacing w:before="7" w:line="233" w:lineRule="auto"/>
        <w:rPr>
          <w:rFonts w:ascii="SimSun" w:hAnsi="SimSun" w:eastAsia="SimSun" w:cs="SimSun"/>
          <w:sz w:val="24"/>
          <w:szCs w:val="24"/>
        </w:rPr>
      </w:pPr>
      <w:r>
        <w:rPr>
          <w:rFonts w:ascii="Times New Roman" w:hAnsi="Times New Roman" w:eastAsia="Times New Roman" w:cs="Times New Roman"/>
          <w:sz w:val="24"/>
          <w:szCs w:val="24"/>
          <w:spacing w:val="-3"/>
        </w:rPr>
        <w:t>5.2.2.2</w:t>
      </w:r>
      <w:r>
        <w:rPr>
          <w:rFonts w:ascii="Times New Roman" w:hAnsi="Times New Roman" w:eastAsia="Times New Roman" w:cs="Times New Roman"/>
          <w:sz w:val="24"/>
          <w:szCs w:val="24"/>
          <w:spacing w:val="35"/>
          <w:w w:val="101"/>
        </w:rPr>
        <w:t xml:space="preserve"> </w:t>
      </w:r>
      <w:r>
        <w:rPr>
          <w:rFonts w:ascii="SimSun" w:hAnsi="SimSun" w:eastAsia="SimSun" w:cs="SimSun"/>
          <w:sz w:val="24"/>
          <w:szCs w:val="24"/>
          <w:spacing w:val="-3"/>
        </w:rPr>
        <w:t>区域水文地质条件</w:t>
      </w:r>
    </w:p>
    <w:p>
      <w:pPr>
        <w:ind w:left="105" w:right="95" w:firstLine="479"/>
        <w:spacing w:before="165" w:line="360" w:lineRule="auto"/>
        <w:rPr>
          <w:rFonts w:ascii="SimSun" w:hAnsi="SimSun" w:eastAsia="SimSun" w:cs="SimSun"/>
          <w:sz w:val="24"/>
          <w:szCs w:val="24"/>
        </w:rPr>
      </w:pPr>
      <w:r>
        <w:rPr>
          <w:rFonts w:ascii="SimSun" w:hAnsi="SimSun" w:eastAsia="SimSun" w:cs="SimSun"/>
          <w:sz w:val="24"/>
          <w:szCs w:val="24"/>
          <w:spacing w:val="3"/>
        </w:rPr>
        <w:t>根据地层岩性组合特征、埋藏条件、地下水</w:t>
      </w:r>
      <w:r>
        <w:rPr>
          <w:rFonts w:ascii="SimSun" w:hAnsi="SimSun" w:eastAsia="SimSun" w:cs="SimSun"/>
          <w:sz w:val="24"/>
          <w:szCs w:val="24"/>
          <w:spacing w:val="2"/>
        </w:rPr>
        <w:t>赋存条件将本区地层划分为隔水</w:t>
      </w:r>
      <w:r>
        <w:rPr>
          <w:rFonts w:ascii="SimSun" w:hAnsi="SimSun" w:eastAsia="SimSun" w:cs="SimSun"/>
          <w:sz w:val="24"/>
          <w:szCs w:val="24"/>
          <w:spacing w:val="-3"/>
        </w:rPr>
        <w:t>层、松散孔隙含水层和基岩裂隙含水层，由新至老分述如下：</w:t>
      </w:r>
    </w:p>
    <w:p>
      <w:pPr>
        <w:ind w:left="104" w:right="16" w:firstLine="487"/>
        <w:spacing w:before="3" w:line="361" w:lineRule="auto"/>
        <w:jc w:val="both"/>
        <w:rPr>
          <w:rFonts w:ascii="Times New Roman" w:hAnsi="Times New Roman" w:eastAsia="Times New Roman" w:cs="Times New Roma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）第四系孔隙潜水含水层（</w:t>
      </w:r>
      <w:r>
        <w:rPr>
          <w:rFonts w:ascii="Times New Roman" w:hAnsi="Times New Roman" w:eastAsia="Times New Roman" w:cs="Times New Roman"/>
          <w:sz w:val="24"/>
          <w:szCs w:val="24"/>
          <w:spacing w:val="-1"/>
        </w:rPr>
        <w:t>Q</w:t>
      </w:r>
      <w:r>
        <w:rPr>
          <w:rFonts w:ascii="SimSun" w:hAnsi="SimSun" w:eastAsia="SimSun" w:cs="SimSun"/>
          <w:sz w:val="24"/>
          <w:szCs w:val="24"/>
          <w:spacing w:val="-2"/>
        </w:rPr>
        <w:t>）：</w:t>
      </w:r>
      <w:r>
        <w:rPr>
          <w:rFonts w:ascii="SimSun" w:hAnsi="SimSun" w:eastAsia="SimSun" w:cs="SimSun"/>
          <w:sz w:val="24"/>
          <w:szCs w:val="24"/>
          <w:spacing w:val="-1"/>
        </w:rPr>
        <w:t>主要分布在 </w:t>
      </w:r>
      <w:r>
        <w:rPr>
          <w:rFonts w:ascii="Times New Roman" w:hAnsi="Times New Roman" w:eastAsia="Times New Roman" w:cs="Times New Roman"/>
          <w:sz w:val="24"/>
          <w:szCs w:val="24"/>
          <w:spacing w:val="-1"/>
        </w:rPr>
        <w:t>Y=39420500  </w:t>
      </w:r>
      <w:r>
        <w:rPr>
          <w:rFonts w:ascii="SimSun" w:hAnsi="SimSun" w:eastAsia="SimSun" w:cs="SimSun"/>
          <w:sz w:val="24"/>
          <w:szCs w:val="24"/>
          <w:spacing w:val="-2"/>
        </w:rPr>
        <w:t>之东，含水层</w:t>
      </w:r>
      <w:r>
        <w:rPr>
          <w:rFonts w:ascii="SimSun" w:hAnsi="SimSun" w:eastAsia="SimSun" w:cs="SimSun"/>
          <w:sz w:val="24"/>
          <w:szCs w:val="24"/>
          <w:spacing w:val="2"/>
        </w:rPr>
        <w:t>岩性以冲积含砾中粗、中细砂为主，次为冲湖积含砾细粉砂，在分布范围内总体</w:t>
      </w:r>
      <w:r>
        <w:rPr>
          <w:rFonts w:ascii="SimSun" w:hAnsi="SimSun" w:eastAsia="SimSun" w:cs="SimSun"/>
          <w:sz w:val="24"/>
          <w:szCs w:val="24"/>
          <w:spacing w:val="2"/>
        </w:rPr>
        <w:t>为西薄东厚，富水性不均匀。影响富水性的主要因素是含水层厚度及泥质成分含</w:t>
      </w:r>
      <w:r>
        <w:rPr>
          <w:rFonts w:ascii="SimSun" w:hAnsi="SimSun" w:eastAsia="SimSun" w:cs="SimSun"/>
          <w:sz w:val="24"/>
          <w:szCs w:val="24"/>
          <w:spacing w:val="-9"/>
        </w:rPr>
        <w:t>量，厚度愈大，泥岩成分含量愈少，则富水性愈好。单位涌水量</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9"/>
        </w:rPr>
        <w:t>0.21</w:t>
      </w:r>
      <w:r>
        <w:rPr>
          <w:rFonts w:ascii="SimSun" w:hAnsi="SimSun" w:eastAsia="SimSun" w:cs="SimSun"/>
          <w:sz w:val="24"/>
          <w:szCs w:val="24"/>
          <w:spacing w:val="-9"/>
        </w:rPr>
        <w:t>～</w:t>
      </w:r>
      <w:r>
        <w:rPr>
          <w:rFonts w:ascii="Times New Roman" w:hAnsi="Times New Roman" w:eastAsia="Times New Roman" w:cs="Times New Roman"/>
          <w:sz w:val="24"/>
          <w:szCs w:val="24"/>
          <w:spacing w:val="-9"/>
        </w:rPr>
        <w:t>200.448m3/d</w:t>
      </w:r>
      <w:r>
        <w:rPr>
          <w:rFonts w:ascii="SimSun" w:hAnsi="SimSun" w:eastAsia="SimSun" w:cs="SimSun"/>
          <w:sz w:val="24"/>
          <w:szCs w:val="24"/>
          <w:spacing w:val="-9"/>
        </w:rPr>
        <w:t>，</w:t>
      </w:r>
      <w:r>
        <w:rPr>
          <w:rFonts w:ascii="SimSun" w:hAnsi="SimSun" w:eastAsia="SimSun" w:cs="SimSun"/>
          <w:sz w:val="24"/>
          <w:szCs w:val="24"/>
          <w:spacing w:val="-2"/>
        </w:rPr>
        <w:t>渗透系数</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0.003-6.15m/d</w:t>
      </w:r>
      <w:r>
        <w:rPr>
          <w:rFonts w:ascii="SimSun" w:hAnsi="SimSun" w:eastAsia="SimSun" w:cs="SimSun"/>
          <w:sz w:val="24"/>
          <w:szCs w:val="24"/>
          <w:spacing w:val="-2"/>
        </w:rPr>
        <w:t>，水位标高</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965.64-10</w:t>
      </w:r>
      <w:r>
        <w:rPr>
          <w:rFonts w:ascii="Times New Roman" w:hAnsi="Times New Roman" w:eastAsia="Times New Roman" w:cs="Times New Roman"/>
          <w:sz w:val="24"/>
          <w:szCs w:val="24"/>
          <w:spacing w:val="-3"/>
        </w:rPr>
        <w:t>82.83m</w:t>
      </w:r>
      <w:r>
        <w:rPr>
          <w:rFonts w:ascii="SimSun" w:hAnsi="SimSun" w:eastAsia="SimSun" w:cs="SimSun"/>
          <w:sz w:val="24"/>
          <w:szCs w:val="24"/>
          <w:spacing w:val="-3"/>
        </w:rPr>
        <w:t>，含水层厚</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0.46-34.94m</w:t>
      </w:r>
      <w:r>
        <w:rPr>
          <w:rFonts w:ascii="SimSun" w:hAnsi="SimSun" w:eastAsia="SimSun" w:cs="SimSun"/>
          <w:sz w:val="24"/>
          <w:szCs w:val="24"/>
          <w:spacing w:val="-3"/>
        </w:rPr>
        <w:t>，矿化</w:t>
      </w:r>
      <w:r>
        <w:rPr>
          <w:rFonts w:ascii="SimSun" w:hAnsi="SimSun" w:eastAsia="SimSun" w:cs="SimSun"/>
          <w:sz w:val="24"/>
          <w:szCs w:val="24"/>
          <w:spacing w:val="-5"/>
        </w:rPr>
        <w:t>度</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5"/>
        </w:rPr>
        <w:t>0.316-3.794g/L</w:t>
      </w:r>
      <w:r>
        <w:rPr>
          <w:rFonts w:ascii="SimSun" w:hAnsi="SimSun" w:eastAsia="SimSun" w:cs="SimSun"/>
          <w:sz w:val="24"/>
          <w:szCs w:val="24"/>
          <w:spacing w:val="-5"/>
        </w:rPr>
        <w:t>，水质类型：以</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HCO</w:t>
      </w:r>
      <w:r>
        <w:rPr>
          <w:rFonts w:ascii="Times New Roman" w:hAnsi="Times New Roman" w:eastAsia="Times New Roman" w:cs="Times New Roman"/>
          <w:sz w:val="16"/>
          <w:szCs w:val="16"/>
          <w:spacing w:val="-5"/>
          <w:position w:val="-3"/>
        </w:rPr>
        <w:t>3</w:t>
      </w:r>
      <w:r>
        <w:rPr>
          <w:rFonts w:ascii="SimSun" w:hAnsi="SimSun" w:eastAsia="SimSun" w:cs="SimSun"/>
          <w:sz w:val="24"/>
          <w:szCs w:val="24"/>
          <w:spacing w:val="-5"/>
        </w:rPr>
        <w:t>－</w:t>
      </w:r>
      <w:r>
        <w:rPr>
          <w:rFonts w:ascii="Times New Roman" w:hAnsi="Times New Roman" w:eastAsia="Times New Roman" w:cs="Times New Roman"/>
          <w:sz w:val="24"/>
          <w:szCs w:val="24"/>
          <w:spacing w:val="-5"/>
        </w:rPr>
        <w:t>Mg.Ca</w:t>
      </w:r>
      <w:r>
        <w:rPr>
          <w:rFonts w:ascii="SimSun" w:hAnsi="SimSun" w:eastAsia="SimSun" w:cs="SimSun"/>
          <w:sz w:val="24"/>
          <w:szCs w:val="24"/>
          <w:spacing w:val="-5"/>
        </w:rPr>
        <w:t>、</w:t>
      </w:r>
      <w:r>
        <w:rPr>
          <w:rFonts w:ascii="Times New Roman" w:hAnsi="Times New Roman" w:eastAsia="Times New Roman" w:cs="Times New Roman"/>
          <w:sz w:val="24"/>
          <w:szCs w:val="24"/>
          <w:spacing w:val="-5"/>
        </w:rPr>
        <w:t>HCO</w:t>
      </w:r>
      <w:r>
        <w:rPr>
          <w:rFonts w:ascii="Times New Roman" w:hAnsi="Times New Roman" w:eastAsia="Times New Roman" w:cs="Times New Roman"/>
          <w:sz w:val="16"/>
          <w:szCs w:val="16"/>
          <w:spacing w:val="-5"/>
          <w:position w:val="-3"/>
        </w:rPr>
        <w:t>3</w:t>
      </w:r>
      <w:r>
        <w:rPr>
          <w:rFonts w:ascii="SimSun" w:hAnsi="SimSun" w:eastAsia="SimSun" w:cs="SimSun"/>
          <w:sz w:val="24"/>
          <w:szCs w:val="24"/>
          <w:spacing w:val="-5"/>
        </w:rPr>
        <w:t>－</w:t>
      </w:r>
      <w:r>
        <w:rPr>
          <w:rFonts w:ascii="Times New Roman" w:hAnsi="Times New Roman" w:eastAsia="Times New Roman" w:cs="Times New Roman"/>
          <w:sz w:val="24"/>
          <w:szCs w:val="24"/>
          <w:spacing w:val="-5"/>
        </w:rPr>
        <w:t>Mg.Na</w:t>
      </w:r>
      <w:r>
        <w:rPr>
          <w:rFonts w:ascii="SimSun" w:hAnsi="SimSun" w:eastAsia="SimSun" w:cs="SimSun"/>
          <w:sz w:val="24"/>
          <w:szCs w:val="24"/>
          <w:spacing w:val="-5"/>
        </w:rPr>
        <w:t>、</w:t>
      </w:r>
      <w:r>
        <w:rPr>
          <w:rFonts w:ascii="Times New Roman" w:hAnsi="Times New Roman" w:eastAsia="Times New Roman" w:cs="Times New Roman"/>
          <w:sz w:val="24"/>
          <w:szCs w:val="24"/>
          <w:spacing w:val="-5"/>
        </w:rPr>
        <w:t>HCO</w:t>
      </w:r>
      <w:r>
        <w:rPr>
          <w:rFonts w:ascii="Times New Roman" w:hAnsi="Times New Roman" w:eastAsia="Times New Roman" w:cs="Times New Roman"/>
          <w:sz w:val="16"/>
          <w:szCs w:val="16"/>
          <w:spacing w:val="-5"/>
          <w:position w:val="-3"/>
        </w:rPr>
        <w:t>3</w:t>
      </w:r>
      <w:r>
        <w:rPr>
          <w:rFonts w:ascii="Times New Roman" w:hAnsi="Times New Roman" w:eastAsia="Times New Roman" w:cs="Times New Roman"/>
          <w:sz w:val="24"/>
          <w:szCs w:val="24"/>
          <w:spacing w:val="-5"/>
        </w:rPr>
        <w:t>.</w:t>
      </w:r>
      <w:r>
        <w:rPr>
          <w:rFonts w:ascii="Times New Roman" w:hAnsi="Times New Roman" w:eastAsia="Times New Roman" w:cs="Times New Roman"/>
          <w:sz w:val="24"/>
          <w:szCs w:val="24"/>
          <w:spacing w:val="-6"/>
        </w:rPr>
        <w:t>Cl</w:t>
      </w:r>
      <w:r>
        <w:rPr>
          <w:rFonts w:ascii="SimSun" w:hAnsi="SimSun" w:eastAsia="SimSun" w:cs="SimSun"/>
          <w:sz w:val="24"/>
          <w:szCs w:val="24"/>
          <w:spacing w:val="-6"/>
        </w:rPr>
        <w:t>－</w:t>
      </w:r>
      <w:r>
        <w:rPr>
          <w:rFonts w:ascii="Times New Roman" w:hAnsi="Times New Roman" w:eastAsia="Times New Roman" w:cs="Times New Roman"/>
          <w:sz w:val="24"/>
          <w:szCs w:val="24"/>
          <w:spacing w:val="-6"/>
        </w:rPr>
        <w:t>Mg.Ca</w:t>
      </w:r>
    </w:p>
    <w:p>
      <w:pPr>
        <w:spacing w:line="361" w:lineRule="auto"/>
        <w:sectPr>
          <w:headerReference w:type="default" r:id="rId132"/>
          <w:footerReference w:type="default" r:id="rId133"/>
          <w:pgSz w:w="11907" w:h="16839"/>
          <w:pgMar w:top="1442" w:right="1613" w:bottom="1235" w:left="1606" w:header="1064" w:footer="992" w:gutter="0"/>
        </w:sectPr>
        <w:rPr>
          <w:rFonts w:ascii="Times New Roman" w:hAnsi="Times New Roman" w:eastAsia="Times New Roman" w:cs="Times New Roman"/>
          <w:sz w:val="24"/>
          <w:szCs w:val="24"/>
        </w:rPr>
      </w:pPr>
    </w:p>
    <w:p>
      <w:pPr>
        <w:pStyle w:val="BodyText"/>
        <w:spacing w:line="292" w:lineRule="auto"/>
        <w:rPr/>
      </w:pPr>
      <w:r/>
    </w:p>
    <w:p>
      <w:pPr>
        <w:ind w:left="108" w:right="85" w:firstLine="4"/>
        <w:spacing w:before="78" w:line="345" w:lineRule="auto"/>
        <w:rPr>
          <w:rFonts w:ascii="SimSun" w:hAnsi="SimSun" w:eastAsia="SimSun" w:cs="SimSun"/>
          <w:sz w:val="24"/>
          <w:szCs w:val="24"/>
        </w:rPr>
      </w:pPr>
      <w:r>
        <w:rPr>
          <w:rFonts w:ascii="SimSun" w:hAnsi="SimSun" w:eastAsia="SimSun" w:cs="SimSun"/>
          <w:sz w:val="24"/>
          <w:szCs w:val="24"/>
          <w:spacing w:val="-2"/>
        </w:rPr>
        <w:t>型为主，少量为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SO</w:t>
      </w:r>
      <w:r>
        <w:rPr>
          <w:rFonts w:ascii="Times New Roman" w:hAnsi="Times New Roman" w:eastAsia="Times New Roman" w:cs="Times New Roman"/>
          <w:sz w:val="16"/>
          <w:szCs w:val="16"/>
          <w:spacing w:val="-2"/>
          <w:position w:val="-3"/>
        </w:rPr>
        <w:t>4</w:t>
      </w:r>
      <w:r>
        <w:rPr>
          <w:rFonts w:ascii="Times New Roman" w:hAnsi="Times New Roman" w:eastAsia="Times New Roman" w:cs="Times New Roman"/>
          <w:sz w:val="24"/>
          <w:szCs w:val="24"/>
          <w:spacing w:val="-2"/>
        </w:rPr>
        <w:t>.Cl.HCO</w:t>
      </w:r>
      <w:r>
        <w:rPr>
          <w:rFonts w:ascii="Times New Roman" w:hAnsi="Times New Roman" w:eastAsia="Times New Roman" w:cs="Times New Roman"/>
          <w:sz w:val="16"/>
          <w:szCs w:val="16"/>
          <w:spacing w:val="-2"/>
          <w:position w:val="-3"/>
        </w:rPr>
        <w:t>3</w:t>
      </w:r>
      <w:r>
        <w:rPr>
          <w:rFonts w:ascii="SimSun" w:hAnsi="SimSun" w:eastAsia="SimSun" w:cs="SimSun"/>
          <w:sz w:val="24"/>
          <w:szCs w:val="24"/>
          <w:spacing w:val="-2"/>
        </w:rPr>
        <w:t>－</w:t>
      </w:r>
      <w:r>
        <w:rPr>
          <w:rFonts w:ascii="Times New Roman" w:hAnsi="Times New Roman" w:eastAsia="Times New Roman" w:cs="Times New Roman"/>
          <w:sz w:val="24"/>
          <w:szCs w:val="24"/>
          <w:spacing w:val="-2"/>
        </w:rPr>
        <w:t>Mg.Ca</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2"/>
        </w:rPr>
        <w:t>型。单位涌水量</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2"/>
        </w:rPr>
        <w:t>0.1</w:t>
      </w:r>
      <w:r>
        <w:rPr>
          <w:rFonts w:ascii="SimSun" w:hAnsi="SimSun" w:eastAsia="SimSun" w:cs="SimSun"/>
          <w:sz w:val="24"/>
          <w:szCs w:val="24"/>
          <w:spacing w:val="-2"/>
        </w:rPr>
        <w:t>＜</w:t>
      </w:r>
      <w:r>
        <w:rPr>
          <w:rFonts w:ascii="Times New Roman" w:hAnsi="Times New Roman" w:eastAsia="Times New Roman" w:cs="Times New Roman"/>
          <w:sz w:val="24"/>
          <w:szCs w:val="24"/>
          <w:spacing w:val="-2"/>
        </w:rPr>
        <w:t>q</w:t>
      </w:r>
      <w:r>
        <w:rPr>
          <w:rFonts w:ascii="SimSun" w:hAnsi="SimSun" w:eastAsia="SimSun" w:cs="SimSun"/>
          <w:sz w:val="24"/>
          <w:szCs w:val="24"/>
          <w:spacing w:val="-2"/>
        </w:rPr>
        <w:t>＜</w:t>
      </w:r>
      <w:r>
        <w:rPr>
          <w:rFonts w:ascii="Times New Roman" w:hAnsi="Times New Roman" w:eastAsia="Times New Roman" w:cs="Times New Roman"/>
          <w:sz w:val="24"/>
          <w:szCs w:val="24"/>
          <w:spacing w:val="-2"/>
        </w:rPr>
        <w:t>1L/</w:t>
      </w:r>
      <w:r>
        <w:rPr>
          <w:rFonts w:ascii="Times New Roman" w:hAnsi="Times New Roman" w:eastAsia="Times New Roman" w:cs="Times New Roman"/>
          <w:sz w:val="24"/>
          <w:szCs w:val="24"/>
          <w:spacing w:val="-3"/>
        </w:rPr>
        <w:t>s.m</w:t>
      </w:r>
      <w:r>
        <w:rPr>
          <w:rFonts w:ascii="SimSun" w:hAnsi="SimSun" w:eastAsia="SimSun" w:cs="SimSun"/>
          <w:sz w:val="24"/>
          <w:szCs w:val="24"/>
          <w:spacing w:val="-3"/>
        </w:rPr>
        <w:t>，属中等富</w:t>
      </w:r>
      <w:r>
        <w:rPr>
          <w:rFonts w:ascii="SimSun" w:hAnsi="SimSun" w:eastAsia="SimSun" w:cs="SimSun"/>
          <w:sz w:val="24"/>
          <w:szCs w:val="24"/>
          <w:spacing w:val="-7"/>
        </w:rPr>
        <w:t>水性含水层。</w:t>
      </w:r>
    </w:p>
    <w:p>
      <w:pPr>
        <w:ind w:left="104" w:right="69" w:firstLine="487"/>
        <w:spacing w:before="41" w:line="359" w:lineRule="auto"/>
        <w:jc w:val="both"/>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2</w:t>
      </w:r>
      <w:r>
        <w:rPr>
          <w:rFonts w:ascii="SimSun" w:hAnsi="SimSun" w:eastAsia="SimSun" w:cs="SimSun"/>
          <w:sz w:val="24"/>
          <w:szCs w:val="24"/>
        </w:rPr>
        <w:t>）新近系砂砾岩段孔隙、裂隙含水岩组（</w:t>
      </w:r>
      <w:r>
        <w:rPr>
          <w:rFonts w:ascii="Times New Roman" w:hAnsi="Times New Roman" w:eastAsia="Times New Roman" w:cs="Times New Roman"/>
          <w:sz w:val="24"/>
          <w:szCs w:val="24"/>
        </w:rPr>
        <w:t>N</w:t>
      </w:r>
      <w:r>
        <w:rPr>
          <w:rFonts w:ascii="SimSun" w:hAnsi="SimSun" w:eastAsia="SimSun" w:cs="SimSun"/>
          <w:sz w:val="24"/>
          <w:szCs w:val="24"/>
          <w:spacing w:val="17"/>
        </w:rPr>
        <w:t>）：</w:t>
      </w:r>
      <w:r>
        <w:rPr>
          <w:rFonts w:ascii="SimSun" w:hAnsi="SimSun" w:eastAsia="SimSun" w:cs="SimSun"/>
          <w:sz w:val="24"/>
          <w:szCs w:val="24"/>
        </w:rPr>
        <w:t>岩性主要为灰白、灰黄及</w:t>
      </w:r>
      <w:r>
        <w:rPr>
          <w:rFonts w:ascii="SimSun" w:hAnsi="SimSun" w:eastAsia="SimSun" w:cs="SimSun"/>
          <w:sz w:val="24"/>
          <w:szCs w:val="24"/>
          <w:spacing w:val="2"/>
        </w:rPr>
        <w:t>灰色含砾粗砂岩，夹薄层含砾泥岩和中、粗粒砂岩，胶结物以泥质为主，大部分</w:t>
      </w:r>
      <w:r>
        <w:rPr>
          <w:rFonts w:ascii="SimSun" w:hAnsi="SimSun" w:eastAsia="SimSun" w:cs="SimSun"/>
          <w:sz w:val="24"/>
          <w:szCs w:val="24"/>
          <w:spacing w:val="2"/>
        </w:rPr>
        <w:t>胶结疏松，局部较致密。补给源为大气降水，因降水少，所获补给量有限。该含</w:t>
      </w:r>
      <w:r>
        <w:rPr>
          <w:rFonts w:ascii="SimSun" w:hAnsi="SimSun" w:eastAsia="SimSun" w:cs="SimSun"/>
          <w:sz w:val="24"/>
          <w:szCs w:val="24"/>
          <w:spacing w:val="2"/>
        </w:rPr>
        <w:t>水岩组基本全区发育，但厚度变化大，平面及垂向极不均匀。据钻孔抽水试验资</w:t>
      </w:r>
      <w:r>
        <w:rPr>
          <w:rFonts w:ascii="SimSun" w:hAnsi="SimSun" w:eastAsia="SimSun" w:cs="SimSun"/>
          <w:sz w:val="24"/>
          <w:szCs w:val="24"/>
          <w:spacing w:val="-3"/>
        </w:rPr>
        <w:t>料，水位标高</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978.16</w:t>
      </w:r>
      <w:r>
        <w:rPr>
          <w:rFonts w:ascii="SimSun" w:hAnsi="SimSun" w:eastAsia="SimSun" w:cs="SimSun"/>
          <w:sz w:val="24"/>
          <w:szCs w:val="24"/>
          <w:spacing w:val="-3"/>
        </w:rPr>
        <w:t>－</w:t>
      </w:r>
      <w:r>
        <w:rPr>
          <w:rFonts w:ascii="Times New Roman" w:hAnsi="Times New Roman" w:eastAsia="Times New Roman" w:cs="Times New Roman"/>
          <w:sz w:val="24"/>
          <w:szCs w:val="24"/>
          <w:spacing w:val="-3"/>
        </w:rPr>
        <w:t>981.93m</w:t>
      </w:r>
      <w:r>
        <w:rPr>
          <w:rFonts w:ascii="SimSun" w:hAnsi="SimSun" w:eastAsia="SimSun" w:cs="SimSun"/>
          <w:sz w:val="24"/>
          <w:szCs w:val="24"/>
          <w:spacing w:val="-3"/>
        </w:rPr>
        <w:t>，单位涌水量</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spacing w:val="-4"/>
        </w:rPr>
        <w:t>.0119</w:t>
      </w:r>
      <w:r>
        <w:rPr>
          <w:rFonts w:ascii="SimSun" w:hAnsi="SimSun" w:eastAsia="SimSun" w:cs="SimSun"/>
          <w:sz w:val="24"/>
          <w:szCs w:val="24"/>
          <w:spacing w:val="-4"/>
        </w:rPr>
        <w:t>－</w:t>
      </w:r>
      <w:r>
        <w:rPr>
          <w:rFonts w:ascii="Times New Roman" w:hAnsi="Times New Roman" w:eastAsia="Times New Roman" w:cs="Times New Roman"/>
          <w:sz w:val="24"/>
          <w:szCs w:val="24"/>
          <w:spacing w:val="-4"/>
        </w:rPr>
        <w:t>0.4441L/s.m</w:t>
      </w:r>
      <w:r>
        <w:rPr>
          <w:rFonts w:ascii="SimSun" w:hAnsi="SimSun" w:eastAsia="SimSun" w:cs="SimSun"/>
          <w:sz w:val="24"/>
          <w:szCs w:val="24"/>
          <w:spacing w:val="-4"/>
        </w:rPr>
        <w:t>，渗透系数</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2.277</w:t>
      </w:r>
      <w:r>
        <w:rPr>
          <w:rFonts w:ascii="Times New Roman" w:hAnsi="Times New Roman" w:eastAsia="Times New Roman" w:cs="Times New Roma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3.853m/d</w:t>
      </w:r>
      <w:r>
        <w:rPr>
          <w:rFonts w:ascii="SimSun" w:hAnsi="SimSun" w:eastAsia="SimSun" w:cs="SimSun"/>
          <w:sz w:val="24"/>
          <w:szCs w:val="24"/>
          <w:spacing w:val="3"/>
        </w:rPr>
        <w:t>，水质类型为</w:t>
      </w:r>
      <w:r>
        <w:rPr>
          <w:rFonts w:ascii="SimSun" w:hAnsi="SimSun" w:eastAsia="SimSun" w:cs="SimSun"/>
          <w:sz w:val="24"/>
          <w:szCs w:val="24"/>
          <w:spacing w:val="-41"/>
        </w:rPr>
        <w:t xml:space="preserve"> </w:t>
      </w:r>
      <w:r>
        <w:rPr>
          <w:rFonts w:ascii="Times New Roman" w:hAnsi="Times New Roman" w:eastAsia="Times New Roman" w:cs="Times New Roman"/>
          <w:sz w:val="24"/>
          <w:szCs w:val="24"/>
        </w:rPr>
        <w:t>HCO</w:t>
      </w:r>
      <w:r>
        <w:rPr>
          <w:rFonts w:ascii="Times New Roman" w:hAnsi="Times New Roman" w:eastAsia="Times New Roman" w:cs="Times New Roman"/>
          <w:sz w:val="16"/>
          <w:szCs w:val="16"/>
          <w:spacing w:val="3"/>
          <w:position w:val="-3"/>
        </w:rPr>
        <w:t>3</w:t>
      </w:r>
      <w:r>
        <w:rPr>
          <w:rFonts w:ascii="SimSun" w:hAnsi="SimSun" w:eastAsia="SimSun" w:cs="SimSun"/>
          <w:sz w:val="24"/>
          <w:szCs w:val="24"/>
          <w:spacing w:val="3"/>
        </w:rPr>
        <w:t>－</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Ca</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rPr>
        <w:t>Cl</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HCO</w:t>
      </w:r>
      <w:r>
        <w:rPr>
          <w:rFonts w:ascii="Times New Roman" w:hAnsi="Times New Roman" w:eastAsia="Times New Roman" w:cs="Times New Roman"/>
          <w:sz w:val="16"/>
          <w:szCs w:val="16"/>
          <w:spacing w:val="3"/>
          <w:position w:val="-3"/>
        </w:rPr>
        <w:t>3</w:t>
      </w:r>
      <w:r>
        <w:rPr>
          <w:rFonts w:ascii="SimSun" w:hAnsi="SimSun" w:eastAsia="SimSun" w:cs="SimSun"/>
          <w:sz w:val="24"/>
          <w:szCs w:val="24"/>
          <w:spacing w:val="3"/>
        </w:rPr>
        <w:t>－</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Ca</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3"/>
        </w:rPr>
        <w:t>型水，矿化度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0.606</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Times New Roman" w:hAnsi="Times New Roman" w:eastAsia="Times New Roman" w:cs="Times New Roman"/>
          <w:sz w:val="24"/>
          <w:szCs w:val="24"/>
          <w:spacing w:val="-6"/>
        </w:rPr>
        <w:t>0.746g/L</w:t>
      </w:r>
      <w:r>
        <w:rPr>
          <w:rFonts w:ascii="SimSun" w:hAnsi="SimSun" w:eastAsia="SimSun" w:cs="SimSun"/>
          <w:sz w:val="24"/>
          <w:szCs w:val="24"/>
          <w:spacing w:val="-6"/>
        </w:rPr>
        <w:t>。该含水组埋藏浅，与煤层间有较稳定的砂质泥岩、泥岩相隔，</w:t>
      </w:r>
      <w:r>
        <w:rPr>
          <w:rFonts w:ascii="SimSun" w:hAnsi="SimSun" w:eastAsia="SimSun" w:cs="SimSun"/>
          <w:sz w:val="24"/>
          <w:szCs w:val="24"/>
          <w:spacing w:val="66"/>
        </w:rPr>
        <w:t xml:space="preserve"> </w:t>
      </w:r>
      <w:r>
        <w:rPr>
          <w:rFonts w:ascii="SimSun" w:hAnsi="SimSun" w:eastAsia="SimSun" w:cs="SimSun"/>
          <w:sz w:val="24"/>
          <w:szCs w:val="24"/>
          <w:spacing w:val="-7"/>
        </w:rPr>
        <w:t>隔水性较</w:t>
      </w:r>
      <w:r>
        <w:rPr>
          <w:rFonts w:ascii="SimSun" w:hAnsi="SimSun" w:eastAsia="SimSun" w:cs="SimSun"/>
          <w:sz w:val="24"/>
          <w:szCs w:val="24"/>
          <w:spacing w:val="2"/>
        </w:rPr>
        <w:t>好。但与第四系孔隙潜水含水层间无稳定隔水层，局部存在薄层砂质粘土，但常</w:t>
      </w:r>
      <w:r>
        <w:rPr>
          <w:rFonts w:ascii="SimSun" w:hAnsi="SimSun" w:eastAsia="SimSun" w:cs="SimSun"/>
          <w:sz w:val="24"/>
          <w:szCs w:val="24"/>
          <w:spacing w:val="-8"/>
        </w:rPr>
        <w:t>尖灭，使二者合二为一。富水性极不均匀，差异较大，单位涌水</w:t>
      </w:r>
      <w:r>
        <w:rPr>
          <w:rFonts w:ascii="SimSun" w:hAnsi="SimSun" w:eastAsia="SimSun" w:cs="SimSun"/>
          <w:sz w:val="24"/>
          <w:szCs w:val="24"/>
          <w:spacing w:val="-9"/>
        </w:rPr>
        <w:t>量以</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9"/>
        </w:rPr>
        <w:t>0.1</w:t>
      </w:r>
      <w:r>
        <w:rPr>
          <w:rFonts w:ascii="SimSun" w:hAnsi="SimSun" w:eastAsia="SimSun" w:cs="SimSun"/>
          <w:sz w:val="24"/>
          <w:szCs w:val="24"/>
          <w:spacing w:val="-9"/>
        </w:rPr>
        <w:t>＜</w:t>
      </w:r>
      <w:r>
        <w:rPr>
          <w:rFonts w:ascii="Times New Roman" w:hAnsi="Times New Roman" w:eastAsia="Times New Roman" w:cs="Times New Roman"/>
          <w:sz w:val="24"/>
          <w:szCs w:val="24"/>
          <w:spacing w:val="-9"/>
        </w:rPr>
        <w:t>q</w:t>
      </w:r>
      <w:r>
        <w:rPr>
          <w:rFonts w:ascii="SimSun" w:hAnsi="SimSun" w:eastAsia="SimSun" w:cs="SimSun"/>
          <w:sz w:val="24"/>
          <w:szCs w:val="24"/>
          <w:spacing w:val="-9"/>
        </w:rPr>
        <w:t>＜</w:t>
      </w:r>
      <w:r>
        <w:rPr>
          <w:rFonts w:ascii="Times New Roman" w:hAnsi="Times New Roman" w:eastAsia="Times New Roman" w:cs="Times New Roman"/>
          <w:sz w:val="24"/>
          <w:szCs w:val="24"/>
          <w:spacing w:val="-9"/>
        </w:rPr>
        <w:t>1L/s.m</w:t>
      </w:r>
      <w:r>
        <w:rPr>
          <w:rFonts w:ascii="SimSun" w:hAnsi="SimSun" w:eastAsia="SimSun" w:cs="SimSun"/>
          <w:sz w:val="24"/>
          <w:szCs w:val="24"/>
          <w:spacing w:val="-3"/>
        </w:rPr>
        <w:t>为主，富水性以中等为主，局部为弱富水性。</w:t>
      </w:r>
    </w:p>
    <w:p>
      <w:pPr>
        <w:ind w:left="105" w:right="80" w:firstLine="486"/>
        <w:spacing w:before="11" w:line="35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）白垩系下统巴彦花群胜利组裂隙承压含水</w:t>
      </w:r>
      <w:r>
        <w:rPr>
          <w:rFonts w:ascii="SimSun" w:hAnsi="SimSun" w:eastAsia="SimSun" w:cs="SimSun"/>
          <w:sz w:val="24"/>
          <w:szCs w:val="24"/>
          <w:spacing w:val="1"/>
        </w:rPr>
        <w:t>组（</w:t>
      </w:r>
      <w:r>
        <w:rPr>
          <w:rFonts w:ascii="Times New Roman" w:hAnsi="Times New Roman" w:eastAsia="Times New Roman" w:cs="Times New Roman"/>
          <w:sz w:val="24"/>
          <w:szCs w:val="24"/>
          <w:spacing w:val="1"/>
        </w:rPr>
        <w:t>K1</w:t>
      </w:r>
      <w:r>
        <w:rPr>
          <w:rFonts w:ascii="Times New Roman" w:hAnsi="Times New Roman" w:eastAsia="Times New Roman" w:cs="Times New Roman"/>
          <w:sz w:val="24"/>
          <w:szCs w:val="24"/>
        </w:rPr>
        <w:t>bsh</w:t>
      </w:r>
      <w:r>
        <w:rPr>
          <w:rFonts w:ascii="SimSun" w:hAnsi="SimSun" w:eastAsia="SimSun" w:cs="SimSun"/>
          <w:sz w:val="24"/>
          <w:szCs w:val="24"/>
          <w:spacing w:val="-2"/>
        </w:rPr>
        <w:t>）：</w:t>
      </w:r>
      <w:r>
        <w:rPr>
          <w:rFonts w:ascii="SimSun" w:hAnsi="SimSun" w:eastAsia="SimSun" w:cs="SimSun"/>
          <w:sz w:val="24"/>
          <w:szCs w:val="24"/>
          <w:spacing w:val="1"/>
        </w:rPr>
        <w:t>分为上、下两</w:t>
      </w:r>
      <w:r>
        <w:rPr>
          <w:rFonts w:ascii="SimSun" w:hAnsi="SimSun" w:eastAsia="SimSun" w:cs="SimSun"/>
          <w:sz w:val="24"/>
          <w:szCs w:val="24"/>
          <w:spacing w:val="-8"/>
        </w:rPr>
        <w:t>个含水层。</w:t>
      </w:r>
    </w:p>
    <w:p>
      <w:pPr>
        <w:ind w:left="108" w:firstLine="476"/>
        <w:spacing w:before="24" w:line="324" w:lineRule="auto"/>
        <w:rPr>
          <w:rFonts w:ascii="SimSun" w:hAnsi="SimSun" w:eastAsia="SimSun" w:cs="SimSun"/>
          <w:sz w:val="24"/>
          <w:szCs w:val="24"/>
        </w:rPr>
      </w:pPr>
      <w:r>
        <w:rPr>
          <w:rFonts w:ascii="SimSun" w:hAnsi="SimSun" w:eastAsia="SimSun" w:cs="SimSun"/>
          <w:sz w:val="24"/>
          <w:szCs w:val="24"/>
          <w:spacing w:val="3"/>
        </w:rPr>
        <w:t>①白垩系下统巴彦花群胜利组裂隙承压上含水</w:t>
      </w:r>
      <w:r>
        <w:rPr>
          <w:rFonts w:ascii="SimSun" w:hAnsi="SimSun" w:eastAsia="SimSun" w:cs="SimSun"/>
          <w:sz w:val="24"/>
          <w:szCs w:val="24"/>
          <w:spacing w:val="2"/>
        </w:rPr>
        <w:t>组：该含水组主要分布在本区</w:t>
      </w:r>
      <w:r>
        <w:rPr>
          <w:rFonts w:ascii="SimSun" w:hAnsi="SimSun" w:eastAsia="SimSun" w:cs="SimSun"/>
          <w:sz w:val="24"/>
          <w:szCs w:val="24"/>
          <w:spacing w:val="2"/>
        </w:rPr>
        <w:t>的东北部，分布范围小，与上、下含水组间有较稳定的泥岩、砂质泥岩隔水层相</w:t>
      </w:r>
      <w:r>
        <w:rPr>
          <w:rFonts w:ascii="SimSun" w:hAnsi="SimSun" w:eastAsia="SimSun" w:cs="SimSun"/>
          <w:sz w:val="24"/>
          <w:szCs w:val="24"/>
          <w:spacing w:val="-8"/>
        </w:rPr>
        <w:t>隔，富水性中等。水头标高</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8"/>
        </w:rPr>
        <w:t>977.30m</w:t>
      </w:r>
      <w:r>
        <w:rPr>
          <w:rFonts w:ascii="SimSun" w:hAnsi="SimSun" w:eastAsia="SimSun" w:cs="SimSun"/>
          <w:sz w:val="24"/>
          <w:szCs w:val="24"/>
          <w:spacing w:val="-8"/>
        </w:rPr>
        <w:t>，单位涌水量</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8"/>
        </w:rPr>
        <w:t>0.6086L/s.m</w:t>
      </w:r>
      <w:r>
        <w:rPr>
          <w:rFonts w:ascii="SimSun" w:hAnsi="SimSun" w:eastAsia="SimSun" w:cs="SimSun"/>
          <w:sz w:val="24"/>
          <w:szCs w:val="24"/>
          <w:spacing w:val="-8"/>
        </w:rPr>
        <w:t>，渗透系数</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8"/>
        </w:rPr>
        <w:t>3.874m/d</w:t>
      </w:r>
      <w:r>
        <w:rPr>
          <w:rFonts w:ascii="SimSun" w:hAnsi="SimSun" w:eastAsia="SimSun" w:cs="SimSun"/>
          <w:sz w:val="24"/>
          <w:szCs w:val="24"/>
          <w:spacing w:val="-8"/>
        </w:rPr>
        <w:t>，</w:t>
      </w:r>
      <w:r>
        <w:rPr>
          <w:rFonts w:ascii="SimSun" w:hAnsi="SimSun" w:eastAsia="SimSun" w:cs="SimSun"/>
          <w:sz w:val="24"/>
          <w:szCs w:val="24"/>
          <w:spacing w:val="-2"/>
        </w:rPr>
        <w:t>水质类型为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HCO</w:t>
      </w:r>
      <w:r>
        <w:rPr>
          <w:rFonts w:ascii="Times New Roman" w:hAnsi="Times New Roman" w:eastAsia="Times New Roman" w:cs="Times New Roman"/>
          <w:sz w:val="16"/>
          <w:szCs w:val="16"/>
          <w:spacing w:val="-2"/>
          <w:position w:val="-3"/>
        </w:rPr>
        <w:t>3</w:t>
      </w:r>
      <w:r>
        <w:rPr>
          <w:rFonts w:ascii="Times New Roman" w:hAnsi="Times New Roman" w:eastAsia="Times New Roman" w:cs="Times New Roman"/>
          <w:sz w:val="24"/>
          <w:szCs w:val="24"/>
          <w:spacing w:val="-2"/>
        </w:rPr>
        <w:t>.SO</w:t>
      </w:r>
      <w:r>
        <w:rPr>
          <w:rFonts w:ascii="Times New Roman" w:hAnsi="Times New Roman" w:eastAsia="Times New Roman" w:cs="Times New Roman"/>
          <w:sz w:val="16"/>
          <w:szCs w:val="16"/>
          <w:spacing w:val="-2"/>
          <w:position w:val="-3"/>
        </w:rPr>
        <w:t>4</w:t>
      </w:r>
      <w:r>
        <w:rPr>
          <w:rFonts w:ascii="SimSun" w:hAnsi="SimSun" w:eastAsia="SimSun" w:cs="SimSun"/>
          <w:sz w:val="24"/>
          <w:szCs w:val="24"/>
          <w:spacing w:val="-2"/>
        </w:rPr>
        <w:t>－</w:t>
      </w:r>
      <w:r>
        <w:rPr>
          <w:rFonts w:ascii="Times New Roman" w:hAnsi="Times New Roman" w:eastAsia="Times New Roman" w:cs="Times New Roman"/>
          <w:sz w:val="24"/>
          <w:szCs w:val="24"/>
          <w:spacing w:val="-2"/>
        </w:rPr>
        <w:t>K</w:t>
      </w:r>
      <w:r>
        <w:rPr>
          <w:rFonts w:ascii="Times New Roman" w:hAnsi="Times New Roman" w:eastAsia="Times New Roman" w:cs="Times New Roman"/>
          <w:sz w:val="16"/>
          <w:szCs w:val="16"/>
          <w:spacing w:val="-2"/>
          <w:position w:val="10"/>
        </w:rPr>
        <w:t>+</w:t>
      </w:r>
      <w:r>
        <w:rPr>
          <w:rFonts w:ascii="Times New Roman" w:hAnsi="Times New Roman" w:eastAsia="Times New Roman" w:cs="Times New Roman"/>
          <w:sz w:val="24"/>
          <w:szCs w:val="24"/>
          <w:spacing w:val="-2"/>
        </w:rPr>
        <w:t>Na.Mg</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型，矿化度</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1.5g/L</w:t>
      </w:r>
      <w:r>
        <w:rPr>
          <w:rFonts w:ascii="SimSun" w:hAnsi="SimSun" w:eastAsia="SimSun" w:cs="SimSun"/>
          <w:sz w:val="24"/>
          <w:szCs w:val="24"/>
          <w:spacing w:val="-2"/>
        </w:rPr>
        <w:t>。</w:t>
      </w:r>
    </w:p>
    <w:p>
      <w:pPr>
        <w:ind w:left="104" w:right="77" w:firstLine="478"/>
        <w:spacing w:before="179" w:line="314" w:lineRule="auto"/>
        <w:rPr>
          <w:rFonts w:ascii="SimSun" w:hAnsi="SimSun" w:eastAsia="SimSun" w:cs="SimSun"/>
          <w:sz w:val="24"/>
          <w:szCs w:val="24"/>
        </w:rPr>
      </w:pPr>
      <w:r>
        <w:rPr>
          <w:rFonts w:ascii="SimSun" w:hAnsi="SimSun" w:eastAsia="SimSun" w:cs="SimSun"/>
          <w:sz w:val="24"/>
          <w:szCs w:val="24"/>
          <w:spacing w:val="3"/>
        </w:rPr>
        <w:t>②白垩系下统巴彦花群胜利组裂隙承压下含水组</w:t>
      </w:r>
      <w:r>
        <w:rPr>
          <w:rFonts w:ascii="SimSun" w:hAnsi="SimSun" w:eastAsia="SimSun" w:cs="SimSun"/>
          <w:sz w:val="24"/>
          <w:szCs w:val="24"/>
          <w:spacing w:val="2"/>
        </w:rPr>
        <w:t>：基本全区分布，裂隙发育</w:t>
      </w:r>
      <w:r>
        <w:rPr>
          <w:rFonts w:ascii="SimSun" w:hAnsi="SimSun" w:eastAsia="SimSun" w:cs="SimSun"/>
          <w:sz w:val="24"/>
          <w:szCs w:val="24"/>
          <w:spacing w:val="-1"/>
        </w:rPr>
        <w:t>不均匀。水头标高</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983.08</w:t>
      </w:r>
      <w:r>
        <w:rPr>
          <w:rFonts w:ascii="SimSun" w:hAnsi="SimSun" w:eastAsia="SimSun" w:cs="SimSun"/>
          <w:sz w:val="24"/>
          <w:szCs w:val="24"/>
          <w:spacing w:val="-1"/>
        </w:rPr>
        <w:t>～</w:t>
      </w:r>
      <w:r>
        <w:rPr>
          <w:rFonts w:ascii="Times New Roman" w:hAnsi="Times New Roman" w:eastAsia="Times New Roman" w:cs="Times New Roman"/>
          <w:sz w:val="24"/>
          <w:szCs w:val="24"/>
          <w:spacing w:val="-1"/>
        </w:rPr>
        <w:t>991.02m</w:t>
      </w:r>
      <w:r>
        <w:rPr>
          <w:rFonts w:ascii="SimSun" w:hAnsi="SimSun" w:eastAsia="SimSun" w:cs="SimSun"/>
          <w:sz w:val="24"/>
          <w:szCs w:val="24"/>
          <w:spacing w:val="-1"/>
        </w:rPr>
        <w:t>，单位涌水量</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2"/>
        </w:rPr>
        <w:t>0874</w:t>
      </w:r>
      <w:r>
        <w:rPr>
          <w:rFonts w:ascii="SimSun" w:hAnsi="SimSun" w:eastAsia="SimSun" w:cs="SimSun"/>
          <w:sz w:val="24"/>
          <w:szCs w:val="24"/>
          <w:spacing w:val="-2"/>
        </w:rPr>
        <w:t>～</w:t>
      </w:r>
      <w:r>
        <w:rPr>
          <w:rFonts w:ascii="Times New Roman" w:hAnsi="Times New Roman" w:eastAsia="Times New Roman" w:cs="Times New Roman"/>
          <w:sz w:val="24"/>
          <w:szCs w:val="24"/>
          <w:spacing w:val="-2"/>
        </w:rPr>
        <w:t>0.3434L/s.m</w:t>
      </w:r>
      <w:r>
        <w:rPr>
          <w:rFonts w:ascii="SimSun" w:hAnsi="SimSun" w:eastAsia="SimSun" w:cs="SimSun"/>
          <w:sz w:val="24"/>
          <w:szCs w:val="24"/>
          <w:spacing w:val="-2"/>
        </w:rPr>
        <w:t>，渗透系数</w:t>
      </w:r>
      <w:r>
        <w:rPr>
          <w:rFonts w:ascii="Times New Roman" w:hAnsi="Times New Roman" w:eastAsia="Times New Roman" w:cs="Times New Roman"/>
          <w:sz w:val="24"/>
          <w:szCs w:val="24"/>
          <w:spacing w:val="-1"/>
        </w:rPr>
        <w:t>0.553</w:t>
      </w:r>
      <w:r>
        <w:rPr>
          <w:rFonts w:ascii="SimSun" w:hAnsi="SimSun" w:eastAsia="SimSun" w:cs="SimSun"/>
          <w:sz w:val="24"/>
          <w:szCs w:val="24"/>
          <w:spacing w:val="-1"/>
        </w:rPr>
        <w:t>～</w:t>
      </w:r>
      <w:r>
        <w:rPr>
          <w:rFonts w:ascii="Times New Roman" w:hAnsi="Times New Roman" w:eastAsia="Times New Roman" w:cs="Times New Roman"/>
          <w:sz w:val="24"/>
          <w:szCs w:val="24"/>
          <w:spacing w:val="-1"/>
        </w:rPr>
        <w:t>1.622m/d</w:t>
      </w:r>
      <w:r>
        <w:rPr>
          <w:rFonts w:ascii="SimSun" w:hAnsi="SimSun" w:eastAsia="SimSun" w:cs="SimSun"/>
          <w:sz w:val="24"/>
          <w:szCs w:val="24"/>
          <w:spacing w:val="-1"/>
        </w:rPr>
        <w:t>。水质类型为</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1"/>
        </w:rPr>
        <w:t>HCO</w:t>
      </w:r>
      <w:r>
        <w:rPr>
          <w:rFonts w:ascii="Times New Roman" w:hAnsi="Times New Roman" w:eastAsia="Times New Roman" w:cs="Times New Roman"/>
          <w:sz w:val="16"/>
          <w:szCs w:val="16"/>
          <w:spacing w:val="-1"/>
          <w:position w:val="-3"/>
        </w:rPr>
        <w:t>3</w:t>
      </w:r>
      <w:r>
        <w:rPr>
          <w:rFonts w:ascii="SimSun" w:hAnsi="SimSun" w:eastAsia="SimSun" w:cs="SimSun"/>
          <w:sz w:val="24"/>
          <w:szCs w:val="24"/>
          <w:spacing w:val="-1"/>
        </w:rPr>
        <w:t>－</w:t>
      </w:r>
      <w:r>
        <w:rPr>
          <w:rFonts w:ascii="Times New Roman" w:hAnsi="Times New Roman" w:eastAsia="Times New Roman" w:cs="Times New Roman"/>
          <w:sz w:val="24"/>
          <w:szCs w:val="24"/>
          <w:spacing w:val="-1"/>
        </w:rPr>
        <w:t>Na·Mg</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1"/>
        </w:rPr>
        <w:t>型水，矿化度</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0.7386</w:t>
      </w:r>
      <w:r>
        <w:rPr>
          <w:rFonts w:ascii="SimSun" w:hAnsi="SimSun" w:eastAsia="SimSun" w:cs="SimSun"/>
          <w:sz w:val="24"/>
          <w:szCs w:val="24"/>
          <w:spacing w:val="-1"/>
        </w:rPr>
        <w:t>～</w:t>
      </w:r>
      <w:r>
        <w:rPr>
          <w:rFonts w:ascii="Times New Roman" w:hAnsi="Times New Roman" w:eastAsia="Times New Roman" w:cs="Times New Roman"/>
          <w:sz w:val="24"/>
          <w:szCs w:val="24"/>
          <w:spacing w:val="-1"/>
        </w:rPr>
        <w:t>1.052g/L</w:t>
      </w:r>
      <w:r>
        <w:rPr>
          <w:rFonts w:ascii="SimSun" w:hAnsi="SimSun" w:eastAsia="SimSun" w:cs="SimSun"/>
          <w:sz w:val="24"/>
          <w:szCs w:val="24"/>
          <w:spacing w:val="-1"/>
        </w:rPr>
        <w:t>。</w:t>
      </w:r>
    </w:p>
    <w:p>
      <w:pPr>
        <w:ind w:left="587"/>
        <w:spacing w:before="178" w:line="233" w:lineRule="auto"/>
        <w:rPr>
          <w:rFonts w:ascii="SimSun" w:hAnsi="SimSun" w:eastAsia="SimSun" w:cs="SimSun"/>
          <w:sz w:val="24"/>
          <w:szCs w:val="24"/>
        </w:rPr>
      </w:pPr>
      <w:r>
        <w:rPr>
          <w:rFonts w:ascii="Times New Roman" w:hAnsi="Times New Roman" w:eastAsia="Times New Roman" w:cs="Times New Roman"/>
          <w:sz w:val="24"/>
          <w:szCs w:val="24"/>
          <w:spacing w:val="-1"/>
        </w:rPr>
        <w:t>5.2.2.3 </w:t>
      </w:r>
      <w:r>
        <w:rPr>
          <w:rFonts w:ascii="SimSun" w:hAnsi="SimSun" w:eastAsia="SimSun" w:cs="SimSun"/>
          <w:sz w:val="24"/>
          <w:szCs w:val="24"/>
          <w:spacing w:val="-1"/>
        </w:rPr>
        <w:t>主要隔水层</w:t>
      </w:r>
    </w:p>
    <w:p>
      <w:pPr>
        <w:ind w:left="108" w:right="4" w:firstLine="483"/>
        <w:spacing w:before="165" w:line="31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）新近系上部砂质粘土相对隔水层（</w:t>
      </w:r>
      <w:r>
        <w:rPr>
          <w:rFonts w:ascii="Times New Roman" w:hAnsi="Times New Roman" w:eastAsia="Times New Roman" w:cs="Times New Roman"/>
          <w:sz w:val="24"/>
          <w:szCs w:val="24"/>
          <w:spacing w:val="1"/>
        </w:rPr>
        <w:t>N</w:t>
      </w:r>
      <w:r>
        <w:rPr>
          <w:rFonts w:ascii="SimSun" w:hAnsi="SimSun" w:eastAsia="SimSun" w:cs="SimSun"/>
          <w:sz w:val="24"/>
          <w:szCs w:val="24"/>
          <w:spacing w:val="1"/>
        </w:rPr>
        <w:t>）新近系砂砾岩段孔隙、裂隙含水</w:t>
      </w:r>
      <w:r>
        <w:rPr>
          <w:rFonts w:ascii="SimSun" w:hAnsi="SimSun" w:eastAsia="SimSun" w:cs="SimSun"/>
          <w:sz w:val="24"/>
          <w:szCs w:val="24"/>
          <w:spacing w:val="-2"/>
        </w:rPr>
        <w:t>组在第四系孔隙含水层分布范围内二者间仅局部有薄层</w:t>
      </w:r>
      <w:r>
        <w:rPr>
          <w:rFonts w:ascii="SimSun" w:hAnsi="SimSun" w:eastAsia="SimSun" w:cs="SimSun"/>
          <w:sz w:val="24"/>
          <w:szCs w:val="24"/>
          <w:spacing w:val="-3"/>
        </w:rPr>
        <w:t>砂质粘土、砂质泥岩相隔，</w:t>
      </w:r>
      <w:r>
        <w:rPr>
          <w:rFonts w:ascii="SimSun" w:hAnsi="SimSun" w:eastAsia="SimSun" w:cs="SimSun"/>
          <w:sz w:val="24"/>
          <w:szCs w:val="24"/>
          <w:spacing w:val="-1"/>
        </w:rPr>
        <w:t>隔水性差，常使二者合二为一。</w:t>
      </w:r>
    </w:p>
    <w:p>
      <w:pPr>
        <w:ind w:left="591"/>
        <w:spacing w:before="182"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）白垩系下统巴彦花群胜利组隔水层（</w:t>
      </w:r>
      <w:r>
        <w:rPr>
          <w:rFonts w:ascii="Times New Roman" w:hAnsi="Times New Roman" w:eastAsia="Times New Roman" w:cs="Times New Roman"/>
          <w:sz w:val="24"/>
          <w:szCs w:val="24"/>
          <w:spacing w:val="1"/>
        </w:rPr>
        <w:t>K1</w:t>
      </w:r>
      <w:r>
        <w:rPr>
          <w:rFonts w:ascii="Times New Roman" w:hAnsi="Times New Roman" w:eastAsia="Times New Roman" w:cs="Times New Roman"/>
          <w:sz w:val="24"/>
          <w:szCs w:val="24"/>
        </w:rPr>
        <w:t>bsh</w:t>
      </w:r>
      <w:r>
        <w:rPr>
          <w:rFonts w:ascii="SimSun" w:hAnsi="SimSun" w:eastAsia="SimSun" w:cs="SimSun"/>
          <w:sz w:val="24"/>
          <w:szCs w:val="24"/>
          <w:spacing w:val="-1"/>
        </w:rPr>
        <w:t>）：</w:t>
      </w:r>
      <w:r>
        <w:rPr>
          <w:rFonts w:ascii="SimSun" w:hAnsi="SimSun" w:eastAsia="SimSun" w:cs="SimSun"/>
          <w:sz w:val="24"/>
          <w:szCs w:val="24"/>
          <w:spacing w:val="1"/>
        </w:rPr>
        <w:t>分为上、下两个隔水层</w:t>
      </w:r>
    </w:p>
    <w:p>
      <w:pPr>
        <w:ind w:left="106" w:right="78" w:firstLine="478"/>
        <w:spacing w:before="165" w:line="290" w:lineRule="auto"/>
        <w:rPr>
          <w:rFonts w:ascii="SimSun" w:hAnsi="SimSun" w:eastAsia="SimSun" w:cs="SimSun"/>
          <w:sz w:val="24"/>
          <w:szCs w:val="24"/>
        </w:rPr>
      </w:pPr>
      <w:r>
        <w:rPr>
          <w:rFonts w:ascii="SimSun" w:hAnsi="SimSun" w:eastAsia="SimSun" w:cs="SimSun"/>
          <w:sz w:val="24"/>
          <w:szCs w:val="24"/>
          <w:spacing w:val="3"/>
        </w:rPr>
        <w:t>①白垩系下统巴彦花群胜利组上隔水层分布范</w:t>
      </w:r>
      <w:r>
        <w:rPr>
          <w:rFonts w:ascii="SimSun" w:hAnsi="SimSun" w:eastAsia="SimSun" w:cs="SimSun"/>
          <w:sz w:val="24"/>
          <w:szCs w:val="24"/>
          <w:spacing w:val="2"/>
        </w:rPr>
        <w:t>围小，埋藏浅，在分布范围内</w:t>
      </w:r>
      <w:r>
        <w:rPr>
          <w:rFonts w:ascii="SimSun" w:hAnsi="SimSun" w:eastAsia="SimSun" w:cs="SimSun"/>
          <w:sz w:val="24"/>
          <w:szCs w:val="24"/>
          <w:spacing w:val="-2"/>
        </w:rPr>
        <w:t>有较稳定、完整的砂质泥岩、泥岩相隔，具一定的隔水作用。</w:t>
      </w:r>
    </w:p>
    <w:p>
      <w:pPr>
        <w:spacing w:line="290" w:lineRule="auto"/>
        <w:sectPr>
          <w:headerReference w:type="default" r:id="rId118"/>
          <w:footerReference w:type="default" r:id="rId134"/>
          <w:pgSz w:w="11907" w:h="16839"/>
          <w:pgMar w:top="1442" w:right="1630" w:bottom="1235" w:left="1606" w:header="1064" w:footer="992" w:gutter="0"/>
        </w:sectPr>
        <w:rPr>
          <w:rFonts w:ascii="SimSun" w:hAnsi="SimSun" w:eastAsia="SimSun" w:cs="SimSun"/>
          <w:sz w:val="24"/>
          <w:szCs w:val="24"/>
        </w:rPr>
      </w:pPr>
    </w:p>
    <w:p>
      <w:pPr>
        <w:pStyle w:val="BodyText"/>
        <w:spacing w:line="292" w:lineRule="auto"/>
        <w:rPr/>
      </w:pPr>
      <w:r/>
    </w:p>
    <w:p>
      <w:pPr>
        <w:ind w:left="107" w:right="75" w:firstLine="476"/>
        <w:spacing w:before="78" w:line="325" w:lineRule="auto"/>
        <w:rPr>
          <w:rFonts w:ascii="SimSun" w:hAnsi="SimSun" w:eastAsia="SimSun" w:cs="SimSun"/>
          <w:sz w:val="24"/>
          <w:szCs w:val="24"/>
        </w:rPr>
      </w:pPr>
      <w:r>
        <w:rPr>
          <w:rFonts w:ascii="SimSun" w:hAnsi="SimSun" w:eastAsia="SimSun" w:cs="SimSun"/>
          <w:sz w:val="24"/>
          <w:szCs w:val="24"/>
          <w:spacing w:val="3"/>
        </w:rPr>
        <w:t>②白垩系下统巴彦花群胜利组下隔水层下层含水</w:t>
      </w:r>
      <w:r>
        <w:rPr>
          <w:rFonts w:ascii="SimSun" w:hAnsi="SimSun" w:eastAsia="SimSun" w:cs="SimSun"/>
          <w:sz w:val="24"/>
          <w:szCs w:val="24"/>
          <w:spacing w:val="2"/>
        </w:rPr>
        <w:t>岩组与上层含水岩组间除南</w:t>
      </w:r>
      <w:r>
        <w:rPr>
          <w:rFonts w:ascii="SimSun" w:hAnsi="SimSun" w:eastAsia="SimSun" w:cs="SimSun"/>
          <w:sz w:val="24"/>
          <w:szCs w:val="24"/>
          <w:spacing w:val="2"/>
        </w:rPr>
        <w:t>部煤层隐伏露头周边外，普遍有厚层至巨厚层状砂质泥岩，泥岩、粉砂岩相隔，</w:t>
      </w:r>
      <w:r>
        <w:rPr>
          <w:rFonts w:ascii="SimSun" w:hAnsi="SimSun" w:eastAsia="SimSun" w:cs="SimSun"/>
          <w:sz w:val="24"/>
          <w:szCs w:val="24"/>
          <w:spacing w:val="2"/>
        </w:rPr>
        <w:t>隔水性较好。下层含水岩组与下伏含水岩组间隔水层全区普遍发育，岩性以砂质</w:t>
      </w:r>
      <w:r>
        <w:rPr>
          <w:rFonts w:ascii="SimSun" w:hAnsi="SimSun" w:eastAsia="SimSun" w:cs="SimSun"/>
          <w:sz w:val="24"/>
          <w:szCs w:val="24"/>
          <w:spacing w:val="-4"/>
        </w:rPr>
        <w:t>泥岩、泥岩为主，隔水性良好。</w:t>
      </w:r>
    </w:p>
    <w:p>
      <w:pPr>
        <w:ind w:left="587"/>
        <w:spacing w:before="183" w:line="233" w:lineRule="auto"/>
        <w:rPr>
          <w:rFonts w:ascii="SimSun" w:hAnsi="SimSun" w:eastAsia="SimSun" w:cs="SimSun"/>
          <w:sz w:val="24"/>
          <w:szCs w:val="24"/>
        </w:rPr>
      </w:pPr>
      <w:r>
        <w:rPr>
          <w:rFonts w:ascii="Times New Roman" w:hAnsi="Times New Roman" w:eastAsia="Times New Roman" w:cs="Times New Roman"/>
          <w:sz w:val="24"/>
          <w:szCs w:val="24"/>
          <w:spacing w:val="-1"/>
        </w:rPr>
        <w:t>5.2.2.4 </w:t>
      </w:r>
      <w:r>
        <w:rPr>
          <w:rFonts w:ascii="SimSun" w:hAnsi="SimSun" w:eastAsia="SimSun" w:cs="SimSun"/>
          <w:sz w:val="24"/>
          <w:szCs w:val="24"/>
          <w:spacing w:val="-1"/>
        </w:rPr>
        <w:t>地下水补给、径流、排泄</w:t>
      </w:r>
    </w:p>
    <w:p>
      <w:pPr>
        <w:ind w:left="106" w:right="77" w:firstLine="496"/>
        <w:spacing w:before="165" w:line="360" w:lineRule="auto"/>
        <w:jc w:val="both"/>
        <w:rPr>
          <w:rFonts w:ascii="SimSun" w:hAnsi="SimSun" w:eastAsia="SimSun" w:cs="SimSun"/>
          <w:sz w:val="24"/>
          <w:szCs w:val="24"/>
        </w:rPr>
      </w:pPr>
      <w:r>
        <w:rPr>
          <w:rFonts w:ascii="SimSun" w:hAnsi="SimSun" w:eastAsia="SimSun" w:cs="SimSun"/>
          <w:sz w:val="24"/>
          <w:szCs w:val="24"/>
          <w:spacing w:val="2"/>
        </w:rPr>
        <w:t>区域的补给方式主要有大气降水、河谷的侧向补给，排泄方式主要为蒸发作</w:t>
      </w:r>
      <w:r>
        <w:rPr>
          <w:rFonts w:ascii="SimSun" w:hAnsi="SimSun" w:eastAsia="SimSun" w:cs="SimSun"/>
          <w:sz w:val="24"/>
          <w:szCs w:val="24"/>
          <w:spacing w:val="2"/>
        </w:rPr>
        <w:t>用、人工开采和径流排泄，其中以径流排泄为主，人工开采为次。大气降水是胜</w:t>
      </w:r>
      <w:r>
        <w:rPr>
          <w:rFonts w:ascii="SimSun" w:hAnsi="SimSun" w:eastAsia="SimSun" w:cs="SimSun"/>
          <w:sz w:val="24"/>
          <w:szCs w:val="24"/>
          <w:spacing w:val="2"/>
        </w:rPr>
        <w:t>利矿区地下水的主要补给来源，特别是埋藏较浅的河谷平原，沉积物松散，更利</w:t>
      </w:r>
      <w:r>
        <w:rPr>
          <w:rFonts w:ascii="SimSun" w:hAnsi="SimSun" w:eastAsia="SimSun" w:cs="SimSun"/>
          <w:sz w:val="24"/>
          <w:szCs w:val="24"/>
          <w:spacing w:val="2"/>
        </w:rPr>
        <w:t>于降水的入渗补给。大气降水沿含水层向盆地中部锡林河河谷径流，除沿途垂直</w:t>
      </w:r>
      <w:r>
        <w:rPr>
          <w:rFonts w:ascii="SimSun" w:hAnsi="SimSun" w:eastAsia="SimSun" w:cs="SimSun"/>
          <w:sz w:val="24"/>
          <w:szCs w:val="24"/>
          <w:spacing w:val="-1"/>
        </w:rPr>
        <w:t>蒸发消耗和被开采利用的部分以外，剩余部分则从北</w:t>
      </w:r>
      <w:r>
        <w:rPr>
          <w:rFonts w:ascii="SimSun" w:hAnsi="SimSun" w:eastAsia="SimSun" w:cs="SimSun"/>
          <w:sz w:val="24"/>
          <w:szCs w:val="24"/>
          <w:spacing w:val="-2"/>
        </w:rPr>
        <w:t>侧河谷出口处排出区外。</w:t>
      </w:r>
    </w:p>
    <w:p>
      <w:pPr>
        <w:ind w:left="104" w:right="71" w:firstLine="481"/>
        <w:spacing w:before="1" w:line="361" w:lineRule="auto"/>
        <w:jc w:val="both"/>
        <w:rPr>
          <w:rFonts w:ascii="SimSun" w:hAnsi="SimSun" w:eastAsia="SimSun" w:cs="SimSun"/>
          <w:sz w:val="24"/>
          <w:szCs w:val="24"/>
        </w:rPr>
      </w:pPr>
      <w:r>
        <w:rPr>
          <w:rFonts w:ascii="SimSun" w:hAnsi="SimSun" w:eastAsia="SimSun" w:cs="SimSun"/>
          <w:sz w:val="24"/>
          <w:szCs w:val="24"/>
          <w:spacing w:val="3"/>
        </w:rPr>
        <w:t>本区地下水可从不同途径汇聚而来，但它的起源均来自</w:t>
      </w:r>
      <w:r>
        <w:rPr>
          <w:rFonts w:ascii="SimSun" w:hAnsi="SimSun" w:eastAsia="SimSun" w:cs="SimSun"/>
          <w:sz w:val="24"/>
          <w:szCs w:val="24"/>
          <w:spacing w:val="2"/>
        </w:rPr>
        <w:t>大气降水。除大气降</w:t>
      </w:r>
      <w:r>
        <w:rPr>
          <w:rFonts w:ascii="SimSun" w:hAnsi="SimSun" w:eastAsia="SimSun" w:cs="SimSun"/>
          <w:sz w:val="24"/>
          <w:szCs w:val="24"/>
          <w:spacing w:val="2"/>
        </w:rPr>
        <w:t>水外，位于河谷平原南侧的河谷侧向补给是该区另一地下水补给源，工作区南部</w:t>
      </w:r>
      <w:r>
        <w:rPr>
          <w:rFonts w:ascii="SimSun" w:hAnsi="SimSun" w:eastAsia="SimSun" w:cs="SimSun"/>
          <w:sz w:val="24"/>
          <w:szCs w:val="24"/>
          <w:spacing w:val="-3"/>
        </w:rPr>
        <w:t>锡林河河谷地下水沿河侧向补给工作区。</w:t>
      </w:r>
    </w:p>
    <w:p>
      <w:pPr>
        <w:spacing w:line="361" w:lineRule="auto"/>
        <w:sectPr>
          <w:headerReference w:type="default" r:id="rId124"/>
          <w:footerReference w:type="default" r:id="rId135"/>
          <w:pgSz w:w="11907" w:h="16839"/>
          <w:pgMar w:top="1442" w:right="1631" w:bottom="1235" w:left="1606" w:header="1064" w:footer="992" w:gutter="0"/>
        </w:sectPr>
        <w:rPr>
          <w:rFonts w:ascii="SimSun" w:hAnsi="SimSun" w:eastAsia="SimSun" w:cs="SimSun"/>
          <w:sz w:val="24"/>
          <w:szCs w:val="24"/>
        </w:rPr>
      </w:pPr>
    </w:p>
    <w:p>
      <w:pPr>
        <w:pStyle w:val="BodyText"/>
        <w:spacing w:line="273" w:lineRule="auto"/>
        <w:rPr/>
      </w:pPr>
      <w:r/>
    </w:p>
    <w:p>
      <w:pPr>
        <w:ind w:firstLine="515"/>
        <w:spacing w:line="9015" w:lineRule="exact"/>
        <w:rPr/>
      </w:pPr>
      <w:r>
        <w:rPr>
          <w:position w:val="-180"/>
        </w:rPr>
        <w:drawing>
          <wp:inline distT="0" distB="0" distL="0" distR="0">
            <wp:extent cx="5257799" cy="5724525"/>
            <wp:effectExtent l="0" t="0" r="0" b="0"/>
            <wp:docPr id="16" name="IM 16"/>
            <wp:cNvGraphicFramePr/>
            <a:graphic>
              <a:graphicData uri="http://schemas.openxmlformats.org/drawingml/2006/picture">
                <pic:pic>
                  <pic:nvPicPr>
                    <pic:cNvPr id="16" name="IM 16"/>
                    <pic:cNvPicPr/>
                  </pic:nvPicPr>
                  <pic:blipFill>
                    <a:blip r:embed="rId138"/>
                    <a:stretch>
                      <a:fillRect/>
                    </a:stretch>
                  </pic:blipFill>
                  <pic:spPr>
                    <a:xfrm rot="0">
                      <a:off x="0" y="0"/>
                      <a:ext cx="5257799" cy="5724525"/>
                    </a:xfrm>
                    <a:prstGeom prst="rect">
                      <a:avLst/>
                    </a:prstGeom>
                  </pic:spPr>
                </pic:pic>
              </a:graphicData>
            </a:graphic>
          </wp:inline>
        </w:drawing>
      </w:r>
    </w:p>
    <w:p>
      <w:pPr>
        <w:ind w:left="3530"/>
        <w:spacing w:before="131" w:line="234" w:lineRule="auto"/>
        <w:rPr>
          <w:rFonts w:ascii="SimSun" w:hAnsi="SimSun" w:eastAsia="SimSun" w:cs="SimSun"/>
          <w:sz w:val="24"/>
          <w:szCs w:val="24"/>
        </w:rPr>
      </w:pPr>
      <w:r>
        <w:rPr>
          <w:rFonts w:ascii="SimSun" w:hAnsi="SimSun" w:eastAsia="SimSun" w:cs="SimSun"/>
          <w:sz w:val="24"/>
          <w:szCs w:val="24"/>
          <w:spacing w:val="-8"/>
        </w:rPr>
        <w:t>图</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8"/>
        </w:rPr>
        <w:t>5-1</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8"/>
        </w:rPr>
        <w:t>区域地质图</w:t>
      </w:r>
    </w:p>
    <w:p>
      <w:pPr>
        <w:pStyle w:val="BodyText"/>
        <w:spacing w:line="317" w:lineRule="auto"/>
        <w:rPr/>
      </w:pPr>
      <w:r/>
    </w:p>
    <w:p>
      <w:pPr>
        <w:ind w:left="609"/>
        <w:spacing w:before="78" w:line="233" w:lineRule="auto"/>
        <w:rPr>
          <w:rFonts w:ascii="SimSun" w:hAnsi="SimSun" w:eastAsia="SimSun" w:cs="SimSun"/>
          <w:sz w:val="24"/>
          <w:szCs w:val="24"/>
        </w:rPr>
      </w:pPr>
      <w:r>
        <w:rPr>
          <w:rFonts w:ascii="Times New Roman" w:hAnsi="Times New Roman" w:eastAsia="Times New Roman" w:cs="Times New Roman"/>
          <w:sz w:val="24"/>
          <w:szCs w:val="24"/>
          <w:spacing w:val="-1"/>
        </w:rPr>
        <w:t>5.2.2.5 </w:t>
      </w:r>
      <w:r>
        <w:rPr>
          <w:rFonts w:ascii="SimSun" w:hAnsi="SimSun" w:eastAsia="SimSun" w:cs="SimSun"/>
          <w:sz w:val="24"/>
          <w:szCs w:val="24"/>
          <w:spacing w:val="-1"/>
        </w:rPr>
        <w:t>地下水环境影响分析</w:t>
      </w:r>
    </w:p>
    <w:p>
      <w:pPr>
        <w:ind w:left="591"/>
        <w:spacing w:before="163"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）地下水污染途径</w:t>
      </w:r>
    </w:p>
    <w:p>
      <w:pPr>
        <w:ind w:left="104" w:right="204" w:firstLine="479"/>
        <w:spacing w:before="164" w:line="324" w:lineRule="auto"/>
        <w:rPr>
          <w:rFonts w:ascii="SimSun" w:hAnsi="SimSun" w:eastAsia="SimSun" w:cs="SimSun"/>
          <w:sz w:val="24"/>
          <w:szCs w:val="24"/>
        </w:rPr>
      </w:pPr>
      <w:r>
        <w:rPr>
          <w:rFonts w:ascii="SimSun" w:hAnsi="SimSun" w:eastAsia="SimSun" w:cs="SimSun"/>
          <w:sz w:val="24"/>
          <w:szCs w:val="24"/>
          <w:spacing w:val="3"/>
        </w:rPr>
        <w:t>①废水：本项目生活污水排入室外防渗池，</w:t>
      </w:r>
      <w:r>
        <w:rPr>
          <w:rFonts w:ascii="SimSun" w:hAnsi="SimSun" w:eastAsia="SimSun" w:cs="SimSun"/>
          <w:sz w:val="24"/>
          <w:szCs w:val="24"/>
          <w:spacing w:val="2"/>
        </w:rPr>
        <w:t>由环卫部门清运处理，生产废水</w:t>
      </w:r>
      <w:r>
        <w:rPr>
          <w:rFonts w:ascii="SimSun" w:hAnsi="SimSun" w:eastAsia="SimSun" w:cs="SimSun"/>
          <w:sz w:val="24"/>
          <w:szCs w:val="24"/>
          <w:spacing w:val="2"/>
        </w:rPr>
        <w:t>主要为牛尿，本企业牛尿部分被蒸发，部分进入垫料中，废垫料清运至储粪库暂</w:t>
      </w:r>
      <w:r>
        <w:rPr>
          <w:rFonts w:ascii="SimSun" w:hAnsi="SimSun" w:eastAsia="SimSun" w:cs="SimSun"/>
          <w:sz w:val="24"/>
          <w:szCs w:val="24"/>
          <w:spacing w:val="2"/>
        </w:rPr>
        <w:t>存，一同外卖当地有机肥厂生产有机肥处理，故污染途径为防渗层破裂，废水通</w:t>
      </w:r>
      <w:r>
        <w:rPr>
          <w:rFonts w:ascii="SimSun" w:hAnsi="SimSun" w:eastAsia="SimSun" w:cs="SimSun"/>
          <w:sz w:val="24"/>
          <w:szCs w:val="24"/>
          <w:spacing w:val="-1"/>
        </w:rPr>
        <w:t>过土壤进入地下水。</w:t>
      </w:r>
    </w:p>
    <w:p>
      <w:pPr>
        <w:ind w:left="106" w:right="194" w:firstLine="477"/>
        <w:spacing w:before="183" w:line="288" w:lineRule="auto"/>
        <w:rPr>
          <w:rFonts w:ascii="SimSun" w:hAnsi="SimSun" w:eastAsia="SimSun" w:cs="SimSun"/>
          <w:sz w:val="24"/>
          <w:szCs w:val="24"/>
        </w:rPr>
      </w:pPr>
      <w:r>
        <w:rPr>
          <w:rFonts w:ascii="SimSun" w:hAnsi="SimSun" w:eastAsia="SimSun" w:cs="SimSun"/>
          <w:sz w:val="24"/>
          <w:szCs w:val="24"/>
          <w:spacing w:val="3"/>
        </w:rPr>
        <w:t>②固体废物：养殖场产生的废垫料、病死牛等为一般固废，不含有毒</w:t>
      </w:r>
      <w:r>
        <w:rPr>
          <w:rFonts w:ascii="SimSun" w:hAnsi="SimSun" w:eastAsia="SimSun" w:cs="SimSun"/>
          <w:sz w:val="24"/>
          <w:szCs w:val="24"/>
          <w:spacing w:val="2"/>
        </w:rPr>
        <w:t>有害物</w:t>
      </w:r>
      <w:r>
        <w:rPr>
          <w:rFonts w:ascii="SimSun" w:hAnsi="SimSun" w:eastAsia="SimSun" w:cs="SimSun"/>
          <w:sz w:val="24"/>
          <w:szCs w:val="24"/>
        </w:rPr>
        <w:t>质，废垫料均贮存于储粪库，定期外卖当地有机肥厂</w:t>
      </w:r>
      <w:r>
        <w:rPr>
          <w:rFonts w:ascii="SimSun" w:hAnsi="SimSun" w:eastAsia="SimSun" w:cs="SimSun"/>
          <w:sz w:val="24"/>
          <w:szCs w:val="24"/>
          <w:spacing w:val="-1"/>
        </w:rPr>
        <w:t>家生产有机肥，病死牛不</w:t>
      </w:r>
    </w:p>
    <w:p>
      <w:pPr>
        <w:spacing w:line="288" w:lineRule="auto"/>
        <w:sectPr>
          <w:headerReference w:type="default" r:id="rId136"/>
          <w:footerReference w:type="default" r:id="rId137"/>
          <w:pgSz w:w="11907" w:h="16839"/>
          <w:pgMar w:top="1442" w:right="1504" w:bottom="1235" w:left="1606" w:header="1064" w:footer="992" w:gutter="0"/>
        </w:sectPr>
        <w:rPr>
          <w:rFonts w:ascii="SimSun" w:hAnsi="SimSun" w:eastAsia="SimSun" w:cs="SimSun"/>
          <w:sz w:val="24"/>
          <w:szCs w:val="24"/>
        </w:rPr>
      </w:pPr>
    </w:p>
    <w:p>
      <w:pPr>
        <w:ind w:left="103" w:right="93"/>
        <w:spacing w:before="293" w:line="359" w:lineRule="auto"/>
        <w:jc w:val="both"/>
        <w:rPr>
          <w:rFonts w:ascii="SimSun" w:hAnsi="SimSun" w:eastAsia="SimSun" w:cs="SimSun"/>
          <w:sz w:val="24"/>
          <w:szCs w:val="24"/>
        </w:rPr>
      </w:pPr>
      <w:r>
        <w:rPr>
          <w:rFonts w:ascii="SimSun" w:hAnsi="SimSun" w:eastAsia="SimSun" w:cs="SimSun"/>
          <w:sz w:val="24"/>
          <w:szCs w:val="24"/>
          <w:spacing w:val="2"/>
        </w:rPr>
        <w:t>在厂区贮存，委托相关单位进行无害化处置，防疫废物及消毒剂废包装物暂存于</w:t>
      </w:r>
      <w:r>
        <w:rPr>
          <w:rFonts w:ascii="SimSun" w:hAnsi="SimSun" w:eastAsia="SimSun" w:cs="SimSun"/>
          <w:sz w:val="24"/>
          <w:szCs w:val="24"/>
          <w:spacing w:val="2"/>
        </w:rPr>
        <w:t>危险废物暂存间，定期委托有资质单位处理，生活垃圾经场区内垃圾桶收集后，</w:t>
      </w:r>
      <w:r>
        <w:rPr>
          <w:rFonts w:ascii="SimSun" w:hAnsi="SimSun" w:eastAsia="SimSun" w:cs="SimSun"/>
          <w:sz w:val="24"/>
          <w:szCs w:val="24"/>
          <w:spacing w:val="2"/>
        </w:rPr>
        <w:t>交由环卫部门统一处理。餐厨垃圾使用加盖塑料桶进行收集，定期交由环卫部门</w:t>
      </w:r>
      <w:r>
        <w:rPr>
          <w:rFonts w:ascii="SimSun" w:hAnsi="SimSun" w:eastAsia="SimSun" w:cs="SimSun"/>
          <w:sz w:val="24"/>
          <w:szCs w:val="24"/>
          <w:spacing w:val="-3"/>
        </w:rPr>
        <w:t>进行统一处理，本项目可能造成地下水污染的环节主要是：</w:t>
      </w:r>
    </w:p>
    <w:p>
      <w:pPr>
        <w:ind w:left="104" w:right="92" w:firstLine="479"/>
        <w:spacing w:before="2" w:line="288" w:lineRule="auto"/>
        <w:rPr>
          <w:rFonts w:ascii="SimSun" w:hAnsi="SimSun" w:eastAsia="SimSun" w:cs="SimSun"/>
          <w:sz w:val="24"/>
          <w:szCs w:val="24"/>
        </w:rPr>
      </w:pPr>
      <w:r>
        <w:rPr>
          <w:rFonts w:ascii="SimSun" w:hAnsi="SimSun" w:eastAsia="SimSun" w:cs="SimSun"/>
          <w:sz w:val="24"/>
          <w:szCs w:val="24"/>
          <w:spacing w:val="3"/>
        </w:rPr>
        <w:t>①粪储库等粪污处置场地的防渗、防水措施不</w:t>
      </w:r>
      <w:r>
        <w:rPr>
          <w:rFonts w:ascii="SimSun" w:hAnsi="SimSun" w:eastAsia="SimSun" w:cs="SimSun"/>
          <w:sz w:val="24"/>
          <w:szCs w:val="24"/>
          <w:spacing w:val="2"/>
        </w:rPr>
        <w:t>完善，而导致污染物渗入地下</w:t>
      </w:r>
      <w:r>
        <w:rPr>
          <w:rFonts w:ascii="SimSun" w:hAnsi="SimSun" w:eastAsia="SimSun" w:cs="SimSun"/>
          <w:sz w:val="24"/>
          <w:szCs w:val="24"/>
          <w:spacing w:val="-6"/>
        </w:rPr>
        <w:t>造成对地下水的污染；</w:t>
      </w:r>
    </w:p>
    <w:p>
      <w:pPr>
        <w:ind w:left="523"/>
        <w:spacing w:before="183" w:line="217" w:lineRule="auto"/>
        <w:rPr>
          <w:rFonts w:ascii="SimSun" w:hAnsi="SimSun" w:eastAsia="SimSun" w:cs="SimSun"/>
          <w:sz w:val="24"/>
          <w:szCs w:val="24"/>
        </w:rPr>
      </w:pPr>
      <w:r>
        <w:rPr>
          <w:rFonts w:ascii="SimSun" w:hAnsi="SimSun" w:eastAsia="SimSun" w:cs="SimSun"/>
          <w:sz w:val="24"/>
          <w:szCs w:val="24"/>
          <w:spacing w:val="-2"/>
        </w:rPr>
        <w:t>②牛舍、危险废物贮存间、防渗池防渗不足通过裂隙污染地下水。</w:t>
      </w:r>
    </w:p>
    <w:p>
      <w:pPr>
        <w:ind w:left="531"/>
        <w:spacing w:before="18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）污染物迁移规律</w:t>
      </w:r>
    </w:p>
    <w:p>
      <w:pPr>
        <w:ind w:left="104" w:right="82" w:firstLine="482"/>
        <w:spacing w:before="165" w:line="359" w:lineRule="auto"/>
        <w:jc w:val="both"/>
        <w:rPr>
          <w:rFonts w:ascii="SimSun" w:hAnsi="SimSun" w:eastAsia="SimSun" w:cs="SimSun"/>
          <w:sz w:val="24"/>
          <w:szCs w:val="24"/>
        </w:rPr>
      </w:pPr>
      <w:r>
        <w:rPr>
          <w:rFonts w:ascii="SimSun" w:hAnsi="SimSun" w:eastAsia="SimSun" w:cs="SimSun"/>
          <w:sz w:val="24"/>
          <w:szCs w:val="24"/>
          <w:spacing w:val="2"/>
        </w:rPr>
        <w:t>污染物通过土层垂直下渗首先经过表土，再进入包气带，在包气带污染可以</w:t>
      </w:r>
      <w:r>
        <w:rPr>
          <w:rFonts w:ascii="SimSun" w:hAnsi="SimSun" w:eastAsia="SimSun" w:cs="SimSun"/>
          <w:sz w:val="24"/>
          <w:szCs w:val="24"/>
          <w:spacing w:val="-1"/>
        </w:rPr>
        <w:t>得到 一定程度的净化，不能被净化或固定的污染物随入渗水进入地下水层。地层</w:t>
      </w:r>
      <w:r>
        <w:rPr>
          <w:rFonts w:ascii="SimSun" w:hAnsi="SimSun" w:eastAsia="SimSun" w:cs="SimSun"/>
          <w:sz w:val="24"/>
          <w:szCs w:val="24"/>
          <w:spacing w:val="2"/>
        </w:rPr>
        <w:t>对污染物质的防护性能取决于污染源至含水层之间地层岩性、厚度，污染物质的</w:t>
      </w:r>
      <w:r>
        <w:rPr>
          <w:rFonts w:ascii="SimSun" w:hAnsi="SimSun" w:eastAsia="SimSun" w:cs="SimSun"/>
          <w:sz w:val="24"/>
          <w:szCs w:val="24"/>
          <w:spacing w:val="-3"/>
        </w:rPr>
        <w:t>特性及排放形式的差异等因素。</w:t>
      </w:r>
    </w:p>
    <w:p>
      <w:pPr>
        <w:ind w:left="104" w:firstLine="481"/>
        <w:spacing w:line="359" w:lineRule="auto"/>
        <w:jc w:val="both"/>
        <w:rPr>
          <w:rFonts w:ascii="SimSun" w:hAnsi="SimSun" w:eastAsia="SimSun" w:cs="SimSun"/>
          <w:sz w:val="24"/>
          <w:szCs w:val="24"/>
        </w:rPr>
      </w:pPr>
      <w:r>
        <w:rPr>
          <w:rFonts w:ascii="SimSun" w:hAnsi="SimSun" w:eastAsia="SimSun" w:cs="SimSun"/>
          <w:sz w:val="24"/>
          <w:szCs w:val="24"/>
          <w:spacing w:val="-1"/>
        </w:rPr>
        <w:t>本项目养殖废水中主要污染物为</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1"/>
        </w:rPr>
        <w:t>COD</w:t>
      </w:r>
      <w:r>
        <w:rPr>
          <w:rFonts w:ascii="SimSun" w:hAnsi="SimSun" w:eastAsia="SimSun" w:cs="SimSun"/>
          <w:sz w:val="24"/>
          <w:szCs w:val="24"/>
          <w:spacing w:val="-1"/>
        </w:rPr>
        <w:t>、氨氮、总氮和总磷，污染物通过土层</w:t>
      </w:r>
      <w:r>
        <w:rPr>
          <w:rFonts w:ascii="SimSun" w:hAnsi="SimSun" w:eastAsia="SimSun" w:cs="SimSun"/>
          <w:sz w:val="24"/>
          <w:szCs w:val="24"/>
          <w:spacing w:val="-3"/>
        </w:rPr>
        <w:t>垂直下渗首先经过表土（</w:t>
      </w:r>
      <w:r>
        <w:rPr>
          <w:rFonts w:ascii="Times New Roman" w:hAnsi="Times New Roman" w:eastAsia="Times New Roman" w:cs="Times New Roman"/>
          <w:sz w:val="24"/>
          <w:szCs w:val="24"/>
          <w:spacing w:val="-3"/>
        </w:rPr>
        <w:t>SS </w:t>
      </w:r>
      <w:r>
        <w:rPr>
          <w:rFonts w:ascii="SimSun" w:hAnsi="SimSun" w:eastAsia="SimSun" w:cs="SimSun"/>
          <w:sz w:val="24"/>
          <w:szCs w:val="24"/>
          <w:spacing w:val="-3"/>
        </w:rPr>
        <w:t>被截留</w:t>
      </w:r>
      <w:r>
        <w:rPr>
          <w:rFonts w:ascii="SimSun" w:hAnsi="SimSun" w:eastAsia="SimSun" w:cs="SimSun"/>
          <w:sz w:val="24"/>
          <w:szCs w:val="24"/>
          <w:spacing w:val="-21"/>
        </w:rPr>
        <w:t>），</w:t>
      </w:r>
      <w:r>
        <w:rPr>
          <w:rFonts w:ascii="SimSun" w:hAnsi="SimSun" w:eastAsia="SimSun" w:cs="SimSun"/>
          <w:sz w:val="24"/>
          <w:szCs w:val="24"/>
          <w:spacing w:val="-3"/>
        </w:rPr>
        <w:t>再进入包气带。评价区域包气带厚度较厚，</w:t>
      </w:r>
      <w:r>
        <w:rPr>
          <w:rFonts w:ascii="SimSun" w:hAnsi="SimSun" w:eastAsia="SimSun" w:cs="SimSun"/>
          <w:sz w:val="24"/>
          <w:szCs w:val="24"/>
          <w:spacing w:val="-2"/>
        </w:rPr>
        <w:t>有机物随入渗水进入包气带后，一方面被土壤颗粒、粘土吸附、凝聚、离子交换、</w:t>
      </w:r>
      <w:r>
        <w:rPr>
          <w:rFonts w:ascii="SimSun" w:hAnsi="SimSun" w:eastAsia="SimSun" w:cs="SimSun"/>
          <w:sz w:val="24"/>
          <w:szCs w:val="24"/>
          <w:spacing w:val="2"/>
        </w:rPr>
        <w:t>过滤而被截留，另一方面由于土壤颗粒、粉质粘土具有疏松、多孔的特性，适于</w:t>
      </w:r>
      <w:r>
        <w:rPr>
          <w:rFonts w:ascii="SimSun" w:hAnsi="SimSun" w:eastAsia="SimSun" w:cs="SimSun"/>
          <w:sz w:val="24"/>
          <w:szCs w:val="24"/>
          <w:spacing w:val="2"/>
        </w:rPr>
        <w:t>微生物的生长繁殖，在微生物的作用下，有机物被降解。资料表明，废水中的有</w:t>
      </w:r>
      <w:r>
        <w:rPr>
          <w:rFonts w:ascii="SimSun" w:hAnsi="SimSun" w:eastAsia="SimSun" w:cs="SimSun"/>
          <w:sz w:val="24"/>
          <w:szCs w:val="24"/>
          <w:spacing w:val="-2"/>
        </w:rPr>
        <w:t>机物经包气带降解后对</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COD </w:t>
      </w:r>
      <w:r>
        <w:rPr>
          <w:rFonts w:ascii="SimSun" w:hAnsi="SimSun" w:eastAsia="SimSun" w:cs="SimSun"/>
          <w:sz w:val="24"/>
          <w:szCs w:val="24"/>
          <w:spacing w:val="-2"/>
        </w:rPr>
        <w:t>等去除率可达</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95</w:t>
      </w:r>
      <w:r>
        <w:rPr>
          <w:rFonts w:ascii="Times New Roman" w:hAnsi="Times New Roman" w:eastAsia="Times New Roman" w:cs="Times New Roman"/>
          <w:sz w:val="24"/>
          <w:szCs w:val="24"/>
          <w:spacing w:val="-3"/>
        </w:rPr>
        <w:t>%</w:t>
      </w:r>
      <w:r>
        <w:rPr>
          <w:rFonts w:ascii="SimSun" w:hAnsi="SimSun" w:eastAsia="SimSun" w:cs="SimSun"/>
          <w:sz w:val="24"/>
          <w:szCs w:val="24"/>
          <w:spacing w:val="-3"/>
        </w:rPr>
        <w:t>以上，可见包气带可有效地阻隔废</w:t>
      </w:r>
      <w:r>
        <w:rPr>
          <w:rFonts w:ascii="SimSun" w:hAnsi="SimSun" w:eastAsia="SimSun" w:cs="SimSun"/>
          <w:sz w:val="24"/>
          <w:szCs w:val="24"/>
          <w:spacing w:val="-3"/>
        </w:rPr>
        <w:t>水中有机物下渗对地下水的污染。</w:t>
      </w:r>
    </w:p>
    <w:p>
      <w:pPr>
        <w:ind w:left="591"/>
        <w:spacing w:before="81"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）养殖场对地下水环境影响分析</w:t>
      </w:r>
    </w:p>
    <w:p>
      <w:pPr>
        <w:ind w:left="105" w:right="92" w:firstLine="480"/>
        <w:spacing w:before="164" w:line="345" w:lineRule="auto"/>
        <w:rPr>
          <w:rFonts w:ascii="SimSun" w:hAnsi="SimSun" w:eastAsia="SimSun" w:cs="SimSun"/>
          <w:sz w:val="24"/>
          <w:szCs w:val="24"/>
        </w:rPr>
      </w:pPr>
      <w:r>
        <w:rPr>
          <w:rFonts w:ascii="SimSun" w:hAnsi="SimSun" w:eastAsia="SimSun" w:cs="SimSun"/>
          <w:sz w:val="24"/>
          <w:szCs w:val="24"/>
          <w:spacing w:val="22"/>
        </w:rPr>
        <w:t>本项目为肉牛养殖项</w:t>
      </w:r>
      <w:r>
        <w:rPr>
          <w:rFonts w:ascii="SimSun" w:hAnsi="SimSun" w:eastAsia="SimSun" w:cs="SimSun"/>
          <w:sz w:val="24"/>
          <w:szCs w:val="24"/>
          <w:spacing w:val="-25"/>
        </w:rPr>
        <w:t xml:space="preserve"> </w:t>
      </w:r>
      <w:r>
        <w:rPr>
          <w:rFonts w:ascii="SimSun" w:hAnsi="SimSun" w:eastAsia="SimSun" w:cs="SimSun"/>
          <w:sz w:val="24"/>
          <w:szCs w:val="24"/>
          <w:spacing w:val="22"/>
        </w:rPr>
        <w:t>目，依据《环境影响评价技术导则地下水环境</w:t>
      </w:r>
      <w:r>
        <w:rPr>
          <w:rFonts w:ascii="SimSun" w:hAnsi="SimSun" w:eastAsia="SimSun" w:cs="SimSun"/>
          <w:sz w:val="24"/>
          <w:szCs w:val="24"/>
          <w:spacing w:val="-71"/>
        </w:rPr>
        <w:t xml:space="preserve"> </w:t>
      </w:r>
      <w:r>
        <w:rPr>
          <w:rFonts w:ascii="SimSun" w:hAnsi="SimSun" w:eastAsia="SimSun" w:cs="SimSun"/>
          <w:sz w:val="24"/>
          <w:szCs w:val="24"/>
          <w:spacing w:val="22"/>
        </w:rPr>
        <w:t>》</w:t>
      </w:r>
      <w:r>
        <w:rPr>
          <w:rFonts w:ascii="SimSun" w:hAnsi="SimSun" w:eastAsia="SimSun" w:cs="SimSu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3"/>
        </w:rPr>
        <w:t>610-2016</w:t>
      </w:r>
      <w:r>
        <w:rPr>
          <w:rFonts w:ascii="SimSun" w:hAnsi="SimSun" w:eastAsia="SimSun" w:cs="SimSun"/>
          <w:sz w:val="24"/>
          <w:szCs w:val="24"/>
          <w:spacing w:val="3"/>
        </w:rPr>
        <w:t>）要求，本项目为三级评价，根</w:t>
      </w:r>
      <w:r>
        <w:rPr>
          <w:rFonts w:ascii="SimSun" w:hAnsi="SimSun" w:eastAsia="SimSun" w:cs="SimSun"/>
          <w:sz w:val="24"/>
          <w:szCs w:val="24"/>
          <w:spacing w:val="2"/>
        </w:rPr>
        <w:t>据建设项目自身性质及其对地下水</w:t>
      </w:r>
      <w:r>
        <w:rPr>
          <w:rFonts w:ascii="SimSun" w:hAnsi="SimSun" w:eastAsia="SimSun" w:cs="SimSun"/>
          <w:sz w:val="24"/>
          <w:szCs w:val="24"/>
          <w:spacing w:val="2"/>
        </w:rPr>
        <w:t>环境影响的特点，仅针对项目地下水防渗衬层达不到防渗效果，泄漏对地下水的</w:t>
      </w:r>
      <w:r>
        <w:rPr>
          <w:rFonts w:ascii="SimSun" w:hAnsi="SimSun" w:eastAsia="SimSun" w:cs="SimSun"/>
          <w:sz w:val="24"/>
          <w:szCs w:val="24"/>
          <w:spacing w:val="-5"/>
        </w:rPr>
        <w:t>影响进行简单分析。</w:t>
      </w:r>
    </w:p>
    <w:p>
      <w:pPr>
        <w:ind w:left="104" w:right="83" w:firstLine="481"/>
        <w:spacing w:before="6" w:line="359" w:lineRule="auto"/>
        <w:jc w:val="both"/>
        <w:rPr>
          <w:rFonts w:ascii="SimSun" w:hAnsi="SimSun" w:eastAsia="SimSun" w:cs="SimSun"/>
          <w:sz w:val="24"/>
          <w:szCs w:val="24"/>
        </w:rPr>
      </w:pPr>
      <w:r>
        <w:rPr>
          <w:rFonts w:ascii="SimSun" w:hAnsi="SimSun" w:eastAsia="SimSun" w:cs="SimSun"/>
          <w:sz w:val="24"/>
          <w:szCs w:val="24"/>
          <w:spacing w:val="3"/>
        </w:rPr>
        <w:t>养殖场对地下水产生污染的主要污染源为牛舍、储粪库，本项</w:t>
      </w:r>
      <w:r>
        <w:rPr>
          <w:rFonts w:ascii="SimSun" w:hAnsi="SimSun" w:eastAsia="SimSun" w:cs="SimSun"/>
          <w:sz w:val="24"/>
          <w:szCs w:val="24"/>
          <w:spacing w:val="2"/>
        </w:rPr>
        <w:t>目采用垫料工</w:t>
      </w:r>
      <w:r>
        <w:rPr>
          <w:rFonts w:ascii="SimSun" w:hAnsi="SimSun" w:eastAsia="SimSun" w:cs="SimSun"/>
          <w:sz w:val="24"/>
          <w:szCs w:val="24"/>
          <w:spacing w:val="2"/>
        </w:rPr>
        <w:t>序进行养殖，粪污进入垫料利用菌群发酵，垫料吸收尿液等，一般不会有流动性</w:t>
      </w:r>
      <w:r>
        <w:rPr>
          <w:rFonts w:ascii="SimSun" w:hAnsi="SimSun" w:eastAsia="SimSun" w:cs="SimSun"/>
          <w:sz w:val="24"/>
          <w:szCs w:val="24"/>
          <w:spacing w:val="2"/>
        </w:rPr>
        <w:t>的尿液，如防渗池发生破损，也不会出现连续渗入型污染事故出现，并且对牛舍</w:t>
      </w:r>
      <w:r>
        <w:rPr>
          <w:rFonts w:ascii="SimSun" w:hAnsi="SimSun" w:eastAsia="SimSun" w:cs="SimSun"/>
          <w:sz w:val="24"/>
          <w:szCs w:val="24"/>
          <w:spacing w:val="2"/>
        </w:rPr>
        <w:t>的垫料定期更换，能够及时的发现防渗层是否破损，有效的防止事故发生，对地</w:t>
      </w:r>
      <w:r>
        <w:rPr>
          <w:rFonts w:ascii="SimSun" w:hAnsi="SimSun" w:eastAsia="SimSun" w:cs="SimSun"/>
          <w:sz w:val="24"/>
          <w:szCs w:val="24"/>
          <w:spacing w:val="-6"/>
        </w:rPr>
        <w:t>下水影响不大。</w:t>
      </w:r>
    </w:p>
    <w:p>
      <w:pPr>
        <w:spacing w:line="359" w:lineRule="auto"/>
        <w:sectPr>
          <w:headerReference w:type="default" r:id="rId139"/>
          <w:footerReference w:type="default" r:id="rId140"/>
          <w:pgSz w:w="11907" w:h="16839"/>
          <w:pgMar w:top="1442" w:right="1616" w:bottom="1235" w:left="1606" w:header="1064" w:footer="992" w:gutter="0"/>
        </w:sectPr>
        <w:rPr>
          <w:rFonts w:ascii="SimSun" w:hAnsi="SimSun" w:eastAsia="SimSun" w:cs="SimSun"/>
          <w:sz w:val="24"/>
          <w:szCs w:val="24"/>
        </w:rPr>
      </w:pPr>
    </w:p>
    <w:p>
      <w:pPr>
        <w:pStyle w:val="BodyText"/>
        <w:spacing w:line="292" w:lineRule="auto"/>
        <w:rPr/>
      </w:pPr>
      <w:r/>
    </w:p>
    <w:p>
      <w:pPr>
        <w:ind w:left="130"/>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3"/>
        </w:rPr>
        <w:t>5.2.3</w:t>
      </w:r>
      <w:r>
        <w:rPr>
          <w:rFonts w:ascii="Times New Roman" w:hAnsi="Times New Roman" w:eastAsia="Times New Roman" w:cs="Times New Roman"/>
          <w:sz w:val="24"/>
          <w:szCs w:val="24"/>
          <w:b/>
          <w:bCs/>
          <w:spacing w:val="25"/>
        </w:rPr>
        <w:t xml:space="preserve"> </w:t>
      </w:r>
      <w:r>
        <w:rPr>
          <w:rFonts w:ascii="SimSun" w:hAnsi="SimSun" w:eastAsia="SimSun" w:cs="SimSun"/>
          <w:sz w:val="24"/>
          <w:szCs w:val="24"/>
          <w:b/>
          <w:bCs/>
          <w:spacing w:val="-3"/>
        </w:rPr>
        <w:t>营运期环境空气影响预测与评价</w:t>
      </w:r>
    </w:p>
    <w:p>
      <w:pPr>
        <w:pStyle w:val="BodyText"/>
        <w:spacing w:line="266" w:lineRule="auto"/>
        <w:rPr/>
      </w:pPr>
      <w:r/>
    </w:p>
    <w:p>
      <w:pPr>
        <w:ind w:left="599"/>
        <w:spacing w:before="78" w:line="232" w:lineRule="auto"/>
        <w:rPr>
          <w:rFonts w:ascii="SimSun" w:hAnsi="SimSun" w:eastAsia="SimSun" w:cs="SimSun"/>
          <w:sz w:val="24"/>
          <w:szCs w:val="24"/>
        </w:rPr>
      </w:pPr>
      <w:r>
        <w:rPr>
          <w:rFonts w:ascii="Times New Roman" w:hAnsi="Times New Roman" w:eastAsia="Times New Roman" w:cs="Times New Roman"/>
          <w:sz w:val="24"/>
          <w:szCs w:val="24"/>
          <w:spacing w:val="-1"/>
        </w:rPr>
        <w:t>5.2.3.1 </w:t>
      </w:r>
      <w:r>
        <w:rPr>
          <w:rFonts w:ascii="SimSun" w:hAnsi="SimSun" w:eastAsia="SimSun" w:cs="SimSun"/>
          <w:sz w:val="24"/>
          <w:szCs w:val="24"/>
          <w:spacing w:val="-1"/>
        </w:rPr>
        <w:t>地面气象观测资料</w:t>
      </w:r>
    </w:p>
    <w:p>
      <w:pPr>
        <w:ind w:left="603"/>
        <w:spacing w:before="166"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）资料来源及主要气象要素特征</w:t>
      </w:r>
    </w:p>
    <w:p>
      <w:pPr>
        <w:ind w:left="237" w:right="106" w:firstLine="359"/>
        <w:spacing w:before="162" w:line="355" w:lineRule="auto"/>
        <w:rPr>
          <w:rFonts w:ascii="SimSun" w:hAnsi="SimSun" w:eastAsia="SimSun" w:cs="SimSun"/>
          <w:sz w:val="24"/>
          <w:szCs w:val="24"/>
        </w:rPr>
      </w:pPr>
      <w:r>
        <w:rPr>
          <w:rFonts w:ascii="SimSun" w:hAnsi="SimSun" w:eastAsia="SimSun" w:cs="SimSun"/>
          <w:sz w:val="24"/>
          <w:szCs w:val="24"/>
          <w:spacing w:val="-1"/>
        </w:rPr>
        <w:t>地面气象历史资料来源于锡林浩特气象站近</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年的地面常规气象资料。锡林</w:t>
      </w:r>
      <w:r>
        <w:rPr>
          <w:rFonts w:ascii="SimSun" w:hAnsi="SimSun" w:eastAsia="SimSun" w:cs="SimSun"/>
          <w:sz w:val="24"/>
          <w:szCs w:val="24"/>
          <w:spacing w:val="-2"/>
        </w:rPr>
        <w:t>浩特气象站地处内蒙古自治区锡林浩特市市区，地理坐标为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2"/>
        </w:rPr>
        <w:t>43.95ºN</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11</w:t>
      </w:r>
      <w:r>
        <w:rPr>
          <w:rFonts w:ascii="Times New Roman" w:hAnsi="Times New Roman" w:eastAsia="Times New Roman" w:cs="Times New Roman"/>
          <w:sz w:val="24"/>
          <w:szCs w:val="24"/>
          <w:spacing w:val="-3"/>
        </w:rPr>
        <w:t>6.12ºE</w:t>
      </w:r>
      <w:r>
        <w:rPr>
          <w:rFonts w:ascii="SimSun" w:hAnsi="SimSun" w:eastAsia="SimSun" w:cs="SimSun"/>
          <w:sz w:val="24"/>
          <w:szCs w:val="24"/>
          <w:spacing w:val="-3"/>
        </w:rPr>
        <w:t>，</w:t>
      </w:r>
      <w:r>
        <w:rPr>
          <w:rFonts w:ascii="SimSun" w:hAnsi="SimSun" w:eastAsia="SimSun" w:cs="SimSun"/>
          <w:sz w:val="24"/>
          <w:szCs w:val="24"/>
          <w:spacing w:val="-1"/>
        </w:rPr>
        <w:t>观测场拔海高度</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1003.0m</w:t>
      </w:r>
      <w:r>
        <w:rPr>
          <w:rFonts w:ascii="SimSun" w:hAnsi="SimSun" w:eastAsia="SimSun" w:cs="SimSun"/>
          <w:sz w:val="24"/>
          <w:szCs w:val="24"/>
          <w:spacing w:val="-1"/>
        </w:rPr>
        <w:t>，位于本项</w:t>
      </w:r>
      <w:r>
        <w:rPr>
          <w:rFonts w:ascii="SimSun" w:hAnsi="SimSun" w:eastAsia="SimSun" w:cs="SimSun"/>
          <w:sz w:val="24"/>
          <w:szCs w:val="24"/>
          <w:spacing w:val="-2"/>
        </w:rPr>
        <w:t>目西南方向约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6.23km</w:t>
      </w:r>
      <w:r>
        <w:rPr>
          <w:rFonts w:ascii="SimSun" w:hAnsi="SimSun" w:eastAsia="SimSun" w:cs="SimSun"/>
          <w:sz w:val="24"/>
          <w:szCs w:val="24"/>
          <w:spacing w:val="-2"/>
        </w:rPr>
        <w:t>，该站与本项目场址处</w:t>
      </w:r>
      <w:r>
        <w:rPr>
          <w:rFonts w:ascii="SimSun" w:hAnsi="SimSun" w:eastAsia="SimSun" w:cs="SimSun"/>
          <w:sz w:val="24"/>
          <w:szCs w:val="24"/>
          <w:spacing w:val="-2"/>
        </w:rPr>
        <w:t>于同一气候带，地形条件基本一致。</w:t>
      </w:r>
    </w:p>
    <w:p>
      <w:pPr>
        <w:ind w:left="237" w:right="44" w:firstLine="358"/>
        <w:spacing w:before="27" w:line="359" w:lineRule="auto"/>
        <w:jc w:val="both"/>
        <w:rPr>
          <w:rFonts w:ascii="SimSun" w:hAnsi="SimSun" w:eastAsia="SimSun" w:cs="SimSun"/>
          <w:sz w:val="24"/>
          <w:szCs w:val="24"/>
        </w:rPr>
      </w:pPr>
      <w:r>
        <w:rPr>
          <w:rFonts w:ascii="SimSun" w:hAnsi="SimSun" w:eastAsia="SimSun" w:cs="SimSun"/>
          <w:sz w:val="24"/>
          <w:szCs w:val="24"/>
          <w:spacing w:val="3"/>
        </w:rPr>
        <w:t>锡林浩特市属于内蒙古干旱高寒地区，无霜期短，降雨量少，冬季寒冷而漫</w:t>
      </w:r>
      <w:r>
        <w:rPr>
          <w:rFonts w:ascii="SimSun" w:hAnsi="SimSun" w:eastAsia="SimSun" w:cs="SimSun"/>
          <w:sz w:val="24"/>
          <w:szCs w:val="24"/>
        </w:rPr>
        <w:t>长，夏季酷热而短暂，是典型的大陆型气候。由于其地</w:t>
      </w:r>
      <w:r>
        <w:rPr>
          <w:rFonts w:ascii="SimSun" w:hAnsi="SimSun" w:eastAsia="SimSun" w:cs="SimSun"/>
          <w:sz w:val="24"/>
          <w:szCs w:val="24"/>
          <w:spacing w:val="-1"/>
        </w:rPr>
        <w:t>理位置及特殊的地理环境</w:t>
      </w:r>
      <w:r>
        <w:rPr>
          <w:rFonts w:ascii="SimSun" w:hAnsi="SimSun" w:eastAsia="SimSun" w:cs="SimSun"/>
          <w:sz w:val="24"/>
          <w:szCs w:val="24"/>
        </w:rPr>
        <w:t>使得该地的气候特征主要表现为：春季雨少风大，气候</w:t>
      </w:r>
      <w:r>
        <w:rPr>
          <w:rFonts w:ascii="SimSun" w:hAnsi="SimSun" w:eastAsia="SimSun" w:cs="SimSun"/>
          <w:sz w:val="24"/>
          <w:szCs w:val="24"/>
          <w:spacing w:val="-1"/>
        </w:rPr>
        <w:t>干燥，天气变化剧烈；夏</w:t>
      </w:r>
      <w:r>
        <w:rPr>
          <w:rFonts w:ascii="SimSun" w:hAnsi="SimSun" w:eastAsia="SimSun" w:cs="SimSun"/>
          <w:sz w:val="24"/>
          <w:szCs w:val="24"/>
        </w:rPr>
        <w:t>季雨热同季，雨季短促而集中，日照充足；秋季降温快</w:t>
      </w:r>
      <w:r>
        <w:rPr>
          <w:rFonts w:ascii="SimSun" w:hAnsi="SimSun" w:eastAsia="SimSun" w:cs="SimSun"/>
          <w:sz w:val="24"/>
          <w:szCs w:val="24"/>
          <w:spacing w:val="-1"/>
        </w:rPr>
        <w:t>，秋风寒，霜冻早；冬季</w:t>
      </w:r>
      <w:r>
        <w:rPr>
          <w:rFonts w:ascii="SimSun" w:hAnsi="SimSun" w:eastAsia="SimSun" w:cs="SimSun"/>
          <w:sz w:val="24"/>
          <w:szCs w:val="24"/>
          <w:spacing w:val="-7"/>
        </w:rPr>
        <w:t>漫长、寒冷，</w:t>
      </w:r>
      <w:r>
        <w:rPr>
          <w:rFonts w:ascii="SimSun" w:hAnsi="SimSun" w:eastAsia="SimSun" w:cs="SimSun"/>
          <w:sz w:val="24"/>
          <w:szCs w:val="24"/>
          <w:spacing w:val="66"/>
        </w:rPr>
        <w:t xml:space="preserve"> </w:t>
      </w:r>
      <w:r>
        <w:rPr>
          <w:rFonts w:ascii="SimSun" w:hAnsi="SimSun" w:eastAsia="SimSun" w:cs="SimSun"/>
          <w:sz w:val="24"/>
          <w:szCs w:val="24"/>
          <w:spacing w:val="-7"/>
        </w:rPr>
        <w:t>灾害多。近</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7"/>
        </w:rPr>
        <w:t>30 </w:t>
      </w:r>
      <w:r>
        <w:rPr>
          <w:rFonts w:ascii="SimSun" w:hAnsi="SimSun" w:eastAsia="SimSun" w:cs="SimSun"/>
          <w:sz w:val="24"/>
          <w:szCs w:val="24"/>
          <w:spacing w:val="-7"/>
        </w:rPr>
        <w:t>年气象资料显示</w:t>
      </w:r>
      <w:r>
        <w:rPr>
          <w:rFonts w:ascii="SimSun" w:hAnsi="SimSun" w:eastAsia="SimSun" w:cs="SimSun"/>
          <w:sz w:val="24"/>
          <w:szCs w:val="24"/>
          <w:spacing w:val="-8"/>
        </w:rPr>
        <w:t>：年平均气温为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8"/>
        </w:rPr>
        <w:t>2.8℃</w:t>
      </w:r>
      <w:r>
        <w:rPr>
          <w:rFonts w:ascii="SimSun" w:hAnsi="SimSun" w:eastAsia="SimSun" w:cs="SimSun"/>
          <w:sz w:val="24"/>
          <w:szCs w:val="24"/>
          <w:spacing w:val="-8"/>
        </w:rPr>
        <w:t>,</w:t>
      </w:r>
      <w:r>
        <w:rPr>
          <w:rFonts w:ascii="SimSun" w:hAnsi="SimSun" w:eastAsia="SimSun" w:cs="SimSun"/>
          <w:sz w:val="24"/>
          <w:szCs w:val="24"/>
          <w:spacing w:val="64"/>
        </w:rPr>
        <w:t xml:space="preserve"> </w:t>
      </w:r>
      <w:r>
        <w:rPr>
          <w:rFonts w:ascii="SimSun" w:hAnsi="SimSun" w:eastAsia="SimSun" w:cs="SimSun"/>
          <w:sz w:val="24"/>
          <w:szCs w:val="24"/>
          <w:spacing w:val="-8"/>
        </w:rPr>
        <w:t>极端最高气</w:t>
      </w:r>
      <w:r>
        <w:rPr>
          <w:rFonts w:ascii="SimSun" w:hAnsi="SimSun" w:eastAsia="SimSun" w:cs="SimSun"/>
          <w:sz w:val="24"/>
          <w:szCs w:val="24"/>
          <w:spacing w:val="-3"/>
        </w:rPr>
        <w:t>温为</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3"/>
        </w:rPr>
        <w:t>39.2℃</w:t>
      </w:r>
      <w:r>
        <w:rPr>
          <w:rFonts w:ascii="SimSun" w:hAnsi="SimSun" w:eastAsia="SimSun" w:cs="SimSun"/>
          <w:sz w:val="24"/>
          <w:szCs w:val="24"/>
          <w:spacing w:val="-3"/>
        </w:rPr>
        <w:t>,</w:t>
      </w:r>
      <w:r>
        <w:rPr>
          <w:rFonts w:ascii="SimSun" w:hAnsi="SimSun" w:eastAsia="SimSun" w:cs="SimSun"/>
          <w:sz w:val="24"/>
          <w:szCs w:val="24"/>
          <w:spacing w:val="54"/>
        </w:rPr>
        <w:t xml:space="preserve"> </w:t>
      </w:r>
      <w:r>
        <w:rPr>
          <w:rFonts w:ascii="SimSun" w:hAnsi="SimSun" w:eastAsia="SimSun" w:cs="SimSun"/>
          <w:sz w:val="24"/>
          <w:szCs w:val="24"/>
          <w:spacing w:val="-3"/>
        </w:rPr>
        <w:t>极端最低气温为</w:t>
      </w:r>
      <w:r>
        <w:rPr>
          <w:rFonts w:ascii="Times New Roman" w:hAnsi="Times New Roman" w:eastAsia="Times New Roman" w:cs="Times New Roman"/>
          <w:sz w:val="24"/>
          <w:szCs w:val="24"/>
          <w:spacing w:val="-3"/>
        </w:rPr>
        <w:t>-37.7℃</w:t>
      </w:r>
      <w:r>
        <w:rPr>
          <w:rFonts w:ascii="SimSun" w:hAnsi="SimSun" w:eastAsia="SimSun" w:cs="SimSun"/>
          <w:sz w:val="24"/>
          <w:szCs w:val="24"/>
          <w:spacing w:val="-3"/>
        </w:rPr>
        <w:t>；年平均气压为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901.5hPa</w:t>
      </w:r>
      <w:r>
        <w:rPr>
          <w:rFonts w:ascii="SimSun" w:hAnsi="SimSun" w:eastAsia="SimSun" w:cs="SimSun"/>
          <w:sz w:val="24"/>
          <w:szCs w:val="24"/>
          <w:spacing w:val="-3"/>
        </w:rPr>
        <w:t>；年平均相对湿度</w:t>
      </w:r>
      <w:r>
        <w:rPr>
          <w:rFonts w:ascii="SimSun" w:hAnsi="SimSun" w:eastAsia="SimSun" w:cs="SimSun"/>
          <w:sz w:val="24"/>
          <w:szCs w:val="24"/>
          <w:spacing w:val="-1"/>
        </w:rPr>
        <w:t>为</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58%</w:t>
      </w:r>
      <w:r>
        <w:rPr>
          <w:rFonts w:ascii="SimSun" w:hAnsi="SimSun" w:eastAsia="SimSun" w:cs="SimSun"/>
          <w:sz w:val="24"/>
          <w:szCs w:val="24"/>
          <w:spacing w:val="-1"/>
        </w:rPr>
        <w:t>；年平均降水量为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342mm</w:t>
      </w:r>
      <w:r>
        <w:rPr>
          <w:rFonts w:ascii="SimSun" w:hAnsi="SimSun" w:eastAsia="SimSun" w:cs="SimSun"/>
          <w:sz w:val="24"/>
          <w:szCs w:val="24"/>
          <w:spacing w:val="-1"/>
        </w:rPr>
        <w:t>，年极</w:t>
      </w:r>
      <w:r>
        <w:rPr>
          <w:rFonts w:ascii="SimSun" w:hAnsi="SimSun" w:eastAsia="SimSun" w:cs="SimSun"/>
          <w:sz w:val="24"/>
          <w:szCs w:val="24"/>
          <w:spacing w:val="-2"/>
        </w:rPr>
        <w:t>端最高降水量为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481.00mm</w:t>
      </w:r>
      <w:r>
        <w:rPr>
          <w:rFonts w:ascii="SimSun" w:hAnsi="SimSun" w:eastAsia="SimSun" w:cs="SimSun"/>
          <w:sz w:val="24"/>
          <w:szCs w:val="24"/>
          <w:spacing w:val="-2"/>
        </w:rPr>
        <w:t>；年平均蒸发</w:t>
      </w:r>
      <w:r>
        <w:rPr>
          <w:rFonts w:ascii="SimSun" w:hAnsi="SimSun" w:eastAsia="SimSun" w:cs="SimSun"/>
          <w:sz w:val="24"/>
          <w:szCs w:val="24"/>
          <w:spacing w:val="-2"/>
        </w:rPr>
        <w:t>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1805.1mm</w:t>
      </w:r>
      <w:r>
        <w:rPr>
          <w:rFonts w:ascii="SimSun" w:hAnsi="SimSun" w:eastAsia="SimSun" w:cs="SimSun"/>
          <w:sz w:val="24"/>
          <w:szCs w:val="24"/>
          <w:spacing w:val="-2"/>
        </w:rPr>
        <w:t>（</w:t>
      </w:r>
      <w:r>
        <w:rPr>
          <w:rFonts w:ascii="Times New Roman" w:hAnsi="Times New Roman" w:eastAsia="Times New Roman" w:cs="Times New Roman"/>
          <w:sz w:val="24"/>
          <w:szCs w:val="24"/>
          <w:spacing w:val="-2"/>
        </w:rPr>
        <w:t>1991—2021 </w:t>
      </w:r>
      <w:r>
        <w:rPr>
          <w:rFonts w:ascii="SimSun" w:hAnsi="SimSun" w:eastAsia="SimSun" w:cs="SimSun"/>
          <w:sz w:val="24"/>
          <w:szCs w:val="24"/>
          <w:spacing w:val="-2"/>
        </w:rPr>
        <w:t>年</w:t>
      </w:r>
      <w:r>
        <w:rPr>
          <w:rFonts w:ascii="SimSun" w:hAnsi="SimSun" w:eastAsia="SimSun" w:cs="SimSun"/>
          <w:sz w:val="24"/>
          <w:szCs w:val="24"/>
          <w:spacing w:val="1"/>
        </w:rPr>
        <w:t>）；</w:t>
      </w:r>
      <w:r>
        <w:rPr>
          <w:rFonts w:ascii="SimSun" w:hAnsi="SimSun" w:eastAsia="SimSun" w:cs="SimSun"/>
          <w:sz w:val="24"/>
          <w:szCs w:val="24"/>
          <w:spacing w:val="-2"/>
        </w:rPr>
        <w:t>年日照时数</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2929.8h</w:t>
      </w:r>
      <w:r>
        <w:rPr>
          <w:rFonts w:ascii="SimSun" w:hAnsi="SimSun" w:eastAsia="SimSun" w:cs="SimSun"/>
          <w:sz w:val="24"/>
          <w:szCs w:val="24"/>
          <w:spacing w:val="-2"/>
        </w:rPr>
        <w:t>；年平均风速为</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3.4m/s</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2"/>
        </w:rPr>
        <w:t>，</w:t>
      </w:r>
      <w:r>
        <w:rPr>
          <w:rFonts w:ascii="SimSun" w:hAnsi="SimSun" w:eastAsia="SimSun" w:cs="SimSun"/>
          <w:sz w:val="24"/>
          <w:szCs w:val="24"/>
          <w:spacing w:val="-11"/>
        </w:rPr>
        <w:t>年主导风向为</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11"/>
        </w:rPr>
        <w:t>SW</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11"/>
        </w:rPr>
        <w:t>风，出现频率为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1"/>
        </w:rPr>
        <w:t>13.0%</w:t>
      </w:r>
      <w:r>
        <w:rPr>
          <w:rFonts w:ascii="SimSun" w:hAnsi="SimSun" w:eastAsia="SimSun" w:cs="SimSun"/>
          <w:sz w:val="24"/>
          <w:szCs w:val="24"/>
          <w:spacing w:val="-11"/>
        </w:rPr>
        <w:t>，冬季主导风向为</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1"/>
        </w:rPr>
        <w:t>SW</w:t>
      </w:r>
      <w:r>
        <w:rPr>
          <w:rFonts w:ascii="SimSun" w:hAnsi="SimSun" w:eastAsia="SimSun" w:cs="SimSun"/>
          <w:sz w:val="24"/>
          <w:szCs w:val="24"/>
          <w:spacing w:val="-11"/>
        </w:rPr>
        <w:t>，相应频率为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1"/>
        </w:rPr>
        <w:t>21%</w:t>
      </w:r>
      <w:r>
        <w:rPr>
          <w:rFonts w:ascii="SimSun" w:hAnsi="SimSun" w:eastAsia="SimSun" w:cs="SimSun"/>
          <w:sz w:val="24"/>
          <w:szCs w:val="24"/>
          <w:spacing w:val="-11"/>
        </w:rPr>
        <w:t>；</w:t>
      </w:r>
      <w:r>
        <w:rPr>
          <w:rFonts w:ascii="SimSun" w:hAnsi="SimSun" w:eastAsia="SimSun" w:cs="SimSun"/>
          <w:sz w:val="24"/>
          <w:szCs w:val="24"/>
          <w:spacing w:val="-2"/>
        </w:rPr>
        <w:t>夏季主导风向为</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2"/>
        </w:rPr>
        <w:t>SW</w:t>
      </w:r>
      <w:r>
        <w:rPr>
          <w:rFonts w:ascii="SimSun" w:hAnsi="SimSun" w:eastAsia="SimSun" w:cs="SimSun"/>
          <w:sz w:val="24"/>
          <w:szCs w:val="24"/>
          <w:spacing w:val="-2"/>
        </w:rPr>
        <w:t>，相应频率为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9%</w:t>
      </w:r>
      <w:r>
        <w:rPr>
          <w:rFonts w:ascii="SimSun" w:hAnsi="SimSun" w:eastAsia="SimSun" w:cs="SimSun"/>
          <w:sz w:val="24"/>
          <w:szCs w:val="24"/>
          <w:spacing w:val="-2"/>
        </w:rPr>
        <w:t>；累年最大冻土深度</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2.89m</w:t>
      </w:r>
      <w:r>
        <w:rPr>
          <w:rFonts w:ascii="SimSun" w:hAnsi="SimSun" w:eastAsia="SimSun" w:cs="SimSun"/>
          <w:sz w:val="24"/>
          <w:szCs w:val="24"/>
          <w:spacing w:val="-2"/>
        </w:rPr>
        <w:t>。</w:t>
      </w:r>
    </w:p>
    <w:p>
      <w:pPr>
        <w:ind w:left="603"/>
        <w:spacing w:before="1"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）地面气象特征</w:t>
      </w:r>
    </w:p>
    <w:p>
      <w:pPr>
        <w:ind w:left="596"/>
        <w:spacing w:before="164" w:line="217" w:lineRule="auto"/>
        <w:rPr>
          <w:rFonts w:ascii="SimSun" w:hAnsi="SimSun" w:eastAsia="SimSun" w:cs="SimSun"/>
          <w:sz w:val="24"/>
          <w:szCs w:val="24"/>
        </w:rPr>
      </w:pPr>
      <w:r>
        <w:rPr>
          <w:rFonts w:ascii="SimSun" w:hAnsi="SimSun" w:eastAsia="SimSun" w:cs="SimSun"/>
          <w:sz w:val="24"/>
          <w:szCs w:val="24"/>
          <w:spacing w:val="-2"/>
        </w:rPr>
        <w:t>①气温特征</w:t>
      </w:r>
    </w:p>
    <w:p>
      <w:pPr>
        <w:ind w:left="237" w:right="118" w:firstLine="358"/>
        <w:spacing w:before="185" w:line="359" w:lineRule="auto"/>
        <w:rPr>
          <w:rFonts w:ascii="SimSun" w:hAnsi="SimSun" w:eastAsia="SimSun" w:cs="SimSun"/>
          <w:sz w:val="24"/>
          <w:szCs w:val="24"/>
        </w:rPr>
      </w:pPr>
      <w:r>
        <w:rPr>
          <w:rFonts w:ascii="SimSun" w:hAnsi="SimSun" w:eastAsia="SimSun" w:cs="SimSun"/>
          <w:sz w:val="24"/>
          <w:szCs w:val="24"/>
          <w:spacing w:val="-4"/>
        </w:rPr>
        <w:t>平均温度最低为</w:t>
      </w:r>
      <w:r>
        <w:rPr>
          <w:rFonts w:ascii="Times New Roman" w:hAnsi="Times New Roman" w:eastAsia="Times New Roman" w:cs="Times New Roman"/>
          <w:sz w:val="24"/>
          <w:szCs w:val="24"/>
          <w:spacing w:val="-4"/>
        </w:rPr>
        <w:t>-12.63℃</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4"/>
        </w:rPr>
        <w:t>月平均温度最高为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22.25℃</w:t>
      </w:r>
      <w:r>
        <w:rPr>
          <w:rFonts w:ascii="SimSun" w:hAnsi="SimSun" w:eastAsia="SimSun" w:cs="SimSun"/>
          <w:sz w:val="24"/>
          <w:szCs w:val="24"/>
          <w:spacing w:val="-4"/>
        </w:rPr>
        <w:t>。全年月平均温度变化</w:t>
      </w:r>
      <w:r>
        <w:rPr>
          <w:rFonts w:ascii="SimSun" w:hAnsi="SimSun" w:eastAsia="SimSun" w:cs="SimSun"/>
          <w:sz w:val="24"/>
          <w:szCs w:val="24"/>
          <w:spacing w:val="-3"/>
        </w:rPr>
        <w:t>特征见表</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3"/>
        </w:rPr>
        <w:t>5-7 </w:t>
      </w:r>
      <w:r>
        <w:rPr>
          <w:rFonts w:ascii="SimSun" w:hAnsi="SimSun" w:eastAsia="SimSun" w:cs="SimSun"/>
          <w:sz w:val="24"/>
          <w:szCs w:val="24"/>
          <w:spacing w:val="-3"/>
        </w:rPr>
        <w:t>和图</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3"/>
        </w:rPr>
        <w:t>5-2</w:t>
      </w:r>
      <w:r>
        <w:rPr>
          <w:rFonts w:ascii="SimSun" w:hAnsi="SimSun" w:eastAsia="SimSun" w:cs="SimSun"/>
          <w:sz w:val="24"/>
          <w:szCs w:val="24"/>
          <w:spacing w:val="-3"/>
        </w:rPr>
        <w:t>。</w:t>
      </w:r>
    </w:p>
    <w:p>
      <w:pPr>
        <w:ind w:left="2864"/>
        <w:spacing w:before="1"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2"/>
        </w:rPr>
        <w:t>5-7    </w:t>
      </w:r>
      <w:r>
        <w:rPr>
          <w:rFonts w:ascii="SimSun" w:hAnsi="SimSun" w:eastAsia="SimSun" w:cs="SimSun"/>
          <w:sz w:val="24"/>
          <w:szCs w:val="24"/>
          <w:b/>
          <w:bCs/>
          <w:spacing w:val="-2"/>
        </w:rPr>
        <w:t>平均月温度统计</w:t>
      </w:r>
      <w:r>
        <w:rPr>
          <w:rFonts w:ascii="SimSun" w:hAnsi="SimSun" w:eastAsia="SimSun" w:cs="SimSun"/>
          <w:sz w:val="24"/>
          <w:szCs w:val="24"/>
          <w:spacing w:val="-2"/>
        </w:rPr>
        <w:t xml:space="preserve">     </w:t>
      </w:r>
      <w:r>
        <w:rPr>
          <w:rFonts w:ascii="SimSun" w:hAnsi="SimSun" w:eastAsia="SimSun" w:cs="SimSun"/>
          <w:sz w:val="24"/>
          <w:szCs w:val="24"/>
          <w:b/>
          <w:bCs/>
          <w:spacing w:val="-2"/>
        </w:rPr>
        <w:t>单位：</w:t>
      </w:r>
      <w:r>
        <w:rPr>
          <w:rFonts w:ascii="SimSun" w:hAnsi="SimSun" w:eastAsia="SimSun" w:cs="SimSun"/>
          <w:sz w:val="24"/>
          <w:szCs w:val="24"/>
          <w:spacing w:val="-89"/>
        </w:rPr>
        <w:t xml:space="preserve"> </w:t>
      </w:r>
      <w:r>
        <w:rPr>
          <w:rFonts w:ascii="SimSun" w:hAnsi="SimSun" w:eastAsia="SimSun" w:cs="SimSun"/>
          <w:sz w:val="24"/>
          <w:szCs w:val="24"/>
          <w:b/>
          <w:bCs/>
          <w:spacing w:val="-2"/>
        </w:rPr>
        <w:t>℃</w:t>
      </w:r>
    </w:p>
    <w:p>
      <w:pPr>
        <w:spacing w:line="12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9"/>
        <w:gridCol w:w="732"/>
        <w:gridCol w:w="735"/>
        <w:gridCol w:w="633"/>
        <w:gridCol w:w="468"/>
        <w:gridCol w:w="667"/>
        <w:gridCol w:w="668"/>
        <w:gridCol w:w="667"/>
        <w:gridCol w:w="667"/>
        <w:gridCol w:w="668"/>
        <w:gridCol w:w="466"/>
        <w:gridCol w:w="634"/>
        <w:gridCol w:w="735"/>
        <w:gridCol w:w="566"/>
      </w:tblGrid>
      <w:tr>
        <w:trPr>
          <w:trHeight w:val="543" w:hRule="atLeast"/>
        </w:trPr>
        <w:tc>
          <w:tcPr>
            <w:tcW w:w="429" w:type="dxa"/>
            <w:vAlign w:val="top"/>
            <w:textDirection w:val="tbRlV"/>
            <w:tcBorders>
              <w:left w:val="nil"/>
              <w:top w:val="single" w:color="000000" w:sz="10" w:space="0"/>
            </w:tcBorders>
          </w:tcPr>
          <w:p>
            <w:pPr>
              <w:pStyle w:val="TableText"/>
              <w:ind w:left="35"/>
              <w:spacing w:before="92" w:line="209" w:lineRule="auto"/>
              <w:rPr/>
            </w:pPr>
            <w:r>
              <w:rPr>
                <w:spacing w:val="31"/>
              </w:rPr>
              <w:t>月份</w:t>
            </w:r>
          </w:p>
        </w:tc>
        <w:tc>
          <w:tcPr>
            <w:tcW w:w="732" w:type="dxa"/>
            <w:vAlign w:val="top"/>
            <w:tcBorders>
              <w:top w:val="single" w:color="000000" w:sz="10" w:space="0"/>
            </w:tcBorders>
          </w:tcPr>
          <w:p>
            <w:pPr>
              <w:ind w:left="334"/>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35" w:type="dxa"/>
            <w:vAlign w:val="top"/>
            <w:tcBorders>
              <w:top w:val="single" w:color="000000" w:sz="10" w:space="0"/>
            </w:tcBorders>
          </w:tcPr>
          <w:p>
            <w:pPr>
              <w:ind w:left="316"/>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33" w:type="dxa"/>
            <w:vAlign w:val="top"/>
            <w:tcBorders>
              <w:top w:val="single" w:color="000000" w:sz="10" w:space="0"/>
            </w:tcBorders>
          </w:tcPr>
          <w:p>
            <w:pPr>
              <w:ind w:left="270"/>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68" w:type="dxa"/>
            <w:vAlign w:val="top"/>
            <w:tcBorders>
              <w:top w:val="single" w:color="000000" w:sz="10" w:space="0"/>
            </w:tcBorders>
          </w:tcPr>
          <w:p>
            <w:pPr>
              <w:ind w:left="181"/>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67" w:type="dxa"/>
            <w:vAlign w:val="top"/>
            <w:tcBorders>
              <w:top w:val="single" w:color="000000" w:sz="10" w:space="0"/>
            </w:tcBorders>
          </w:tcPr>
          <w:p>
            <w:pPr>
              <w:ind w:left="289"/>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68" w:type="dxa"/>
            <w:vAlign w:val="top"/>
            <w:tcBorders>
              <w:top w:val="single" w:color="000000" w:sz="10" w:space="0"/>
            </w:tcBorders>
          </w:tcPr>
          <w:p>
            <w:pPr>
              <w:ind w:left="289"/>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67" w:type="dxa"/>
            <w:vAlign w:val="top"/>
            <w:tcBorders>
              <w:top w:val="single" w:color="000000" w:sz="10" w:space="0"/>
            </w:tcBorders>
          </w:tcPr>
          <w:p>
            <w:pPr>
              <w:ind w:left="284"/>
              <w:spacing w:before="20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67" w:type="dxa"/>
            <w:vAlign w:val="top"/>
            <w:tcBorders>
              <w:top w:val="single" w:color="000000" w:sz="10" w:space="0"/>
            </w:tcBorders>
          </w:tcPr>
          <w:p>
            <w:pPr>
              <w:ind w:left="289"/>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68" w:type="dxa"/>
            <w:vAlign w:val="top"/>
            <w:tcBorders>
              <w:top w:val="single" w:color="000000" w:sz="10" w:space="0"/>
            </w:tcBorders>
          </w:tcPr>
          <w:p>
            <w:pPr>
              <w:ind w:left="285"/>
              <w:spacing w:before="20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466" w:type="dxa"/>
            <w:vAlign w:val="top"/>
            <w:tcBorders>
              <w:top w:val="single" w:color="000000" w:sz="10" w:space="0"/>
            </w:tcBorders>
          </w:tcPr>
          <w:p>
            <w:pPr>
              <w:ind w:left="148"/>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634" w:type="dxa"/>
            <w:vAlign w:val="top"/>
            <w:tcBorders>
              <w:top w:val="single" w:color="000000" w:sz="10" w:space="0"/>
            </w:tcBorders>
          </w:tcPr>
          <w:p>
            <w:pPr>
              <w:ind w:left="238"/>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735" w:type="dxa"/>
            <w:vAlign w:val="top"/>
            <w:tcBorders>
              <w:top w:val="single" w:color="000000" w:sz="10" w:space="0"/>
            </w:tcBorders>
          </w:tcPr>
          <w:p>
            <w:pPr>
              <w:ind w:left="284"/>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566" w:type="dxa"/>
            <w:vAlign w:val="top"/>
            <w:tcBorders>
              <w:right w:val="nil"/>
              <w:top w:val="single" w:color="000000" w:sz="10" w:space="0"/>
            </w:tcBorders>
          </w:tcPr>
          <w:p>
            <w:pPr>
              <w:pStyle w:val="TableText"/>
              <w:ind w:left="184"/>
              <w:spacing w:before="169" w:line="221" w:lineRule="auto"/>
              <w:rPr/>
            </w:pPr>
            <w:r>
              <w:rPr/>
              <w:t>年</w:t>
            </w:r>
          </w:p>
        </w:tc>
      </w:tr>
      <w:tr>
        <w:trPr>
          <w:trHeight w:val="259" w:hRule="atLeast"/>
        </w:trPr>
        <w:tc>
          <w:tcPr>
            <w:tcW w:w="429" w:type="dxa"/>
            <w:vAlign w:val="top"/>
            <w:tcBorders>
              <w:left w:val="nil"/>
              <w:bottom w:val="nil"/>
            </w:tcBorders>
          </w:tcPr>
          <w:p>
            <w:pPr>
              <w:pStyle w:val="TableText"/>
              <w:ind w:left="132"/>
              <w:spacing w:before="41" w:line="182" w:lineRule="auto"/>
              <w:rPr/>
            </w:pPr>
            <w:r>
              <w:rPr/>
              <w:t>温</w:t>
            </w:r>
          </w:p>
        </w:tc>
        <w:tc>
          <w:tcPr>
            <w:tcW w:w="732" w:type="dxa"/>
            <w:vAlign w:val="top"/>
            <w:tcBorders>
              <w:bottom w:val="nil"/>
            </w:tcBorders>
          </w:tcPr>
          <w:p>
            <w:pPr>
              <w:ind w:left="153"/>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-12.6</w:t>
            </w:r>
          </w:p>
        </w:tc>
        <w:tc>
          <w:tcPr>
            <w:tcW w:w="735" w:type="dxa"/>
            <w:vAlign w:val="top"/>
            <w:tcBorders>
              <w:bottom w:val="nil"/>
            </w:tcBorders>
          </w:tcPr>
          <w:p>
            <w:pPr>
              <w:ind w:left="155"/>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-12.1</w:t>
            </w:r>
          </w:p>
        </w:tc>
        <w:tc>
          <w:tcPr>
            <w:tcW w:w="633" w:type="dxa"/>
            <w:vAlign w:val="top"/>
            <w:tcBorders>
              <w:bottom w:val="nil"/>
            </w:tcBorders>
          </w:tcPr>
          <w:p>
            <w:pPr>
              <w:ind w:left="155"/>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-1.1</w:t>
            </w:r>
          </w:p>
        </w:tc>
        <w:tc>
          <w:tcPr>
            <w:tcW w:w="468" w:type="dxa"/>
            <w:vAlign w:val="top"/>
            <w:tcBorders>
              <w:bottom w:val="nil"/>
            </w:tcBorders>
          </w:tcPr>
          <w:p>
            <w:pPr>
              <w:ind w:left="160"/>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9.</w:t>
            </w:r>
          </w:p>
        </w:tc>
        <w:tc>
          <w:tcPr>
            <w:tcW w:w="667" w:type="dxa"/>
            <w:vAlign w:val="top"/>
            <w:tcBorders>
              <w:bottom w:val="nil"/>
            </w:tcBorders>
          </w:tcPr>
          <w:p>
            <w:pPr>
              <w:ind w:left="172"/>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12.1</w:t>
            </w:r>
          </w:p>
        </w:tc>
        <w:tc>
          <w:tcPr>
            <w:tcW w:w="668" w:type="dxa"/>
            <w:vAlign w:val="top"/>
            <w:tcBorders>
              <w:bottom w:val="nil"/>
            </w:tcBorders>
          </w:tcPr>
          <w:p>
            <w:pPr>
              <w:ind w:left="172"/>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18.6</w:t>
            </w:r>
          </w:p>
        </w:tc>
        <w:tc>
          <w:tcPr>
            <w:tcW w:w="667" w:type="dxa"/>
            <w:vAlign w:val="top"/>
            <w:tcBorders>
              <w:bottom w:val="nil"/>
            </w:tcBorders>
          </w:tcPr>
          <w:p>
            <w:pPr>
              <w:ind w:left="149"/>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22.2</w:t>
            </w:r>
          </w:p>
        </w:tc>
        <w:tc>
          <w:tcPr>
            <w:tcW w:w="667" w:type="dxa"/>
            <w:vAlign w:val="top"/>
            <w:tcBorders>
              <w:bottom w:val="nil"/>
            </w:tcBorders>
          </w:tcPr>
          <w:p>
            <w:pPr>
              <w:ind w:left="169"/>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19.7</w:t>
            </w:r>
          </w:p>
        </w:tc>
        <w:tc>
          <w:tcPr>
            <w:tcW w:w="668" w:type="dxa"/>
            <w:vAlign w:val="top"/>
            <w:tcBorders>
              <w:bottom w:val="nil"/>
            </w:tcBorders>
          </w:tcPr>
          <w:p>
            <w:pPr>
              <w:ind w:left="169"/>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p>
        </w:tc>
        <w:tc>
          <w:tcPr>
            <w:tcW w:w="466" w:type="dxa"/>
            <w:vAlign w:val="top"/>
            <w:tcBorders>
              <w:bottom w:val="nil"/>
            </w:tcBorders>
          </w:tcPr>
          <w:p>
            <w:pPr>
              <w:ind w:left="158"/>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w:t>
            </w:r>
          </w:p>
        </w:tc>
        <w:tc>
          <w:tcPr>
            <w:tcW w:w="634" w:type="dxa"/>
            <w:vAlign w:val="top"/>
            <w:tcBorders>
              <w:bottom w:val="nil"/>
            </w:tcBorders>
          </w:tcPr>
          <w:p>
            <w:pPr>
              <w:ind w:left="155"/>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-4.0</w:t>
            </w:r>
          </w:p>
        </w:tc>
        <w:tc>
          <w:tcPr>
            <w:tcW w:w="735" w:type="dxa"/>
            <w:vAlign w:val="top"/>
            <w:tcBorders>
              <w:bottom w:val="nil"/>
            </w:tcBorders>
          </w:tcPr>
          <w:p>
            <w:pPr>
              <w:ind w:left="155"/>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-15.5</w:t>
            </w:r>
          </w:p>
        </w:tc>
        <w:tc>
          <w:tcPr>
            <w:tcW w:w="566" w:type="dxa"/>
            <w:vAlign w:val="top"/>
            <w:tcBorders>
              <w:bottom w:val="nil"/>
              <w:right w:val="nil"/>
            </w:tcBorders>
          </w:tcPr>
          <w:p>
            <w:pPr>
              <w:ind w:left="152"/>
              <w:spacing w:before="87" w:line="16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4.8</w:t>
            </w:r>
          </w:p>
        </w:tc>
      </w:tr>
      <w:tr>
        <w:trPr>
          <w:trHeight w:val="302" w:hRule="atLeast"/>
        </w:trPr>
        <w:tc>
          <w:tcPr>
            <w:tcW w:w="429" w:type="dxa"/>
            <w:vAlign w:val="top"/>
            <w:tcBorders>
              <w:left w:val="nil"/>
              <w:top w:val="nil"/>
              <w:bottom w:val="single" w:color="000000" w:sz="10" w:space="0"/>
            </w:tcBorders>
          </w:tcPr>
          <w:p>
            <w:pPr>
              <w:pStyle w:val="TableText"/>
              <w:ind w:left="129"/>
              <w:spacing w:before="54" w:line="209" w:lineRule="auto"/>
              <w:rPr/>
            </w:pPr>
            <w:r>
              <w:rPr/>
              <w:t>度</w:t>
            </w:r>
          </w:p>
        </w:tc>
        <w:tc>
          <w:tcPr>
            <w:tcW w:w="732" w:type="dxa"/>
            <w:vAlign w:val="top"/>
            <w:tcBorders>
              <w:top w:val="nil"/>
              <w:bottom w:val="single" w:color="000000" w:sz="10" w:space="0"/>
            </w:tcBorders>
          </w:tcPr>
          <w:p>
            <w:pPr>
              <w:ind w:left="318"/>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35" w:type="dxa"/>
            <w:vAlign w:val="top"/>
            <w:tcBorders>
              <w:top w:val="nil"/>
              <w:bottom w:val="single" w:color="000000" w:sz="10" w:space="0"/>
            </w:tcBorders>
          </w:tcPr>
          <w:p>
            <w:pPr>
              <w:ind w:left="321"/>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33" w:type="dxa"/>
            <w:vAlign w:val="top"/>
            <w:tcBorders>
              <w:top w:val="nil"/>
              <w:bottom w:val="single" w:color="000000" w:sz="10" w:space="0"/>
            </w:tcBorders>
          </w:tcPr>
          <w:p>
            <w:pPr>
              <w:ind w:left="270"/>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68" w:type="dxa"/>
            <w:vAlign w:val="top"/>
            <w:tcBorders>
              <w:top w:val="nil"/>
              <w:bottom w:val="single" w:color="000000" w:sz="10" w:space="0"/>
            </w:tcBorders>
          </w:tcPr>
          <w:p>
            <w:pPr>
              <w:ind w:left="187"/>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67" w:type="dxa"/>
            <w:vAlign w:val="top"/>
            <w:tcBorders>
              <w:top w:val="nil"/>
              <w:bottom w:val="single" w:color="000000" w:sz="10" w:space="0"/>
            </w:tcBorders>
          </w:tcPr>
          <w:p>
            <w:pPr>
              <w:ind w:left="287"/>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668" w:type="dxa"/>
            <w:vAlign w:val="top"/>
            <w:tcBorders>
              <w:top w:val="nil"/>
              <w:bottom w:val="single" w:color="000000" w:sz="10" w:space="0"/>
            </w:tcBorders>
          </w:tcPr>
          <w:p>
            <w:pPr>
              <w:ind w:left="304"/>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67" w:type="dxa"/>
            <w:vAlign w:val="top"/>
            <w:tcBorders>
              <w:top w:val="nil"/>
              <w:bottom w:val="single" w:color="000000" w:sz="10" w:space="0"/>
            </w:tcBorders>
          </w:tcPr>
          <w:p>
            <w:pPr>
              <w:ind w:left="286"/>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67" w:type="dxa"/>
            <w:vAlign w:val="top"/>
            <w:tcBorders>
              <w:top w:val="nil"/>
              <w:bottom w:val="single" w:color="000000" w:sz="10" w:space="0"/>
            </w:tcBorders>
          </w:tcPr>
          <w:p>
            <w:pPr>
              <w:ind w:left="289"/>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68" w:type="dxa"/>
            <w:vAlign w:val="top"/>
            <w:tcBorders>
              <w:top w:val="nil"/>
              <w:bottom w:val="single" w:color="000000" w:sz="10" w:space="0"/>
            </w:tcBorders>
          </w:tcPr>
          <w:p>
            <w:pPr>
              <w:ind w:left="281"/>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66" w:type="dxa"/>
            <w:vAlign w:val="top"/>
            <w:tcBorders>
              <w:top w:val="nil"/>
              <w:bottom w:val="single" w:color="000000" w:sz="10" w:space="0"/>
            </w:tcBorders>
          </w:tcPr>
          <w:p>
            <w:pPr>
              <w:ind w:left="183"/>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634" w:type="dxa"/>
            <w:vAlign w:val="top"/>
            <w:tcBorders>
              <w:top w:val="nil"/>
              <w:bottom w:val="single" w:color="000000" w:sz="10" w:space="0"/>
            </w:tcBorders>
          </w:tcPr>
          <w:p>
            <w:pPr>
              <w:ind w:left="270"/>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735" w:type="dxa"/>
            <w:vAlign w:val="top"/>
            <w:tcBorders>
              <w:top w:val="nil"/>
              <w:bottom w:val="single" w:color="000000" w:sz="10" w:space="0"/>
            </w:tcBorders>
          </w:tcPr>
          <w:p>
            <w:pPr>
              <w:ind w:left="320"/>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66" w:type="dxa"/>
            <w:vAlign w:val="top"/>
            <w:tcBorders>
              <w:right w:val="nil"/>
              <w:top w:val="nil"/>
              <w:bottom w:val="single" w:color="000000" w:sz="10" w:space="0"/>
            </w:tcBorders>
          </w:tcPr>
          <w:p>
            <w:pPr>
              <w:ind w:left="237"/>
              <w:spacing w:before="6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r>
    </w:tbl>
    <w:p>
      <w:pPr>
        <w:pStyle w:val="BodyText"/>
        <w:rPr/>
      </w:pPr>
      <w:r/>
    </w:p>
    <w:p>
      <w:pPr>
        <w:sectPr>
          <w:headerReference w:type="default" r:id="rId141"/>
          <w:footerReference w:type="default" r:id="rId142"/>
          <w:pgSz w:w="11907" w:h="16839"/>
          <w:pgMar w:top="1442" w:right="1591" w:bottom="1235" w:left="1579" w:header="1064" w:footer="992" w:gutter="0"/>
        </w:sectPr>
        <w:rPr/>
      </w:pPr>
    </w:p>
    <w:p>
      <w:pPr>
        <w:pStyle w:val="BodyText"/>
        <w:spacing w:line="285" w:lineRule="auto"/>
        <w:rPr/>
      </w:pPr>
      <w:r/>
    </w:p>
    <w:p>
      <w:pPr>
        <w:ind w:firstLine="117"/>
        <w:spacing w:line="3060" w:lineRule="exact"/>
        <w:rPr/>
      </w:pPr>
      <w:r>
        <w:rPr>
          <w:position w:val="-61"/>
        </w:rPr>
        <w:drawing>
          <wp:inline distT="0" distB="0" distL="0" distR="0">
            <wp:extent cx="5399404" cy="1943100"/>
            <wp:effectExtent l="0" t="0" r="0" b="0"/>
            <wp:docPr id="18" name="IM 18"/>
            <wp:cNvGraphicFramePr/>
            <a:graphic>
              <a:graphicData uri="http://schemas.openxmlformats.org/drawingml/2006/picture">
                <pic:pic>
                  <pic:nvPicPr>
                    <pic:cNvPr id="18" name="IM 18"/>
                    <pic:cNvPicPr/>
                  </pic:nvPicPr>
                  <pic:blipFill>
                    <a:blip r:embed="rId145"/>
                    <a:stretch>
                      <a:fillRect/>
                    </a:stretch>
                  </pic:blipFill>
                  <pic:spPr>
                    <a:xfrm rot="0">
                      <a:off x="0" y="0"/>
                      <a:ext cx="5399404" cy="1943100"/>
                    </a:xfrm>
                    <a:prstGeom prst="rect">
                      <a:avLst/>
                    </a:prstGeom>
                  </pic:spPr>
                </pic:pic>
              </a:graphicData>
            </a:graphic>
          </wp:inline>
        </w:drawing>
      </w:r>
    </w:p>
    <w:p>
      <w:pPr>
        <w:ind w:left="2802"/>
        <w:spacing w:before="65" w:line="233" w:lineRule="auto"/>
        <w:rPr>
          <w:rFonts w:ascii="SimSun" w:hAnsi="SimSun" w:eastAsia="SimSun" w:cs="SimSun"/>
          <w:sz w:val="24"/>
          <w:szCs w:val="24"/>
        </w:rPr>
      </w:pPr>
      <w:r>
        <w:rPr>
          <w:rFonts w:ascii="SimSun" w:hAnsi="SimSun" w:eastAsia="SimSun" w:cs="SimSun"/>
          <w:sz w:val="24"/>
          <w:szCs w:val="24"/>
          <w:spacing w:val="-2"/>
        </w:rPr>
        <w:t>图</w:t>
      </w:r>
      <w:r>
        <w:rPr>
          <w:rFonts w:ascii="Times New Roman" w:hAnsi="Times New Roman" w:eastAsia="Times New Roman" w:cs="Times New Roman"/>
          <w:sz w:val="24"/>
          <w:szCs w:val="24"/>
          <w:spacing w:val="-2"/>
        </w:rPr>
        <w:t>5-2    </w:t>
      </w:r>
      <w:r>
        <w:rPr>
          <w:rFonts w:ascii="SimSun" w:hAnsi="SimSun" w:eastAsia="SimSun" w:cs="SimSun"/>
          <w:sz w:val="24"/>
          <w:szCs w:val="24"/>
          <w:spacing w:val="-2"/>
        </w:rPr>
        <w:t>全年平均气温变化曲线</w:t>
      </w:r>
    </w:p>
    <w:p>
      <w:pPr>
        <w:pStyle w:val="BodyText"/>
        <w:spacing w:line="243" w:lineRule="auto"/>
        <w:rPr/>
      </w:pPr>
      <w:r/>
    </w:p>
    <w:p>
      <w:pPr>
        <w:ind w:left="590"/>
        <w:spacing w:before="78" w:line="217" w:lineRule="auto"/>
        <w:rPr>
          <w:rFonts w:ascii="SimSun" w:hAnsi="SimSun" w:eastAsia="SimSun" w:cs="SimSun"/>
          <w:sz w:val="24"/>
          <w:szCs w:val="24"/>
        </w:rPr>
      </w:pPr>
      <w:r>
        <w:rPr>
          <w:rFonts w:ascii="SimSun" w:hAnsi="SimSun" w:eastAsia="SimSun" w:cs="SimSun"/>
          <w:sz w:val="24"/>
          <w:szCs w:val="24"/>
          <w:spacing w:val="-1"/>
        </w:rPr>
        <w:t>②风向、风速统计特征</w:t>
      </w:r>
    </w:p>
    <w:p>
      <w:pPr>
        <w:ind w:left="127" w:right="414" w:firstLine="496"/>
        <w:spacing w:before="183" w:line="359" w:lineRule="auto"/>
        <w:rPr>
          <w:rFonts w:ascii="SimSun" w:hAnsi="SimSun" w:eastAsia="SimSun" w:cs="SimSun"/>
          <w:sz w:val="24"/>
          <w:szCs w:val="24"/>
        </w:rPr>
      </w:pPr>
      <w:r>
        <w:rPr>
          <w:rFonts w:ascii="SimSun" w:hAnsi="SimSun" w:eastAsia="SimSun" w:cs="SimSun"/>
          <w:sz w:val="24"/>
          <w:szCs w:val="24"/>
          <w:spacing w:val="-3"/>
        </w:rPr>
        <w:t>区域年均风速月变化情况见表</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3"/>
        </w:rPr>
        <w:t>5-8</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3"/>
        </w:rPr>
        <w:t>和图</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3"/>
        </w:rPr>
        <w:t>5-3</w:t>
      </w:r>
      <w:r>
        <w:rPr>
          <w:rFonts w:ascii="SimSun" w:hAnsi="SimSun" w:eastAsia="SimSun" w:cs="SimSun"/>
          <w:sz w:val="24"/>
          <w:szCs w:val="24"/>
          <w:spacing w:val="-3"/>
        </w:rPr>
        <w:t>，各季小时风速变化情况见表 </w:t>
      </w:r>
      <w:r>
        <w:rPr>
          <w:rFonts w:ascii="Times New Roman" w:hAnsi="Times New Roman" w:eastAsia="Times New Roman" w:cs="Times New Roman"/>
          <w:sz w:val="24"/>
          <w:szCs w:val="24"/>
          <w:spacing w:val="-3"/>
        </w:rPr>
        <w:t>5-9</w:t>
      </w:r>
      <w:r>
        <w:rPr>
          <w:rFonts w:ascii="SimSun" w:hAnsi="SimSun" w:eastAsia="SimSun" w:cs="SimSun"/>
          <w:sz w:val="24"/>
          <w:szCs w:val="24"/>
          <w:spacing w:val="-4"/>
        </w:rPr>
        <w:t>和图</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5-4</w:t>
      </w:r>
      <w:r>
        <w:rPr>
          <w:rFonts w:ascii="SimSun" w:hAnsi="SimSun" w:eastAsia="SimSun" w:cs="SimSun"/>
          <w:sz w:val="24"/>
          <w:szCs w:val="24"/>
          <w:spacing w:val="-4"/>
        </w:rPr>
        <w:t>。</w:t>
      </w:r>
    </w:p>
    <w:p>
      <w:pPr>
        <w:ind w:left="2620"/>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2"/>
        </w:rPr>
        <w:t>5-8    </w:t>
      </w:r>
      <w:r>
        <w:rPr>
          <w:rFonts w:ascii="SimSun" w:hAnsi="SimSun" w:eastAsia="SimSun" w:cs="SimSun"/>
          <w:sz w:val="24"/>
          <w:szCs w:val="24"/>
          <w:b/>
          <w:bCs/>
          <w:spacing w:val="-2"/>
        </w:rPr>
        <w:t>年均风速的月变化情况表</w:t>
      </w:r>
    </w:p>
    <w:p>
      <w:pPr>
        <w:spacing w:line="130" w:lineRule="exact"/>
        <w:rPr/>
      </w:pPr>
      <w:r/>
    </w:p>
    <w:tbl>
      <w:tblPr>
        <w:tblStyle w:val="TableNormal"/>
        <w:tblW w:w="872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0"/>
        <w:gridCol w:w="674"/>
        <w:gridCol w:w="677"/>
        <w:gridCol w:w="607"/>
        <w:gridCol w:w="583"/>
        <w:gridCol w:w="612"/>
        <w:gridCol w:w="610"/>
        <w:gridCol w:w="612"/>
        <w:gridCol w:w="612"/>
        <w:gridCol w:w="610"/>
        <w:gridCol w:w="583"/>
        <w:gridCol w:w="586"/>
        <w:gridCol w:w="672"/>
        <w:gridCol w:w="677"/>
      </w:tblGrid>
      <w:tr>
        <w:trPr>
          <w:trHeight w:val="541" w:hRule="atLeast"/>
        </w:trPr>
        <w:tc>
          <w:tcPr>
            <w:tcW w:w="610" w:type="dxa"/>
            <w:vAlign w:val="top"/>
            <w:textDirection w:val="tbRlV"/>
            <w:tcBorders>
              <w:top w:val="single" w:color="000000" w:sz="10" w:space="0"/>
              <w:left w:val="nil"/>
            </w:tcBorders>
          </w:tcPr>
          <w:p>
            <w:pPr>
              <w:pStyle w:val="TableText"/>
              <w:ind w:left="33"/>
              <w:spacing w:before="192" w:line="209" w:lineRule="auto"/>
              <w:rPr/>
            </w:pPr>
            <w:r>
              <w:rPr>
                <w:spacing w:val="1"/>
              </w:rPr>
              <w:t>月</w:t>
            </w:r>
            <w:r>
              <w:rPr>
                <w:spacing w:val="-43"/>
              </w:rPr>
              <w:t xml:space="preserve"> </w:t>
            </w:r>
            <w:r>
              <w:rPr>
                <w:spacing w:val="1"/>
              </w:rPr>
              <w:t>份</w:t>
            </w:r>
          </w:p>
        </w:tc>
        <w:tc>
          <w:tcPr>
            <w:tcW w:w="674" w:type="dxa"/>
            <w:vAlign w:val="top"/>
            <w:tcBorders>
              <w:top w:val="single" w:color="000000" w:sz="10" w:space="0"/>
            </w:tcBorders>
          </w:tcPr>
          <w:p>
            <w:pPr>
              <w:ind w:left="304"/>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677" w:type="dxa"/>
            <w:vAlign w:val="top"/>
            <w:tcBorders>
              <w:top w:val="single" w:color="000000" w:sz="10" w:space="0"/>
            </w:tcBorders>
          </w:tcPr>
          <w:p>
            <w:pPr>
              <w:ind w:left="285"/>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607" w:type="dxa"/>
            <w:vAlign w:val="top"/>
            <w:tcBorders>
              <w:top w:val="single" w:color="000000" w:sz="10" w:space="0"/>
            </w:tcBorders>
          </w:tcPr>
          <w:p>
            <w:pPr>
              <w:ind w:left="253"/>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583" w:type="dxa"/>
            <w:vAlign w:val="top"/>
            <w:tcBorders>
              <w:top w:val="single" w:color="000000" w:sz="10" w:space="0"/>
            </w:tcBorders>
          </w:tcPr>
          <w:p>
            <w:pPr>
              <w:ind w:left="238"/>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612" w:type="dxa"/>
            <w:vAlign w:val="top"/>
            <w:tcBorders>
              <w:top w:val="single" w:color="000000" w:sz="10" w:space="0"/>
            </w:tcBorders>
          </w:tcPr>
          <w:p>
            <w:pPr>
              <w:ind w:left="260"/>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10" w:type="dxa"/>
            <w:vAlign w:val="top"/>
            <w:tcBorders>
              <w:top w:val="single" w:color="000000" w:sz="10" w:space="0"/>
            </w:tcBorders>
          </w:tcPr>
          <w:p>
            <w:pPr>
              <w:ind w:left="257"/>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612" w:type="dxa"/>
            <w:vAlign w:val="top"/>
            <w:tcBorders>
              <w:top w:val="single" w:color="000000" w:sz="10" w:space="0"/>
            </w:tcBorders>
          </w:tcPr>
          <w:p>
            <w:pPr>
              <w:ind w:left="258"/>
              <w:spacing w:before="20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612" w:type="dxa"/>
            <w:vAlign w:val="top"/>
            <w:tcBorders>
              <w:top w:val="single" w:color="000000" w:sz="10" w:space="0"/>
            </w:tcBorders>
          </w:tcPr>
          <w:p>
            <w:pPr>
              <w:ind w:left="263"/>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610" w:type="dxa"/>
            <w:vAlign w:val="top"/>
            <w:tcBorders>
              <w:top w:val="single" w:color="000000" w:sz="10" w:space="0"/>
            </w:tcBorders>
          </w:tcPr>
          <w:p>
            <w:pPr>
              <w:ind w:left="256"/>
              <w:spacing w:before="20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583" w:type="dxa"/>
            <w:vAlign w:val="top"/>
            <w:tcBorders>
              <w:top w:val="single" w:color="000000" w:sz="10" w:space="0"/>
            </w:tcBorders>
          </w:tcPr>
          <w:p>
            <w:pPr>
              <w:ind w:left="207"/>
              <w:spacing w:before="200"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586" w:type="dxa"/>
            <w:vAlign w:val="top"/>
            <w:tcBorders>
              <w:top w:val="single" w:color="000000" w:sz="10" w:space="0"/>
            </w:tcBorders>
          </w:tcPr>
          <w:p>
            <w:pPr>
              <w:ind w:left="212"/>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3"/>
              </w:rPr>
              <w:t>11</w:t>
            </w:r>
          </w:p>
        </w:tc>
        <w:tc>
          <w:tcPr>
            <w:tcW w:w="672" w:type="dxa"/>
            <w:vAlign w:val="top"/>
            <w:tcBorders>
              <w:top w:val="single" w:color="000000" w:sz="10" w:space="0"/>
            </w:tcBorders>
          </w:tcPr>
          <w:p>
            <w:pPr>
              <w:ind w:left="253"/>
              <w:spacing w:before="20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677" w:type="dxa"/>
            <w:vAlign w:val="top"/>
            <w:tcBorders>
              <w:top w:val="single" w:color="000000" w:sz="10" w:space="0"/>
              <w:right w:val="nil"/>
            </w:tcBorders>
          </w:tcPr>
          <w:p>
            <w:pPr>
              <w:pStyle w:val="TableText"/>
              <w:ind w:left="240"/>
              <w:spacing w:before="169" w:line="221" w:lineRule="auto"/>
              <w:rPr/>
            </w:pPr>
            <w:r>
              <w:rPr/>
              <w:t>年</w:t>
            </w:r>
          </w:p>
        </w:tc>
      </w:tr>
      <w:tr>
        <w:trPr>
          <w:trHeight w:val="563" w:hRule="atLeast"/>
        </w:trPr>
        <w:tc>
          <w:tcPr>
            <w:tcW w:w="610" w:type="dxa"/>
            <w:vAlign w:val="top"/>
            <w:textDirection w:val="tbRlV"/>
            <w:tcBorders>
              <w:bottom w:val="single" w:color="000000" w:sz="10" w:space="0"/>
              <w:left w:val="nil"/>
            </w:tcBorders>
          </w:tcPr>
          <w:p>
            <w:pPr>
              <w:pStyle w:val="TableText"/>
              <w:ind w:left="41"/>
              <w:spacing w:before="192" w:line="210" w:lineRule="auto"/>
              <w:rPr/>
            </w:pPr>
            <w:r>
              <w:rPr>
                <w:spacing w:val="1"/>
              </w:rPr>
              <w:t>风</w:t>
            </w:r>
            <w:r>
              <w:rPr>
                <w:spacing w:val="-43"/>
              </w:rPr>
              <w:t xml:space="preserve"> </w:t>
            </w:r>
            <w:r>
              <w:rPr>
                <w:spacing w:val="1"/>
              </w:rPr>
              <w:t>速</w:t>
            </w:r>
          </w:p>
        </w:tc>
        <w:tc>
          <w:tcPr>
            <w:tcW w:w="674" w:type="dxa"/>
            <w:vAlign w:val="top"/>
            <w:tcBorders>
              <w:bottom w:val="single" w:color="000000" w:sz="10" w:space="0"/>
            </w:tcBorders>
          </w:tcPr>
          <w:p>
            <w:pPr>
              <w:ind w:left="159"/>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3.02</w:t>
            </w:r>
          </w:p>
        </w:tc>
        <w:tc>
          <w:tcPr>
            <w:tcW w:w="677" w:type="dxa"/>
            <w:vAlign w:val="top"/>
            <w:tcBorders>
              <w:bottom w:val="single" w:color="000000" w:sz="10" w:space="0"/>
            </w:tcBorders>
          </w:tcPr>
          <w:p>
            <w:pPr>
              <w:ind w:left="155"/>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2.69</w:t>
            </w:r>
          </w:p>
        </w:tc>
        <w:tc>
          <w:tcPr>
            <w:tcW w:w="607" w:type="dxa"/>
            <w:vAlign w:val="top"/>
            <w:tcBorders>
              <w:bottom w:val="single" w:color="000000" w:sz="10" w:space="0"/>
            </w:tcBorders>
          </w:tcPr>
          <w:p>
            <w:pPr>
              <w:ind w:left="119"/>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2.88</w:t>
            </w:r>
          </w:p>
        </w:tc>
        <w:tc>
          <w:tcPr>
            <w:tcW w:w="583" w:type="dxa"/>
            <w:vAlign w:val="top"/>
            <w:tcBorders>
              <w:bottom w:val="single" w:color="000000" w:sz="10" w:space="0"/>
            </w:tcBorders>
          </w:tcPr>
          <w:p>
            <w:pPr>
              <w:ind w:left="114"/>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3.79</w:t>
            </w:r>
          </w:p>
        </w:tc>
        <w:tc>
          <w:tcPr>
            <w:tcW w:w="612" w:type="dxa"/>
            <w:vAlign w:val="top"/>
            <w:tcBorders>
              <w:bottom w:val="single" w:color="000000" w:sz="10" w:space="0"/>
            </w:tcBorders>
          </w:tcPr>
          <w:p>
            <w:pPr>
              <w:ind w:left="123"/>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4.17</w:t>
            </w:r>
          </w:p>
        </w:tc>
        <w:tc>
          <w:tcPr>
            <w:tcW w:w="610" w:type="dxa"/>
            <w:vAlign w:val="top"/>
            <w:tcBorders>
              <w:bottom w:val="single" w:color="000000" w:sz="10" w:space="0"/>
            </w:tcBorders>
          </w:tcPr>
          <w:p>
            <w:pPr>
              <w:ind w:left="112"/>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612" w:type="dxa"/>
            <w:vAlign w:val="top"/>
            <w:tcBorders>
              <w:bottom w:val="single" w:color="000000" w:sz="10" w:space="0"/>
            </w:tcBorders>
          </w:tcPr>
          <w:p>
            <w:pPr>
              <w:ind w:left="129"/>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3.20</w:t>
            </w:r>
          </w:p>
        </w:tc>
        <w:tc>
          <w:tcPr>
            <w:tcW w:w="612" w:type="dxa"/>
            <w:vAlign w:val="top"/>
            <w:tcBorders>
              <w:bottom w:val="single" w:color="000000" w:sz="10" w:space="0"/>
            </w:tcBorders>
          </w:tcPr>
          <w:p>
            <w:pPr>
              <w:ind w:left="125"/>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2.74</w:t>
            </w:r>
          </w:p>
        </w:tc>
        <w:tc>
          <w:tcPr>
            <w:tcW w:w="610" w:type="dxa"/>
            <w:vAlign w:val="top"/>
            <w:tcBorders>
              <w:bottom w:val="single" w:color="000000" w:sz="10" w:space="0"/>
            </w:tcBorders>
          </w:tcPr>
          <w:p>
            <w:pPr>
              <w:ind w:left="122"/>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2.97</w:t>
            </w:r>
          </w:p>
        </w:tc>
        <w:tc>
          <w:tcPr>
            <w:tcW w:w="583" w:type="dxa"/>
            <w:vAlign w:val="top"/>
            <w:tcBorders>
              <w:bottom w:val="single" w:color="000000" w:sz="10" w:space="0"/>
            </w:tcBorders>
          </w:tcPr>
          <w:p>
            <w:pPr>
              <w:ind w:left="110"/>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2.91</w:t>
            </w:r>
          </w:p>
        </w:tc>
        <w:tc>
          <w:tcPr>
            <w:tcW w:w="586" w:type="dxa"/>
            <w:vAlign w:val="top"/>
            <w:tcBorders>
              <w:bottom w:val="single" w:color="000000" w:sz="10" w:space="0"/>
            </w:tcBorders>
          </w:tcPr>
          <w:p>
            <w:pPr>
              <w:ind w:left="115"/>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3.06</w:t>
            </w:r>
          </w:p>
        </w:tc>
        <w:tc>
          <w:tcPr>
            <w:tcW w:w="672" w:type="dxa"/>
            <w:vAlign w:val="top"/>
            <w:tcBorders>
              <w:bottom w:val="single" w:color="000000" w:sz="10" w:space="0"/>
            </w:tcBorders>
          </w:tcPr>
          <w:p>
            <w:pPr>
              <w:ind w:left="153"/>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2.90</w:t>
            </w:r>
          </w:p>
        </w:tc>
        <w:tc>
          <w:tcPr>
            <w:tcW w:w="677" w:type="dxa"/>
            <w:vAlign w:val="top"/>
            <w:tcBorders>
              <w:bottom w:val="single" w:color="000000" w:sz="10" w:space="0"/>
              <w:right w:val="nil"/>
            </w:tcBorders>
          </w:tcPr>
          <w:p>
            <w:pPr>
              <w:ind w:left="165"/>
              <w:spacing w:before="20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3.11</w:t>
            </w:r>
          </w:p>
        </w:tc>
      </w:tr>
    </w:tbl>
    <w:p>
      <w:pPr>
        <w:pStyle w:val="BodyText"/>
        <w:spacing w:line="273" w:lineRule="auto"/>
        <w:rPr/>
      </w:pPr>
      <w:r/>
    </w:p>
    <w:p>
      <w:pPr>
        <w:pStyle w:val="BodyText"/>
        <w:spacing w:line="274" w:lineRule="auto"/>
        <w:rPr/>
      </w:pPr>
      <w:r/>
    </w:p>
    <w:p>
      <w:pPr>
        <w:pStyle w:val="BodyText"/>
        <w:spacing w:line="274" w:lineRule="auto"/>
        <w:rPr/>
      </w:pPr>
      <w:r/>
    </w:p>
    <w:p>
      <w:pPr>
        <w:ind w:firstLine="537"/>
        <w:spacing w:before="1" w:line="5095" w:lineRule="exact"/>
        <w:rPr/>
      </w:pPr>
      <w:r>
        <w:rPr>
          <w:position w:val="-101"/>
        </w:rPr>
        <w:drawing>
          <wp:inline distT="0" distB="0" distL="0" distR="0">
            <wp:extent cx="5397499" cy="3235324"/>
            <wp:effectExtent l="0" t="0" r="0" b="0"/>
            <wp:docPr id="20" name="IM 20"/>
            <wp:cNvGraphicFramePr/>
            <a:graphic>
              <a:graphicData uri="http://schemas.openxmlformats.org/drawingml/2006/picture">
                <pic:pic>
                  <pic:nvPicPr>
                    <pic:cNvPr id="20" name="IM 20"/>
                    <pic:cNvPicPr/>
                  </pic:nvPicPr>
                  <pic:blipFill>
                    <a:blip r:embed="rId146"/>
                    <a:stretch>
                      <a:fillRect/>
                    </a:stretch>
                  </pic:blipFill>
                  <pic:spPr>
                    <a:xfrm rot="0">
                      <a:off x="0" y="0"/>
                      <a:ext cx="5397499" cy="3235324"/>
                    </a:xfrm>
                    <a:prstGeom prst="rect">
                      <a:avLst/>
                    </a:prstGeom>
                  </pic:spPr>
                </pic:pic>
              </a:graphicData>
            </a:graphic>
          </wp:inline>
        </w:drawing>
      </w:r>
    </w:p>
    <w:p>
      <w:pPr>
        <w:ind w:left="2802"/>
        <w:spacing w:before="176" w:line="233" w:lineRule="auto"/>
        <w:rPr>
          <w:rFonts w:ascii="SimSun" w:hAnsi="SimSun" w:eastAsia="SimSun" w:cs="SimSun"/>
          <w:sz w:val="24"/>
          <w:szCs w:val="24"/>
        </w:rPr>
      </w:pPr>
      <w:r>
        <w:rPr>
          <w:rFonts w:ascii="SimSun" w:hAnsi="SimSun" w:eastAsia="SimSun" w:cs="SimSun"/>
          <w:sz w:val="24"/>
          <w:szCs w:val="24"/>
          <w:spacing w:val="-2"/>
        </w:rPr>
        <w:t>图</w:t>
      </w:r>
      <w:r>
        <w:rPr>
          <w:rFonts w:ascii="Times New Roman" w:hAnsi="Times New Roman" w:eastAsia="Times New Roman" w:cs="Times New Roman"/>
          <w:sz w:val="24"/>
          <w:szCs w:val="24"/>
          <w:spacing w:val="-2"/>
        </w:rPr>
        <w:t>5-3    </w:t>
      </w:r>
      <w:r>
        <w:rPr>
          <w:rFonts w:ascii="SimSun" w:hAnsi="SimSun" w:eastAsia="SimSun" w:cs="SimSun"/>
          <w:sz w:val="24"/>
          <w:szCs w:val="24"/>
          <w:spacing w:val="-2"/>
        </w:rPr>
        <w:t>平均风速月变化曲线图</w:t>
      </w:r>
    </w:p>
    <w:p>
      <w:pPr>
        <w:spacing w:line="233" w:lineRule="auto"/>
        <w:sectPr>
          <w:headerReference w:type="default" r:id="rId143"/>
          <w:footerReference w:type="default" r:id="rId144"/>
          <w:pgSz w:w="11907" w:h="16839"/>
          <w:pgMar w:top="1442" w:right="1284" w:bottom="1235" w:left="1584" w:header="1064" w:footer="992" w:gutter="0"/>
        </w:sectPr>
        <w:rPr>
          <w:rFonts w:ascii="SimSun" w:hAnsi="SimSun" w:eastAsia="SimSun" w:cs="SimSun"/>
          <w:sz w:val="24"/>
          <w:szCs w:val="24"/>
        </w:rPr>
      </w:pPr>
    </w:p>
    <w:p>
      <w:pPr>
        <w:ind w:left="1601"/>
        <w:spacing w:before="293" w:line="233" w:lineRule="auto"/>
        <w:rPr>
          <w:rFonts w:ascii="Times New Roman" w:hAnsi="Times New Roman" w:eastAsia="Times New Roman" w:cs="Times New Roman"/>
          <w:sz w:val="24"/>
          <w:szCs w:val="24"/>
        </w:rPr>
      </w:pPr>
      <w:r>
        <w:rPr>
          <w:rFonts w:ascii="SimSun" w:hAnsi="SimSun" w:eastAsia="SimSun" w:cs="SimSun"/>
          <w:sz w:val="24"/>
          <w:szCs w:val="24"/>
          <w:b/>
          <w:bCs/>
          <w:spacing w:val="-1"/>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1"/>
        </w:rPr>
        <w:t>5-9    </w:t>
      </w:r>
      <w:r>
        <w:rPr>
          <w:rFonts w:ascii="SimSun" w:hAnsi="SimSun" w:eastAsia="SimSun" w:cs="SimSun"/>
          <w:sz w:val="24"/>
          <w:szCs w:val="24"/>
          <w:b/>
          <w:bCs/>
          <w:spacing w:val="-1"/>
        </w:rPr>
        <w:t>各季小时平均风速变化情况表</w:t>
      </w:r>
      <w:r>
        <w:rPr>
          <w:rFonts w:ascii="SimSun" w:hAnsi="SimSun" w:eastAsia="SimSun" w:cs="SimSun"/>
          <w:sz w:val="24"/>
          <w:szCs w:val="24"/>
          <w:spacing w:val="-1"/>
        </w:rPr>
        <w:t xml:space="preserve">   </w:t>
      </w:r>
      <w:r>
        <w:rPr>
          <w:rFonts w:ascii="SimSun" w:hAnsi="SimSun" w:eastAsia="SimSun" w:cs="SimSun"/>
          <w:sz w:val="24"/>
          <w:szCs w:val="24"/>
          <w:spacing w:val="-2"/>
        </w:rPr>
        <w:t xml:space="preserve">  </w:t>
      </w:r>
      <w:r>
        <w:rPr>
          <w:rFonts w:ascii="SimSun" w:hAnsi="SimSun" w:eastAsia="SimSun" w:cs="SimSun"/>
          <w:sz w:val="24"/>
          <w:szCs w:val="24"/>
          <w:b/>
          <w:bCs/>
          <w:spacing w:val="-2"/>
        </w:rPr>
        <w:t>单位：</w:t>
      </w:r>
      <w:r>
        <w:rPr>
          <w:rFonts w:ascii="Times New Roman" w:hAnsi="Times New Roman" w:eastAsia="Times New Roman" w:cs="Times New Roman"/>
          <w:sz w:val="24"/>
          <w:szCs w:val="24"/>
          <w:b/>
          <w:bCs/>
          <w:spacing w:val="-2"/>
        </w:rPr>
        <w:t>m/s</w:t>
      </w:r>
    </w:p>
    <w:p>
      <w:pPr>
        <w:spacing w:line="128" w:lineRule="exact"/>
        <w:rPr/>
      </w:pPr>
      <w:r/>
    </w:p>
    <w:tbl>
      <w:tblPr>
        <w:tblStyle w:val="TableNormal"/>
        <w:tblW w:w="885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4"/>
        <w:gridCol w:w="607"/>
        <w:gridCol w:w="661"/>
        <w:gridCol w:w="662"/>
        <w:gridCol w:w="720"/>
        <w:gridCol w:w="663"/>
        <w:gridCol w:w="660"/>
        <w:gridCol w:w="660"/>
        <w:gridCol w:w="663"/>
        <w:gridCol w:w="660"/>
        <w:gridCol w:w="662"/>
        <w:gridCol w:w="660"/>
        <w:gridCol w:w="663"/>
      </w:tblGrid>
      <w:tr>
        <w:trPr>
          <w:trHeight w:val="472" w:hRule="atLeast"/>
        </w:trPr>
        <w:tc>
          <w:tcPr>
            <w:tcW w:w="914" w:type="dxa"/>
            <w:vAlign w:val="top"/>
            <w:tcBorders>
              <w:top w:val="single" w:color="000000" w:sz="10" w:space="0"/>
              <w:left w:val="nil"/>
              <w:tl2br w:val="single" w:color="000000" w:sz="2" w:space="0"/>
            </w:tcBorders>
          </w:tcPr>
          <w:p>
            <w:pPr>
              <w:pStyle w:val="TableText"/>
              <w:ind w:left="134" w:right="129" w:firstLine="295"/>
              <w:spacing w:before="31" w:line="221" w:lineRule="auto"/>
              <w:rPr>
                <w:sz w:val="18"/>
                <w:szCs w:val="18"/>
              </w:rPr>
            </w:pPr>
            <w:r>
              <w:rPr>
                <w:sz w:val="18"/>
                <w:szCs w:val="18"/>
                <w:spacing w:val="-4"/>
              </w:rPr>
              <w:t>季节</w:t>
            </w:r>
            <w:r>
              <w:rPr>
                <w:sz w:val="18"/>
                <w:szCs w:val="18"/>
                <w:spacing w:val="-3"/>
              </w:rPr>
              <w:t>小时</w:t>
            </w:r>
          </w:p>
        </w:tc>
        <w:tc>
          <w:tcPr>
            <w:tcW w:w="607" w:type="dxa"/>
            <w:vAlign w:val="top"/>
            <w:tcBorders>
              <w:top w:val="single" w:color="000000" w:sz="10" w:space="0"/>
            </w:tcBorders>
          </w:tcPr>
          <w:p>
            <w:pPr>
              <w:ind w:left="275"/>
              <w:spacing w:before="174"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661" w:type="dxa"/>
            <w:vAlign w:val="top"/>
            <w:tcBorders>
              <w:top w:val="single" w:color="000000" w:sz="10" w:space="0"/>
            </w:tcBorders>
          </w:tcPr>
          <w:p>
            <w:pPr>
              <w:ind w:left="285"/>
              <w:spacing w:before="174"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662" w:type="dxa"/>
            <w:vAlign w:val="top"/>
            <w:tcBorders>
              <w:top w:val="single" w:color="000000" w:sz="10" w:space="0"/>
            </w:tcBorders>
          </w:tcPr>
          <w:p>
            <w:pPr>
              <w:ind w:left="288"/>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720" w:type="dxa"/>
            <w:vAlign w:val="top"/>
            <w:tcBorders>
              <w:top w:val="single" w:color="000000" w:sz="10" w:space="0"/>
            </w:tcBorders>
          </w:tcPr>
          <w:p>
            <w:pPr>
              <w:ind w:left="315"/>
              <w:spacing w:before="174"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663" w:type="dxa"/>
            <w:vAlign w:val="top"/>
            <w:tcBorders>
              <w:top w:val="single" w:color="000000" w:sz="10" w:space="0"/>
            </w:tcBorders>
          </w:tcPr>
          <w:p>
            <w:pPr>
              <w:ind w:left="289"/>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660" w:type="dxa"/>
            <w:vAlign w:val="top"/>
            <w:tcBorders>
              <w:top w:val="single" w:color="000000" w:sz="10" w:space="0"/>
            </w:tcBorders>
          </w:tcPr>
          <w:p>
            <w:pPr>
              <w:ind w:left="286"/>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660" w:type="dxa"/>
            <w:vAlign w:val="top"/>
            <w:tcBorders>
              <w:top w:val="single" w:color="000000" w:sz="10" w:space="0"/>
            </w:tcBorders>
          </w:tcPr>
          <w:p>
            <w:pPr>
              <w:ind w:left="287"/>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tc>
        <w:tc>
          <w:tcPr>
            <w:tcW w:w="663" w:type="dxa"/>
            <w:vAlign w:val="top"/>
            <w:tcBorders>
              <w:top w:val="single" w:color="000000" w:sz="10" w:space="0"/>
            </w:tcBorders>
          </w:tcPr>
          <w:p>
            <w:pPr>
              <w:ind w:left="292"/>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660" w:type="dxa"/>
            <w:vAlign w:val="top"/>
            <w:tcBorders>
              <w:top w:val="single" w:color="000000" w:sz="10" w:space="0"/>
            </w:tcBorders>
          </w:tcPr>
          <w:p>
            <w:pPr>
              <w:ind w:left="288"/>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tc>
        <w:tc>
          <w:tcPr>
            <w:tcW w:w="662" w:type="dxa"/>
            <w:vAlign w:val="top"/>
            <w:tcBorders>
              <w:top w:val="single" w:color="000000" w:sz="10" w:space="0"/>
            </w:tcBorders>
          </w:tcPr>
          <w:p>
            <w:pPr>
              <w:ind w:left="258"/>
              <w:spacing w:before="174"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w:t>
            </w:r>
          </w:p>
        </w:tc>
        <w:tc>
          <w:tcPr>
            <w:tcW w:w="660" w:type="dxa"/>
            <w:vAlign w:val="top"/>
            <w:tcBorders>
              <w:top w:val="single" w:color="000000" w:sz="10" w:space="0"/>
            </w:tcBorders>
          </w:tcPr>
          <w:p>
            <w:pPr>
              <w:ind w:left="259"/>
              <w:spacing w:before="174"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w:t>
            </w:r>
          </w:p>
        </w:tc>
        <w:tc>
          <w:tcPr>
            <w:tcW w:w="663" w:type="dxa"/>
            <w:vAlign w:val="top"/>
            <w:tcBorders>
              <w:top w:val="single" w:color="000000" w:sz="10" w:space="0"/>
              <w:right w:val="nil"/>
            </w:tcBorders>
          </w:tcPr>
          <w:p>
            <w:pPr>
              <w:ind w:left="259"/>
              <w:spacing w:before="174"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w:t>
            </w:r>
          </w:p>
        </w:tc>
      </w:tr>
      <w:tr>
        <w:trPr>
          <w:trHeight w:val="238" w:hRule="atLeast"/>
        </w:trPr>
        <w:tc>
          <w:tcPr>
            <w:tcW w:w="914" w:type="dxa"/>
            <w:vAlign w:val="top"/>
            <w:tcBorders>
              <w:left w:val="nil"/>
            </w:tcBorders>
          </w:tcPr>
          <w:p>
            <w:pPr>
              <w:pStyle w:val="TableText"/>
              <w:ind w:left="289"/>
              <w:spacing w:before="30" w:line="203" w:lineRule="auto"/>
              <w:rPr>
                <w:sz w:val="18"/>
                <w:szCs w:val="18"/>
              </w:rPr>
            </w:pPr>
            <w:r>
              <w:rPr>
                <w:sz w:val="18"/>
                <w:szCs w:val="18"/>
                <w:spacing w:val="-2"/>
              </w:rPr>
              <w:t>春季</w:t>
            </w:r>
          </w:p>
        </w:tc>
        <w:tc>
          <w:tcPr>
            <w:tcW w:w="607" w:type="dxa"/>
            <w:vAlign w:val="top"/>
          </w:tcPr>
          <w:p>
            <w:pPr>
              <w:ind w:left="147"/>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w:t>
            </w:r>
          </w:p>
        </w:tc>
        <w:tc>
          <w:tcPr>
            <w:tcW w:w="661" w:type="dxa"/>
            <w:vAlign w:val="top"/>
          </w:tcPr>
          <w:p>
            <w:pPr>
              <w:ind w:left="174"/>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2.67</w:t>
            </w:r>
          </w:p>
        </w:tc>
        <w:tc>
          <w:tcPr>
            <w:tcW w:w="662" w:type="dxa"/>
            <w:vAlign w:val="top"/>
          </w:tcPr>
          <w:p>
            <w:pPr>
              <w:ind w:left="174"/>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2.47</w:t>
            </w:r>
          </w:p>
        </w:tc>
        <w:tc>
          <w:tcPr>
            <w:tcW w:w="720" w:type="dxa"/>
            <w:vAlign w:val="top"/>
          </w:tcPr>
          <w:p>
            <w:pPr>
              <w:ind w:left="203"/>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2.56</w:t>
            </w:r>
          </w:p>
        </w:tc>
        <w:tc>
          <w:tcPr>
            <w:tcW w:w="663" w:type="dxa"/>
            <w:vAlign w:val="top"/>
          </w:tcPr>
          <w:p>
            <w:pPr>
              <w:ind w:left="174"/>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2.79</w:t>
            </w:r>
          </w:p>
        </w:tc>
        <w:tc>
          <w:tcPr>
            <w:tcW w:w="660" w:type="dxa"/>
            <w:vAlign w:val="top"/>
          </w:tcPr>
          <w:p>
            <w:pPr>
              <w:ind w:left="171"/>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2.80</w:t>
            </w:r>
          </w:p>
        </w:tc>
        <w:tc>
          <w:tcPr>
            <w:tcW w:w="660" w:type="dxa"/>
            <w:vAlign w:val="top"/>
          </w:tcPr>
          <w:p>
            <w:pPr>
              <w:ind w:left="177"/>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3.09</w:t>
            </w:r>
          </w:p>
        </w:tc>
        <w:tc>
          <w:tcPr>
            <w:tcW w:w="663" w:type="dxa"/>
            <w:vAlign w:val="top"/>
          </w:tcPr>
          <w:p>
            <w:pPr>
              <w:ind w:left="177"/>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3.53</w:t>
            </w:r>
          </w:p>
        </w:tc>
        <w:tc>
          <w:tcPr>
            <w:tcW w:w="660" w:type="dxa"/>
            <w:vAlign w:val="top"/>
          </w:tcPr>
          <w:p>
            <w:pPr>
              <w:ind w:left="177"/>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3.57</w:t>
            </w:r>
          </w:p>
        </w:tc>
        <w:tc>
          <w:tcPr>
            <w:tcW w:w="662" w:type="dxa"/>
            <w:vAlign w:val="top"/>
          </w:tcPr>
          <w:p>
            <w:pPr>
              <w:ind w:left="173"/>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4.08</w:t>
            </w:r>
          </w:p>
        </w:tc>
        <w:tc>
          <w:tcPr>
            <w:tcW w:w="660" w:type="dxa"/>
            <w:vAlign w:val="top"/>
          </w:tcPr>
          <w:p>
            <w:pPr>
              <w:ind w:left="171"/>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4.87</w:t>
            </w:r>
          </w:p>
        </w:tc>
        <w:tc>
          <w:tcPr>
            <w:tcW w:w="663" w:type="dxa"/>
            <w:vAlign w:val="top"/>
            <w:tcBorders>
              <w:right w:val="nil"/>
            </w:tcBorders>
          </w:tcPr>
          <w:p>
            <w:pPr>
              <w:ind w:left="174"/>
              <w:spacing w:before="57"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4.66</w:t>
            </w:r>
          </w:p>
        </w:tc>
      </w:tr>
      <w:tr>
        <w:trPr>
          <w:trHeight w:val="235" w:hRule="atLeast"/>
        </w:trPr>
        <w:tc>
          <w:tcPr>
            <w:tcW w:w="914" w:type="dxa"/>
            <w:vAlign w:val="top"/>
            <w:tcBorders>
              <w:left w:val="nil"/>
            </w:tcBorders>
          </w:tcPr>
          <w:p>
            <w:pPr>
              <w:pStyle w:val="TableText"/>
              <w:ind w:left="290"/>
              <w:spacing w:before="31" w:line="198" w:lineRule="auto"/>
              <w:rPr>
                <w:sz w:val="18"/>
                <w:szCs w:val="18"/>
              </w:rPr>
            </w:pPr>
            <w:r>
              <w:rPr>
                <w:sz w:val="18"/>
                <w:szCs w:val="18"/>
                <w:spacing w:val="-2"/>
              </w:rPr>
              <w:t>夏季</w:t>
            </w:r>
          </w:p>
        </w:tc>
        <w:tc>
          <w:tcPr>
            <w:tcW w:w="607" w:type="dxa"/>
            <w:vAlign w:val="top"/>
          </w:tcPr>
          <w:p>
            <w:pPr>
              <w:ind w:left="147"/>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2.28</w:t>
            </w:r>
          </w:p>
        </w:tc>
        <w:tc>
          <w:tcPr>
            <w:tcW w:w="661" w:type="dxa"/>
            <w:vAlign w:val="top"/>
          </w:tcPr>
          <w:p>
            <w:pPr>
              <w:ind w:left="174"/>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2.49</w:t>
            </w:r>
          </w:p>
        </w:tc>
        <w:tc>
          <w:tcPr>
            <w:tcW w:w="662" w:type="dxa"/>
            <w:vAlign w:val="top"/>
          </w:tcPr>
          <w:p>
            <w:pPr>
              <w:ind w:left="174"/>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2.27</w:t>
            </w:r>
          </w:p>
        </w:tc>
        <w:tc>
          <w:tcPr>
            <w:tcW w:w="720" w:type="dxa"/>
            <w:vAlign w:val="top"/>
          </w:tcPr>
          <w:p>
            <w:pPr>
              <w:ind w:left="203"/>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w:t>
            </w:r>
          </w:p>
        </w:tc>
        <w:tc>
          <w:tcPr>
            <w:tcW w:w="663" w:type="dxa"/>
            <w:vAlign w:val="top"/>
          </w:tcPr>
          <w:p>
            <w:pPr>
              <w:ind w:left="174"/>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2.28</w:t>
            </w:r>
          </w:p>
        </w:tc>
        <w:tc>
          <w:tcPr>
            <w:tcW w:w="660" w:type="dxa"/>
            <w:vAlign w:val="top"/>
          </w:tcPr>
          <w:p>
            <w:pPr>
              <w:ind w:left="107"/>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2.26</w:t>
            </w:r>
          </w:p>
        </w:tc>
        <w:tc>
          <w:tcPr>
            <w:tcW w:w="660" w:type="dxa"/>
            <w:vAlign w:val="top"/>
          </w:tcPr>
          <w:p>
            <w:pPr>
              <w:ind w:left="174"/>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w:t>
            </w:r>
          </w:p>
        </w:tc>
        <w:tc>
          <w:tcPr>
            <w:tcW w:w="663" w:type="dxa"/>
            <w:vAlign w:val="top"/>
          </w:tcPr>
          <w:p>
            <w:pPr>
              <w:ind w:left="177"/>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3.00</w:t>
            </w:r>
          </w:p>
        </w:tc>
        <w:tc>
          <w:tcPr>
            <w:tcW w:w="660" w:type="dxa"/>
            <w:vAlign w:val="top"/>
          </w:tcPr>
          <w:p>
            <w:pPr>
              <w:ind w:left="174"/>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2.97</w:t>
            </w:r>
          </w:p>
        </w:tc>
        <w:tc>
          <w:tcPr>
            <w:tcW w:w="662" w:type="dxa"/>
            <w:vAlign w:val="top"/>
          </w:tcPr>
          <w:p>
            <w:pPr>
              <w:ind w:left="177"/>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3.18</w:t>
            </w:r>
          </w:p>
        </w:tc>
        <w:tc>
          <w:tcPr>
            <w:tcW w:w="660" w:type="dxa"/>
            <w:vAlign w:val="top"/>
          </w:tcPr>
          <w:p>
            <w:pPr>
              <w:ind w:left="175"/>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3.16</w:t>
            </w:r>
          </w:p>
        </w:tc>
        <w:tc>
          <w:tcPr>
            <w:tcW w:w="663" w:type="dxa"/>
            <w:vAlign w:val="top"/>
            <w:tcBorders>
              <w:right w:val="nil"/>
            </w:tcBorders>
          </w:tcPr>
          <w:p>
            <w:pPr>
              <w:ind w:left="178"/>
              <w:spacing w:before="56" w:line="19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3.42</w:t>
            </w:r>
          </w:p>
        </w:tc>
      </w:tr>
      <w:tr>
        <w:trPr>
          <w:trHeight w:val="238" w:hRule="atLeast"/>
        </w:trPr>
        <w:tc>
          <w:tcPr>
            <w:tcW w:w="914" w:type="dxa"/>
            <w:vAlign w:val="top"/>
            <w:tcBorders>
              <w:left w:val="nil"/>
            </w:tcBorders>
          </w:tcPr>
          <w:p>
            <w:pPr>
              <w:pStyle w:val="TableText"/>
              <w:ind w:left="291"/>
              <w:spacing w:before="33" w:line="199" w:lineRule="auto"/>
              <w:rPr>
                <w:sz w:val="18"/>
                <w:szCs w:val="18"/>
              </w:rPr>
            </w:pPr>
            <w:r>
              <w:rPr>
                <w:sz w:val="18"/>
                <w:szCs w:val="18"/>
                <w:spacing w:val="-3"/>
              </w:rPr>
              <w:t>秋季</w:t>
            </w:r>
          </w:p>
        </w:tc>
        <w:tc>
          <w:tcPr>
            <w:tcW w:w="607" w:type="dxa"/>
            <w:vAlign w:val="top"/>
          </w:tcPr>
          <w:p>
            <w:pPr>
              <w:ind w:left="147"/>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2.51</w:t>
            </w:r>
          </w:p>
        </w:tc>
        <w:tc>
          <w:tcPr>
            <w:tcW w:w="661" w:type="dxa"/>
            <w:vAlign w:val="top"/>
          </w:tcPr>
          <w:p>
            <w:pPr>
              <w:ind w:left="174"/>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2.65</w:t>
            </w:r>
          </w:p>
        </w:tc>
        <w:tc>
          <w:tcPr>
            <w:tcW w:w="662" w:type="dxa"/>
            <w:vAlign w:val="top"/>
          </w:tcPr>
          <w:p>
            <w:pPr>
              <w:ind w:left="174"/>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2.43</w:t>
            </w:r>
          </w:p>
        </w:tc>
        <w:tc>
          <w:tcPr>
            <w:tcW w:w="720" w:type="dxa"/>
            <w:vAlign w:val="top"/>
          </w:tcPr>
          <w:p>
            <w:pPr>
              <w:ind w:left="203"/>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2.35</w:t>
            </w:r>
          </w:p>
        </w:tc>
        <w:tc>
          <w:tcPr>
            <w:tcW w:w="663" w:type="dxa"/>
            <w:vAlign w:val="top"/>
          </w:tcPr>
          <w:p>
            <w:pPr>
              <w:ind w:left="174"/>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2.32</w:t>
            </w:r>
          </w:p>
        </w:tc>
        <w:tc>
          <w:tcPr>
            <w:tcW w:w="660" w:type="dxa"/>
            <w:vAlign w:val="top"/>
          </w:tcPr>
          <w:p>
            <w:pPr>
              <w:ind w:left="107"/>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2.24</w:t>
            </w:r>
          </w:p>
        </w:tc>
        <w:tc>
          <w:tcPr>
            <w:tcW w:w="660" w:type="dxa"/>
            <w:vAlign w:val="top"/>
          </w:tcPr>
          <w:p>
            <w:pPr>
              <w:ind w:left="174"/>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2.24</w:t>
            </w:r>
          </w:p>
        </w:tc>
        <w:tc>
          <w:tcPr>
            <w:tcW w:w="663" w:type="dxa"/>
            <w:vAlign w:val="top"/>
          </w:tcPr>
          <w:p>
            <w:pPr>
              <w:ind w:left="174"/>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2.53</w:t>
            </w:r>
          </w:p>
        </w:tc>
        <w:tc>
          <w:tcPr>
            <w:tcW w:w="660" w:type="dxa"/>
            <w:vAlign w:val="top"/>
          </w:tcPr>
          <w:p>
            <w:pPr>
              <w:ind w:left="174"/>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2.71</w:t>
            </w:r>
          </w:p>
        </w:tc>
        <w:tc>
          <w:tcPr>
            <w:tcW w:w="662" w:type="dxa"/>
            <w:vAlign w:val="top"/>
          </w:tcPr>
          <w:p>
            <w:pPr>
              <w:ind w:left="177"/>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3.28</w:t>
            </w:r>
          </w:p>
        </w:tc>
        <w:tc>
          <w:tcPr>
            <w:tcW w:w="660" w:type="dxa"/>
            <w:vAlign w:val="top"/>
          </w:tcPr>
          <w:p>
            <w:pPr>
              <w:ind w:left="171"/>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4.03</w:t>
            </w:r>
          </w:p>
        </w:tc>
        <w:tc>
          <w:tcPr>
            <w:tcW w:w="663" w:type="dxa"/>
            <w:vAlign w:val="top"/>
            <w:tcBorders>
              <w:right w:val="nil"/>
            </w:tcBorders>
          </w:tcPr>
          <w:p>
            <w:pPr>
              <w:ind w:left="178"/>
              <w:spacing w:before="6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3.93</w:t>
            </w:r>
          </w:p>
        </w:tc>
      </w:tr>
      <w:tr>
        <w:trPr>
          <w:trHeight w:val="276" w:hRule="atLeast"/>
        </w:trPr>
        <w:tc>
          <w:tcPr>
            <w:tcW w:w="914" w:type="dxa"/>
            <w:vAlign w:val="top"/>
            <w:tcBorders>
              <w:left w:val="nil"/>
            </w:tcBorders>
          </w:tcPr>
          <w:p>
            <w:pPr>
              <w:pStyle w:val="TableText"/>
              <w:ind w:left="294"/>
              <w:spacing w:before="55" w:line="216" w:lineRule="auto"/>
              <w:rPr>
                <w:sz w:val="18"/>
                <w:szCs w:val="18"/>
              </w:rPr>
            </w:pPr>
            <w:r>
              <w:rPr>
                <w:sz w:val="18"/>
                <w:szCs w:val="18"/>
                <w:spacing w:val="-3"/>
              </w:rPr>
              <w:t>冬季</w:t>
            </w:r>
          </w:p>
        </w:tc>
        <w:tc>
          <w:tcPr>
            <w:tcW w:w="607" w:type="dxa"/>
            <w:vAlign w:val="top"/>
          </w:tcPr>
          <w:p>
            <w:pPr>
              <w:ind w:left="147"/>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2.29</w:t>
            </w:r>
          </w:p>
        </w:tc>
        <w:tc>
          <w:tcPr>
            <w:tcW w:w="661" w:type="dxa"/>
            <w:vAlign w:val="top"/>
          </w:tcPr>
          <w:p>
            <w:pPr>
              <w:ind w:left="174"/>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w:t>
            </w:r>
          </w:p>
        </w:tc>
        <w:tc>
          <w:tcPr>
            <w:tcW w:w="662" w:type="dxa"/>
            <w:vAlign w:val="top"/>
          </w:tcPr>
          <w:p>
            <w:pPr>
              <w:ind w:left="174"/>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w:t>
            </w:r>
          </w:p>
        </w:tc>
        <w:tc>
          <w:tcPr>
            <w:tcW w:w="720" w:type="dxa"/>
            <w:vAlign w:val="top"/>
          </w:tcPr>
          <w:p>
            <w:pPr>
              <w:ind w:left="181"/>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w:t>
            </w:r>
          </w:p>
        </w:tc>
        <w:tc>
          <w:tcPr>
            <w:tcW w:w="663" w:type="dxa"/>
            <w:vAlign w:val="top"/>
          </w:tcPr>
          <w:p>
            <w:pPr>
              <w:ind w:left="174"/>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2.55</w:t>
            </w:r>
          </w:p>
        </w:tc>
        <w:tc>
          <w:tcPr>
            <w:tcW w:w="660" w:type="dxa"/>
            <w:vAlign w:val="top"/>
          </w:tcPr>
          <w:p>
            <w:pPr>
              <w:ind w:left="107"/>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2.37</w:t>
            </w:r>
          </w:p>
        </w:tc>
        <w:tc>
          <w:tcPr>
            <w:tcW w:w="660" w:type="dxa"/>
            <w:vAlign w:val="top"/>
          </w:tcPr>
          <w:p>
            <w:pPr>
              <w:ind w:left="174"/>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2.35</w:t>
            </w:r>
          </w:p>
        </w:tc>
        <w:tc>
          <w:tcPr>
            <w:tcW w:w="663" w:type="dxa"/>
            <w:vAlign w:val="top"/>
          </w:tcPr>
          <w:p>
            <w:pPr>
              <w:ind w:left="174"/>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2.44</w:t>
            </w:r>
          </w:p>
        </w:tc>
        <w:tc>
          <w:tcPr>
            <w:tcW w:w="660" w:type="dxa"/>
            <w:vAlign w:val="top"/>
          </w:tcPr>
          <w:p>
            <w:pPr>
              <w:ind w:left="174"/>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w:t>
            </w:r>
          </w:p>
        </w:tc>
        <w:tc>
          <w:tcPr>
            <w:tcW w:w="662" w:type="dxa"/>
            <w:vAlign w:val="top"/>
          </w:tcPr>
          <w:p>
            <w:pPr>
              <w:ind w:left="177"/>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3.05</w:t>
            </w:r>
          </w:p>
        </w:tc>
        <w:tc>
          <w:tcPr>
            <w:tcW w:w="660" w:type="dxa"/>
            <w:vAlign w:val="top"/>
          </w:tcPr>
          <w:p>
            <w:pPr>
              <w:ind w:left="175"/>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3.73</w:t>
            </w:r>
          </w:p>
        </w:tc>
        <w:tc>
          <w:tcPr>
            <w:tcW w:w="663" w:type="dxa"/>
            <w:vAlign w:val="top"/>
            <w:tcBorders>
              <w:right w:val="nil"/>
            </w:tcBorders>
          </w:tcPr>
          <w:p>
            <w:pPr>
              <w:ind w:left="178"/>
              <w:spacing w:before="82" w:line="21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3.78</w:t>
            </w:r>
          </w:p>
        </w:tc>
      </w:tr>
      <w:tr>
        <w:trPr>
          <w:trHeight w:val="466" w:hRule="atLeast"/>
        </w:trPr>
        <w:tc>
          <w:tcPr>
            <w:tcW w:w="914" w:type="dxa"/>
            <w:vAlign w:val="top"/>
            <w:tcBorders>
              <w:left w:val="nil"/>
              <w:tl2br w:val="single" w:color="000000" w:sz="2" w:space="0"/>
            </w:tcBorders>
          </w:tcPr>
          <w:p>
            <w:pPr>
              <w:pStyle w:val="TableText"/>
              <w:ind w:left="134" w:right="129" w:firstLine="295"/>
              <w:spacing w:before="38" w:line="214" w:lineRule="auto"/>
              <w:rPr>
                <w:sz w:val="18"/>
                <w:szCs w:val="18"/>
              </w:rPr>
            </w:pPr>
            <w:r>
              <w:rPr>
                <w:sz w:val="18"/>
                <w:szCs w:val="18"/>
                <w:spacing w:val="-4"/>
              </w:rPr>
              <w:t>季节</w:t>
            </w:r>
            <w:r>
              <w:rPr>
                <w:sz w:val="18"/>
                <w:szCs w:val="18"/>
                <w:spacing w:val="-3"/>
              </w:rPr>
              <w:t>小时</w:t>
            </w:r>
          </w:p>
        </w:tc>
        <w:tc>
          <w:tcPr>
            <w:tcW w:w="607" w:type="dxa"/>
            <w:vAlign w:val="top"/>
          </w:tcPr>
          <w:p>
            <w:pPr>
              <w:ind w:left="232"/>
              <w:spacing w:before="18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w:t>
            </w:r>
          </w:p>
        </w:tc>
        <w:tc>
          <w:tcPr>
            <w:tcW w:w="661" w:type="dxa"/>
            <w:vAlign w:val="top"/>
          </w:tcPr>
          <w:p>
            <w:pPr>
              <w:ind w:left="259"/>
              <w:spacing w:before="180"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w:t>
            </w:r>
          </w:p>
        </w:tc>
        <w:tc>
          <w:tcPr>
            <w:tcW w:w="662" w:type="dxa"/>
            <w:vAlign w:val="top"/>
          </w:tcPr>
          <w:p>
            <w:pPr>
              <w:ind w:left="258"/>
              <w:spacing w:before="18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w:t>
            </w:r>
          </w:p>
        </w:tc>
        <w:tc>
          <w:tcPr>
            <w:tcW w:w="720" w:type="dxa"/>
            <w:vAlign w:val="top"/>
          </w:tcPr>
          <w:p>
            <w:pPr>
              <w:ind w:left="287"/>
              <w:spacing w:before="18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w:t>
            </w:r>
          </w:p>
        </w:tc>
        <w:tc>
          <w:tcPr>
            <w:tcW w:w="663" w:type="dxa"/>
            <w:vAlign w:val="top"/>
          </w:tcPr>
          <w:p>
            <w:pPr>
              <w:ind w:left="259"/>
              <w:spacing w:before="18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w:t>
            </w:r>
          </w:p>
        </w:tc>
        <w:tc>
          <w:tcPr>
            <w:tcW w:w="660" w:type="dxa"/>
            <w:vAlign w:val="top"/>
          </w:tcPr>
          <w:p>
            <w:pPr>
              <w:ind w:left="256"/>
              <w:spacing w:before="18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w:t>
            </w:r>
          </w:p>
        </w:tc>
        <w:tc>
          <w:tcPr>
            <w:tcW w:w="660" w:type="dxa"/>
            <w:vAlign w:val="top"/>
          </w:tcPr>
          <w:p>
            <w:pPr>
              <w:ind w:left="258"/>
              <w:spacing w:before="18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19</w:t>
            </w:r>
          </w:p>
        </w:tc>
        <w:tc>
          <w:tcPr>
            <w:tcW w:w="663" w:type="dxa"/>
            <w:vAlign w:val="top"/>
          </w:tcPr>
          <w:p>
            <w:pPr>
              <w:ind w:left="241"/>
              <w:spacing w:before="18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660" w:type="dxa"/>
            <w:vAlign w:val="top"/>
          </w:tcPr>
          <w:p>
            <w:pPr>
              <w:ind w:left="241"/>
              <w:spacing w:before="180"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tc>
        <w:tc>
          <w:tcPr>
            <w:tcW w:w="662" w:type="dxa"/>
            <w:vAlign w:val="top"/>
          </w:tcPr>
          <w:p>
            <w:pPr>
              <w:ind w:left="241"/>
              <w:spacing w:before="180"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tc>
        <w:tc>
          <w:tcPr>
            <w:tcW w:w="660" w:type="dxa"/>
            <w:vAlign w:val="top"/>
          </w:tcPr>
          <w:p>
            <w:pPr>
              <w:ind w:left="239"/>
              <w:spacing w:before="18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tc>
        <w:tc>
          <w:tcPr>
            <w:tcW w:w="663" w:type="dxa"/>
            <w:vAlign w:val="top"/>
            <w:tcBorders>
              <w:right w:val="nil"/>
            </w:tcBorders>
          </w:tcPr>
          <w:p>
            <w:pPr>
              <w:ind w:left="242"/>
              <w:spacing w:before="180"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tc>
      </w:tr>
      <w:tr>
        <w:trPr>
          <w:trHeight w:val="238" w:hRule="atLeast"/>
        </w:trPr>
        <w:tc>
          <w:tcPr>
            <w:tcW w:w="914" w:type="dxa"/>
            <w:vAlign w:val="top"/>
            <w:tcBorders>
              <w:left w:val="nil"/>
            </w:tcBorders>
          </w:tcPr>
          <w:p>
            <w:pPr>
              <w:pStyle w:val="TableText"/>
              <w:ind w:left="289"/>
              <w:spacing w:before="41" w:line="191" w:lineRule="auto"/>
              <w:rPr>
                <w:sz w:val="18"/>
                <w:szCs w:val="18"/>
              </w:rPr>
            </w:pPr>
            <w:r>
              <w:rPr>
                <w:sz w:val="18"/>
                <w:szCs w:val="18"/>
                <w:spacing w:val="-2"/>
              </w:rPr>
              <w:t>春季</w:t>
            </w:r>
          </w:p>
        </w:tc>
        <w:tc>
          <w:tcPr>
            <w:tcW w:w="607" w:type="dxa"/>
            <w:vAlign w:val="top"/>
          </w:tcPr>
          <w:p>
            <w:pPr>
              <w:ind w:left="147"/>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4.81</w:t>
            </w:r>
          </w:p>
        </w:tc>
        <w:tc>
          <w:tcPr>
            <w:tcW w:w="661" w:type="dxa"/>
            <w:vAlign w:val="top"/>
          </w:tcPr>
          <w:p>
            <w:pPr>
              <w:ind w:left="179"/>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5.28</w:t>
            </w:r>
          </w:p>
        </w:tc>
        <w:tc>
          <w:tcPr>
            <w:tcW w:w="662" w:type="dxa"/>
            <w:vAlign w:val="top"/>
          </w:tcPr>
          <w:p>
            <w:pPr>
              <w:ind w:left="173"/>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4.83</w:t>
            </w:r>
          </w:p>
        </w:tc>
        <w:tc>
          <w:tcPr>
            <w:tcW w:w="720" w:type="dxa"/>
            <w:vAlign w:val="top"/>
          </w:tcPr>
          <w:p>
            <w:pPr>
              <w:ind w:left="202"/>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4.80</w:t>
            </w:r>
          </w:p>
        </w:tc>
        <w:tc>
          <w:tcPr>
            <w:tcW w:w="663" w:type="dxa"/>
            <w:vAlign w:val="top"/>
          </w:tcPr>
          <w:p>
            <w:pPr>
              <w:ind w:left="179"/>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5.08</w:t>
            </w:r>
          </w:p>
        </w:tc>
        <w:tc>
          <w:tcPr>
            <w:tcW w:w="660" w:type="dxa"/>
            <w:vAlign w:val="top"/>
          </w:tcPr>
          <w:p>
            <w:pPr>
              <w:ind w:left="106"/>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4.15</w:t>
            </w:r>
          </w:p>
        </w:tc>
        <w:tc>
          <w:tcPr>
            <w:tcW w:w="660" w:type="dxa"/>
            <w:vAlign w:val="top"/>
          </w:tcPr>
          <w:p>
            <w:pPr>
              <w:ind w:left="177"/>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3.50</w:t>
            </w:r>
          </w:p>
        </w:tc>
        <w:tc>
          <w:tcPr>
            <w:tcW w:w="663" w:type="dxa"/>
            <w:vAlign w:val="top"/>
          </w:tcPr>
          <w:p>
            <w:pPr>
              <w:ind w:left="177"/>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3.24</w:t>
            </w:r>
          </w:p>
        </w:tc>
        <w:tc>
          <w:tcPr>
            <w:tcW w:w="660" w:type="dxa"/>
            <w:vAlign w:val="top"/>
          </w:tcPr>
          <w:p>
            <w:pPr>
              <w:ind w:left="174"/>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2.82</w:t>
            </w:r>
          </w:p>
        </w:tc>
        <w:tc>
          <w:tcPr>
            <w:tcW w:w="662" w:type="dxa"/>
            <w:vAlign w:val="top"/>
          </w:tcPr>
          <w:p>
            <w:pPr>
              <w:ind w:left="174"/>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2.72</w:t>
            </w:r>
          </w:p>
        </w:tc>
        <w:tc>
          <w:tcPr>
            <w:tcW w:w="660" w:type="dxa"/>
            <w:vAlign w:val="top"/>
          </w:tcPr>
          <w:p>
            <w:pPr>
              <w:ind w:left="175"/>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3.07</w:t>
            </w:r>
          </w:p>
        </w:tc>
        <w:tc>
          <w:tcPr>
            <w:tcW w:w="663" w:type="dxa"/>
            <w:vAlign w:val="top"/>
            <w:tcBorders>
              <w:right w:val="nil"/>
            </w:tcBorders>
          </w:tcPr>
          <w:p>
            <w:pPr>
              <w:ind w:left="175"/>
              <w:spacing w:before="69" w:line="18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2.69</w:t>
            </w:r>
          </w:p>
        </w:tc>
      </w:tr>
      <w:tr>
        <w:trPr>
          <w:trHeight w:val="235" w:hRule="atLeast"/>
        </w:trPr>
        <w:tc>
          <w:tcPr>
            <w:tcW w:w="914" w:type="dxa"/>
            <w:vAlign w:val="top"/>
            <w:tcBorders>
              <w:left w:val="nil"/>
            </w:tcBorders>
          </w:tcPr>
          <w:p>
            <w:pPr>
              <w:pStyle w:val="TableText"/>
              <w:ind w:left="290"/>
              <w:spacing w:before="43" w:line="186" w:lineRule="auto"/>
              <w:rPr>
                <w:sz w:val="18"/>
                <w:szCs w:val="18"/>
              </w:rPr>
            </w:pPr>
            <w:r>
              <w:rPr>
                <w:sz w:val="18"/>
                <w:szCs w:val="18"/>
                <w:spacing w:val="-2"/>
              </w:rPr>
              <w:t>夏季</w:t>
            </w:r>
          </w:p>
        </w:tc>
        <w:tc>
          <w:tcPr>
            <w:tcW w:w="607" w:type="dxa"/>
            <w:vAlign w:val="top"/>
          </w:tcPr>
          <w:p>
            <w:pPr>
              <w:ind w:left="151"/>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3.58</w:t>
            </w:r>
          </w:p>
        </w:tc>
        <w:tc>
          <w:tcPr>
            <w:tcW w:w="661" w:type="dxa"/>
            <w:vAlign w:val="top"/>
          </w:tcPr>
          <w:p>
            <w:pPr>
              <w:ind w:left="173"/>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4.02</w:t>
            </w:r>
          </w:p>
        </w:tc>
        <w:tc>
          <w:tcPr>
            <w:tcW w:w="662" w:type="dxa"/>
            <w:vAlign w:val="top"/>
          </w:tcPr>
          <w:p>
            <w:pPr>
              <w:ind w:left="177"/>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3.65</w:t>
            </w:r>
          </w:p>
        </w:tc>
        <w:tc>
          <w:tcPr>
            <w:tcW w:w="720" w:type="dxa"/>
            <w:vAlign w:val="top"/>
          </w:tcPr>
          <w:p>
            <w:pPr>
              <w:ind w:left="206"/>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3.62</w:t>
            </w:r>
          </w:p>
        </w:tc>
        <w:tc>
          <w:tcPr>
            <w:tcW w:w="663" w:type="dxa"/>
            <w:vAlign w:val="top"/>
          </w:tcPr>
          <w:p>
            <w:pPr>
              <w:ind w:left="178"/>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3.96</w:t>
            </w:r>
          </w:p>
        </w:tc>
        <w:tc>
          <w:tcPr>
            <w:tcW w:w="660" w:type="dxa"/>
            <w:vAlign w:val="top"/>
          </w:tcPr>
          <w:p>
            <w:pPr>
              <w:ind w:left="110"/>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3.28</w:t>
            </w:r>
          </w:p>
        </w:tc>
        <w:tc>
          <w:tcPr>
            <w:tcW w:w="660" w:type="dxa"/>
            <w:vAlign w:val="top"/>
          </w:tcPr>
          <w:p>
            <w:pPr>
              <w:ind w:left="177"/>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3.02</w:t>
            </w:r>
          </w:p>
        </w:tc>
        <w:tc>
          <w:tcPr>
            <w:tcW w:w="663" w:type="dxa"/>
            <w:vAlign w:val="top"/>
          </w:tcPr>
          <w:p>
            <w:pPr>
              <w:ind w:left="177"/>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3.26</w:t>
            </w:r>
          </w:p>
        </w:tc>
        <w:tc>
          <w:tcPr>
            <w:tcW w:w="660" w:type="dxa"/>
            <w:vAlign w:val="top"/>
          </w:tcPr>
          <w:p>
            <w:pPr>
              <w:ind w:left="174"/>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2.83</w:t>
            </w:r>
          </w:p>
        </w:tc>
        <w:tc>
          <w:tcPr>
            <w:tcW w:w="662" w:type="dxa"/>
            <w:vAlign w:val="top"/>
          </w:tcPr>
          <w:p>
            <w:pPr>
              <w:ind w:left="174"/>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2.63</w:t>
            </w:r>
          </w:p>
        </w:tc>
        <w:tc>
          <w:tcPr>
            <w:tcW w:w="660" w:type="dxa"/>
            <w:vAlign w:val="top"/>
          </w:tcPr>
          <w:p>
            <w:pPr>
              <w:ind w:left="172"/>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2.77</w:t>
            </w:r>
          </w:p>
        </w:tc>
        <w:tc>
          <w:tcPr>
            <w:tcW w:w="663" w:type="dxa"/>
            <w:vAlign w:val="top"/>
            <w:tcBorders>
              <w:right w:val="nil"/>
            </w:tcBorders>
          </w:tcPr>
          <w:p>
            <w:pPr>
              <w:ind w:left="175"/>
              <w:spacing w:before="68" w:line="18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2.44</w:t>
            </w:r>
          </w:p>
        </w:tc>
      </w:tr>
      <w:tr>
        <w:trPr>
          <w:trHeight w:val="238" w:hRule="atLeast"/>
        </w:trPr>
        <w:tc>
          <w:tcPr>
            <w:tcW w:w="914" w:type="dxa"/>
            <w:vAlign w:val="top"/>
            <w:tcBorders>
              <w:left w:val="nil"/>
            </w:tcBorders>
          </w:tcPr>
          <w:p>
            <w:pPr>
              <w:pStyle w:val="TableText"/>
              <w:ind w:left="291"/>
              <w:spacing w:before="46" w:line="186" w:lineRule="auto"/>
              <w:rPr>
                <w:sz w:val="18"/>
                <w:szCs w:val="18"/>
              </w:rPr>
            </w:pPr>
            <w:r>
              <w:rPr>
                <w:sz w:val="18"/>
                <w:szCs w:val="18"/>
                <w:spacing w:val="-3"/>
              </w:rPr>
              <w:t>秋季</w:t>
            </w:r>
          </w:p>
        </w:tc>
        <w:tc>
          <w:tcPr>
            <w:tcW w:w="607" w:type="dxa"/>
            <w:vAlign w:val="top"/>
          </w:tcPr>
          <w:p>
            <w:pPr>
              <w:ind w:left="149"/>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4.11</w:t>
            </w:r>
          </w:p>
        </w:tc>
        <w:tc>
          <w:tcPr>
            <w:tcW w:w="661" w:type="dxa"/>
            <w:vAlign w:val="top"/>
          </w:tcPr>
          <w:p>
            <w:pPr>
              <w:ind w:left="173"/>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4.52</w:t>
            </w:r>
          </w:p>
        </w:tc>
        <w:tc>
          <w:tcPr>
            <w:tcW w:w="662" w:type="dxa"/>
            <w:vAlign w:val="top"/>
          </w:tcPr>
          <w:p>
            <w:pPr>
              <w:ind w:left="177"/>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3.95</w:t>
            </w:r>
          </w:p>
        </w:tc>
        <w:tc>
          <w:tcPr>
            <w:tcW w:w="720" w:type="dxa"/>
            <w:vAlign w:val="top"/>
          </w:tcPr>
          <w:p>
            <w:pPr>
              <w:ind w:left="206"/>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3.51</w:t>
            </w:r>
          </w:p>
        </w:tc>
        <w:tc>
          <w:tcPr>
            <w:tcW w:w="663" w:type="dxa"/>
            <w:vAlign w:val="top"/>
          </w:tcPr>
          <w:p>
            <w:pPr>
              <w:ind w:left="178"/>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3.34</w:t>
            </w:r>
          </w:p>
        </w:tc>
        <w:tc>
          <w:tcPr>
            <w:tcW w:w="660" w:type="dxa"/>
            <w:vAlign w:val="top"/>
          </w:tcPr>
          <w:p>
            <w:pPr>
              <w:ind w:left="107"/>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2.84</w:t>
            </w:r>
          </w:p>
        </w:tc>
        <w:tc>
          <w:tcPr>
            <w:tcW w:w="660" w:type="dxa"/>
            <w:vAlign w:val="top"/>
          </w:tcPr>
          <w:p>
            <w:pPr>
              <w:ind w:left="174"/>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2.59</w:t>
            </w:r>
          </w:p>
        </w:tc>
        <w:tc>
          <w:tcPr>
            <w:tcW w:w="663" w:type="dxa"/>
            <w:vAlign w:val="top"/>
          </w:tcPr>
          <w:p>
            <w:pPr>
              <w:ind w:left="174"/>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2.81</w:t>
            </w:r>
          </w:p>
        </w:tc>
        <w:tc>
          <w:tcPr>
            <w:tcW w:w="660" w:type="dxa"/>
            <w:vAlign w:val="top"/>
          </w:tcPr>
          <w:p>
            <w:pPr>
              <w:ind w:left="174"/>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2.56</w:t>
            </w:r>
          </w:p>
        </w:tc>
        <w:tc>
          <w:tcPr>
            <w:tcW w:w="662" w:type="dxa"/>
            <w:vAlign w:val="top"/>
          </w:tcPr>
          <w:p>
            <w:pPr>
              <w:ind w:left="174"/>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2.58</w:t>
            </w:r>
          </w:p>
        </w:tc>
        <w:tc>
          <w:tcPr>
            <w:tcW w:w="660" w:type="dxa"/>
            <w:vAlign w:val="top"/>
          </w:tcPr>
          <w:p>
            <w:pPr>
              <w:ind w:left="172"/>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2.86</w:t>
            </w:r>
          </w:p>
        </w:tc>
        <w:tc>
          <w:tcPr>
            <w:tcW w:w="663" w:type="dxa"/>
            <w:vAlign w:val="top"/>
            <w:tcBorders>
              <w:right w:val="nil"/>
            </w:tcBorders>
          </w:tcPr>
          <w:p>
            <w:pPr>
              <w:ind w:left="175"/>
              <w:spacing w:before="73" w:line="17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2.60</w:t>
            </w:r>
          </w:p>
        </w:tc>
      </w:tr>
      <w:tr>
        <w:trPr>
          <w:trHeight w:val="259" w:hRule="atLeast"/>
        </w:trPr>
        <w:tc>
          <w:tcPr>
            <w:tcW w:w="914" w:type="dxa"/>
            <w:vAlign w:val="top"/>
            <w:tcBorders>
              <w:bottom w:val="single" w:color="000000" w:sz="10" w:space="0"/>
              <w:left w:val="nil"/>
            </w:tcBorders>
          </w:tcPr>
          <w:p>
            <w:pPr>
              <w:pStyle w:val="TableText"/>
              <w:ind w:left="294"/>
              <w:spacing w:before="48" w:line="206" w:lineRule="auto"/>
              <w:rPr>
                <w:sz w:val="18"/>
                <w:szCs w:val="18"/>
              </w:rPr>
            </w:pPr>
            <w:r>
              <w:rPr>
                <w:sz w:val="18"/>
                <w:szCs w:val="18"/>
                <w:spacing w:val="-3"/>
              </w:rPr>
              <w:t>冬季</w:t>
            </w:r>
          </w:p>
        </w:tc>
        <w:tc>
          <w:tcPr>
            <w:tcW w:w="607" w:type="dxa"/>
            <w:vAlign w:val="top"/>
            <w:tcBorders>
              <w:bottom w:val="single" w:color="000000" w:sz="10" w:space="0"/>
            </w:tcBorders>
          </w:tcPr>
          <w:p>
            <w:pPr>
              <w:ind w:left="147"/>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4.06</w:t>
            </w:r>
          </w:p>
        </w:tc>
        <w:tc>
          <w:tcPr>
            <w:tcW w:w="661" w:type="dxa"/>
            <w:vAlign w:val="top"/>
            <w:tcBorders>
              <w:bottom w:val="single" w:color="000000" w:sz="10" w:space="0"/>
            </w:tcBorders>
          </w:tcPr>
          <w:p>
            <w:pPr>
              <w:ind w:left="173"/>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4.54</w:t>
            </w:r>
          </w:p>
        </w:tc>
        <w:tc>
          <w:tcPr>
            <w:tcW w:w="662" w:type="dxa"/>
            <w:vAlign w:val="top"/>
            <w:tcBorders>
              <w:bottom w:val="single" w:color="000000" w:sz="10" w:space="0"/>
            </w:tcBorders>
          </w:tcPr>
          <w:p>
            <w:pPr>
              <w:ind w:left="177"/>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3.99</w:t>
            </w:r>
          </w:p>
        </w:tc>
        <w:tc>
          <w:tcPr>
            <w:tcW w:w="720" w:type="dxa"/>
            <w:vAlign w:val="top"/>
            <w:tcBorders>
              <w:bottom w:val="single" w:color="000000" w:sz="10" w:space="0"/>
            </w:tcBorders>
          </w:tcPr>
          <w:p>
            <w:pPr>
              <w:ind w:left="206"/>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3.69</w:t>
            </w:r>
          </w:p>
        </w:tc>
        <w:tc>
          <w:tcPr>
            <w:tcW w:w="663" w:type="dxa"/>
            <w:vAlign w:val="top"/>
            <w:tcBorders>
              <w:bottom w:val="single" w:color="000000" w:sz="10" w:space="0"/>
            </w:tcBorders>
          </w:tcPr>
          <w:p>
            <w:pPr>
              <w:ind w:left="178"/>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3.54</w:t>
            </w:r>
          </w:p>
        </w:tc>
        <w:tc>
          <w:tcPr>
            <w:tcW w:w="660" w:type="dxa"/>
            <w:vAlign w:val="top"/>
            <w:tcBorders>
              <w:bottom w:val="single" w:color="000000" w:sz="10" w:space="0"/>
            </w:tcBorders>
          </w:tcPr>
          <w:p>
            <w:pPr>
              <w:ind w:left="107"/>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2.91</w:t>
            </w:r>
          </w:p>
        </w:tc>
        <w:tc>
          <w:tcPr>
            <w:tcW w:w="660" w:type="dxa"/>
            <w:vAlign w:val="top"/>
            <w:tcBorders>
              <w:bottom w:val="single" w:color="000000" w:sz="10" w:space="0"/>
            </w:tcBorders>
          </w:tcPr>
          <w:p>
            <w:pPr>
              <w:ind w:left="174"/>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2.94</w:t>
            </w:r>
          </w:p>
        </w:tc>
        <w:tc>
          <w:tcPr>
            <w:tcW w:w="663" w:type="dxa"/>
            <w:vAlign w:val="top"/>
            <w:tcBorders>
              <w:bottom w:val="single" w:color="000000" w:sz="10" w:space="0"/>
            </w:tcBorders>
          </w:tcPr>
          <w:p>
            <w:pPr>
              <w:ind w:left="174"/>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2.57</w:t>
            </w:r>
          </w:p>
        </w:tc>
        <w:tc>
          <w:tcPr>
            <w:tcW w:w="660" w:type="dxa"/>
            <w:vAlign w:val="top"/>
            <w:tcBorders>
              <w:bottom w:val="single" w:color="000000" w:sz="10" w:space="0"/>
            </w:tcBorders>
          </w:tcPr>
          <w:p>
            <w:pPr>
              <w:ind w:left="174"/>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2.21</w:t>
            </w:r>
          </w:p>
        </w:tc>
        <w:tc>
          <w:tcPr>
            <w:tcW w:w="662" w:type="dxa"/>
            <w:vAlign w:val="top"/>
            <w:tcBorders>
              <w:bottom w:val="single" w:color="000000" w:sz="10" w:space="0"/>
            </w:tcBorders>
          </w:tcPr>
          <w:p>
            <w:pPr>
              <w:ind w:left="174"/>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w:t>
            </w:r>
          </w:p>
        </w:tc>
        <w:tc>
          <w:tcPr>
            <w:tcW w:w="660" w:type="dxa"/>
            <w:vAlign w:val="top"/>
            <w:tcBorders>
              <w:bottom w:val="single" w:color="000000" w:sz="10" w:space="0"/>
            </w:tcBorders>
          </w:tcPr>
          <w:p>
            <w:pPr>
              <w:ind w:left="172"/>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2.25</w:t>
            </w:r>
          </w:p>
        </w:tc>
        <w:tc>
          <w:tcPr>
            <w:tcW w:w="663" w:type="dxa"/>
            <w:vAlign w:val="top"/>
            <w:tcBorders>
              <w:bottom w:val="single" w:color="000000" w:sz="10" w:space="0"/>
              <w:right w:val="nil"/>
            </w:tcBorders>
          </w:tcPr>
          <w:p>
            <w:pPr>
              <w:ind w:left="175"/>
              <w:spacing w:before="73" w:line="20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2.27</w:t>
            </w:r>
          </w:p>
        </w:tc>
      </w:tr>
    </w:tbl>
    <w:p>
      <w:pPr>
        <w:pStyle w:val="BodyText"/>
        <w:spacing w:line="412" w:lineRule="auto"/>
        <w:rPr/>
      </w:pPr>
      <w:r/>
    </w:p>
    <w:p>
      <w:pPr>
        <w:ind w:firstLine="602"/>
        <w:spacing w:line="3857" w:lineRule="exact"/>
        <w:rPr/>
      </w:pPr>
      <w:r>
        <w:rPr>
          <w:position w:val="-77"/>
        </w:rPr>
        <w:drawing>
          <wp:inline distT="0" distB="0" distL="0" distR="0">
            <wp:extent cx="5394959" cy="2449195"/>
            <wp:effectExtent l="0" t="0" r="0" b="0"/>
            <wp:docPr id="22" name="IM 22"/>
            <wp:cNvGraphicFramePr/>
            <a:graphic>
              <a:graphicData uri="http://schemas.openxmlformats.org/drawingml/2006/picture">
                <pic:pic>
                  <pic:nvPicPr>
                    <pic:cNvPr id="22" name="IM 22"/>
                    <pic:cNvPicPr/>
                  </pic:nvPicPr>
                  <pic:blipFill>
                    <a:blip r:embed="rId149"/>
                    <a:stretch>
                      <a:fillRect/>
                    </a:stretch>
                  </pic:blipFill>
                  <pic:spPr>
                    <a:xfrm rot="0">
                      <a:off x="0" y="0"/>
                      <a:ext cx="5394959" cy="2449195"/>
                    </a:xfrm>
                    <a:prstGeom prst="rect">
                      <a:avLst/>
                    </a:prstGeom>
                  </pic:spPr>
                </pic:pic>
              </a:graphicData>
            </a:graphic>
          </wp:inline>
        </w:drawing>
      </w:r>
    </w:p>
    <w:p>
      <w:pPr>
        <w:ind w:left="2507"/>
        <w:spacing w:before="174" w:line="233" w:lineRule="auto"/>
        <w:rPr>
          <w:rFonts w:ascii="SimSun" w:hAnsi="SimSun" w:eastAsia="SimSun" w:cs="SimSun"/>
          <w:sz w:val="24"/>
          <w:szCs w:val="24"/>
        </w:rPr>
      </w:pPr>
      <w:r>
        <w:rPr>
          <w:rFonts w:ascii="SimSun" w:hAnsi="SimSun" w:eastAsia="SimSun" w:cs="SimSun"/>
          <w:sz w:val="24"/>
          <w:szCs w:val="24"/>
          <w:spacing w:val="-2"/>
        </w:rPr>
        <w:t>图</w:t>
      </w:r>
      <w:r>
        <w:rPr>
          <w:rFonts w:ascii="Times New Roman" w:hAnsi="Times New Roman" w:eastAsia="Times New Roman" w:cs="Times New Roman"/>
          <w:sz w:val="24"/>
          <w:szCs w:val="24"/>
          <w:spacing w:val="-2"/>
        </w:rPr>
        <w:t>5-4    </w:t>
      </w:r>
      <w:r>
        <w:rPr>
          <w:rFonts w:ascii="SimSun" w:hAnsi="SimSun" w:eastAsia="SimSun" w:cs="SimSun"/>
          <w:sz w:val="24"/>
          <w:szCs w:val="24"/>
          <w:spacing w:val="-2"/>
        </w:rPr>
        <w:t>各季小时平均风速变化曲线图</w:t>
      </w:r>
    </w:p>
    <w:p>
      <w:pPr>
        <w:pStyle w:val="BodyText"/>
        <w:spacing w:line="342" w:lineRule="auto"/>
        <w:rPr/>
      </w:pPr>
      <w:r/>
    </w:p>
    <w:p>
      <w:pPr>
        <w:ind w:left="299" w:right="345" w:firstLine="358"/>
        <w:spacing w:before="78" w:line="356" w:lineRule="auto"/>
        <w:jc w:val="both"/>
        <w:rPr>
          <w:rFonts w:ascii="SimSun" w:hAnsi="SimSun" w:eastAsia="SimSun" w:cs="SimSun"/>
          <w:sz w:val="24"/>
          <w:szCs w:val="24"/>
        </w:rPr>
      </w:pPr>
      <w:r>
        <w:rPr>
          <w:rFonts w:ascii="SimSun" w:hAnsi="SimSun" w:eastAsia="SimSun" w:cs="SimSun"/>
          <w:sz w:val="24"/>
          <w:szCs w:val="24"/>
          <w:spacing w:val="3"/>
        </w:rPr>
        <w:t>通过对以上图表分析可知：从全年各季节风速来看，春季风速较大，有利于</w:t>
      </w:r>
      <w:r>
        <w:rPr>
          <w:rFonts w:ascii="SimSun" w:hAnsi="SimSun" w:eastAsia="SimSun" w:cs="SimSun"/>
          <w:sz w:val="24"/>
          <w:szCs w:val="24"/>
          <w:spacing w:val="-7"/>
        </w:rPr>
        <w:t>污染物扩散。从每日小时平均风速来看， </w:t>
      </w:r>
      <w:r>
        <w:rPr>
          <w:rFonts w:ascii="Times New Roman" w:hAnsi="Times New Roman" w:eastAsia="Times New Roman" w:cs="Times New Roman"/>
          <w:sz w:val="24"/>
          <w:szCs w:val="24"/>
          <w:spacing w:val="-7"/>
        </w:rPr>
        <w:t>13~14</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7"/>
        </w:rPr>
        <w:t>时平均风速较大，夜间</w:t>
      </w:r>
      <w:r>
        <w:rPr>
          <w:rFonts w:ascii="SimSun" w:hAnsi="SimSun" w:eastAsia="SimSun" w:cs="SimSun"/>
          <w:sz w:val="24"/>
          <w:szCs w:val="24"/>
          <w:spacing w:val="-8"/>
        </w:rPr>
        <w:t>风速较小，</w:t>
      </w:r>
      <w:r>
        <w:rPr>
          <w:rFonts w:ascii="SimSun" w:hAnsi="SimSun" w:eastAsia="SimSun" w:cs="SimSun"/>
          <w:sz w:val="24"/>
          <w:szCs w:val="24"/>
          <w:spacing w:val="-3"/>
        </w:rPr>
        <w:t>可以看出白天对污染物扩散较为有利。</w:t>
      </w:r>
    </w:p>
    <w:p>
      <w:pPr>
        <w:ind w:left="298" w:right="418" w:firstLine="358"/>
        <w:spacing w:before="12" w:line="360" w:lineRule="auto"/>
        <w:jc w:val="both"/>
        <w:rPr>
          <w:rFonts w:ascii="SimSun" w:hAnsi="SimSun" w:eastAsia="SimSun" w:cs="SimSun"/>
          <w:sz w:val="24"/>
          <w:szCs w:val="24"/>
        </w:rPr>
      </w:pPr>
      <w:r>
        <w:rPr>
          <w:rFonts w:ascii="SimSun" w:hAnsi="SimSun" w:eastAsia="SimSun" w:cs="SimSun"/>
          <w:sz w:val="24"/>
          <w:szCs w:val="24"/>
          <w:spacing w:val="-4"/>
        </w:rPr>
        <w:t>全年</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4"/>
        </w:rPr>
        <w:t>S</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4"/>
        </w:rPr>
        <w:t>风向频率最大，为 </w:t>
      </w:r>
      <w:r>
        <w:rPr>
          <w:rFonts w:ascii="Times New Roman" w:hAnsi="Times New Roman" w:eastAsia="Times New Roman" w:cs="Times New Roman"/>
          <w:sz w:val="24"/>
          <w:szCs w:val="24"/>
          <w:spacing w:val="-4"/>
        </w:rPr>
        <w:t>13.03%</w:t>
      </w:r>
      <w:r>
        <w:rPr>
          <w:rFonts w:ascii="SimSun" w:hAnsi="SimSun" w:eastAsia="SimSun" w:cs="SimSun"/>
          <w:sz w:val="24"/>
          <w:szCs w:val="24"/>
          <w:spacing w:val="-4"/>
        </w:rPr>
        <w:t>，其次是 </w:t>
      </w:r>
      <w:r>
        <w:rPr>
          <w:rFonts w:ascii="Times New Roman" w:hAnsi="Times New Roman" w:eastAsia="Times New Roman" w:cs="Times New Roman"/>
          <w:sz w:val="24"/>
          <w:szCs w:val="24"/>
          <w:spacing w:val="-4"/>
        </w:rPr>
        <w:t>SSE  </w:t>
      </w:r>
      <w:r>
        <w:rPr>
          <w:rFonts w:ascii="SimSun" w:hAnsi="SimSun" w:eastAsia="SimSun" w:cs="SimSun"/>
          <w:sz w:val="24"/>
          <w:szCs w:val="24"/>
          <w:spacing w:val="-4"/>
        </w:rPr>
        <w:t>风，出</w:t>
      </w:r>
      <w:r>
        <w:rPr>
          <w:rFonts w:ascii="SimSun" w:hAnsi="SimSun" w:eastAsia="SimSun" w:cs="SimSun"/>
          <w:sz w:val="24"/>
          <w:szCs w:val="24"/>
          <w:spacing w:val="-5"/>
        </w:rPr>
        <w:t>现频率为 </w:t>
      </w:r>
      <w:r>
        <w:rPr>
          <w:rFonts w:ascii="Times New Roman" w:hAnsi="Times New Roman" w:eastAsia="Times New Roman" w:cs="Times New Roman"/>
          <w:sz w:val="24"/>
          <w:szCs w:val="24"/>
          <w:spacing w:val="-5"/>
        </w:rPr>
        <w:t>11.66%</w:t>
      </w:r>
      <w:r>
        <w:rPr>
          <w:rFonts w:ascii="SimSun" w:hAnsi="SimSun" w:eastAsia="SimSun" w:cs="SimSun"/>
          <w:sz w:val="24"/>
          <w:szCs w:val="24"/>
          <w:spacing w:val="-5"/>
        </w:rPr>
        <w:t>，其</w:t>
      </w:r>
      <w:r>
        <w:rPr>
          <w:rFonts w:ascii="SimSun" w:hAnsi="SimSun" w:eastAsia="SimSun" w:cs="SimSun"/>
          <w:sz w:val="24"/>
          <w:szCs w:val="24"/>
          <w:spacing w:val="-1"/>
        </w:rPr>
        <w:t>它风向的出现频率在 </w:t>
      </w:r>
      <w:r>
        <w:rPr>
          <w:rFonts w:ascii="Times New Roman" w:hAnsi="Times New Roman" w:eastAsia="Times New Roman" w:cs="Times New Roman"/>
          <w:sz w:val="24"/>
          <w:szCs w:val="24"/>
          <w:spacing w:val="-1"/>
        </w:rPr>
        <w:t>1.31%-9.37%</w:t>
      </w:r>
      <w:r>
        <w:rPr>
          <w:rFonts w:ascii="SimSun" w:hAnsi="SimSun" w:eastAsia="SimSun" w:cs="SimSun"/>
          <w:sz w:val="24"/>
          <w:szCs w:val="24"/>
          <w:spacing w:val="-1"/>
        </w:rPr>
        <w:t>之间，静风频率为 </w:t>
      </w:r>
      <w:r>
        <w:rPr>
          <w:rFonts w:ascii="Times New Roman" w:hAnsi="Times New Roman" w:eastAsia="Times New Roman" w:cs="Times New Roman"/>
          <w:sz w:val="24"/>
          <w:szCs w:val="24"/>
          <w:spacing w:val="-1"/>
        </w:rPr>
        <w:t>1.30%</w:t>
      </w:r>
      <w:r>
        <w:rPr>
          <w:rFonts w:ascii="SimSun" w:hAnsi="SimSun" w:eastAsia="SimSun" w:cs="SimSun"/>
          <w:sz w:val="24"/>
          <w:szCs w:val="24"/>
          <w:spacing w:val="-1"/>
        </w:rPr>
        <w:t>。全年及四季风向玫</w:t>
      </w:r>
      <w:r>
        <w:rPr>
          <w:rFonts w:ascii="SimSun" w:hAnsi="SimSun" w:eastAsia="SimSun" w:cs="SimSun"/>
          <w:sz w:val="24"/>
          <w:szCs w:val="24"/>
          <w:spacing w:val="-3"/>
        </w:rPr>
        <w:t>瑰图见图</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5-5</w:t>
      </w:r>
      <w:r>
        <w:rPr>
          <w:rFonts w:ascii="SimSun" w:hAnsi="SimSun" w:eastAsia="SimSun" w:cs="SimSun"/>
          <w:sz w:val="24"/>
          <w:szCs w:val="24"/>
          <w:spacing w:val="-3"/>
        </w:rPr>
        <w:t>。</w:t>
      </w:r>
    </w:p>
    <w:p>
      <w:pPr>
        <w:spacing w:line="360" w:lineRule="auto"/>
        <w:sectPr>
          <w:headerReference w:type="default" r:id="rId147"/>
          <w:footerReference w:type="default" r:id="rId148"/>
          <w:pgSz w:w="11907" w:h="16839"/>
          <w:pgMar w:top="1442" w:right="1288" w:bottom="1235" w:left="1519" w:header="1064" w:footer="992" w:gutter="0"/>
        </w:sectPr>
        <w:rPr>
          <w:rFonts w:ascii="SimSun" w:hAnsi="SimSun" w:eastAsia="SimSun" w:cs="SimSun"/>
          <w:sz w:val="24"/>
          <w:szCs w:val="24"/>
        </w:rPr>
      </w:pPr>
    </w:p>
    <w:p>
      <w:pPr>
        <w:pStyle w:val="BodyText"/>
        <w:spacing w:line="258" w:lineRule="auto"/>
        <w:rPr/>
      </w:pPr>
      <w:r/>
    </w:p>
    <w:p>
      <w:pPr>
        <w:ind w:firstLine="1578"/>
        <w:spacing w:line="9660" w:lineRule="exact"/>
        <w:rPr/>
      </w:pPr>
      <w:r>
        <w:rPr>
          <w:position w:val="-193"/>
        </w:rPr>
        <w:drawing>
          <wp:inline distT="0" distB="0" distL="0" distR="0">
            <wp:extent cx="3780790" cy="6134099"/>
            <wp:effectExtent l="0" t="0" r="0" b="0"/>
            <wp:docPr id="24" name="IM 24"/>
            <wp:cNvGraphicFramePr/>
            <a:graphic>
              <a:graphicData uri="http://schemas.openxmlformats.org/drawingml/2006/picture">
                <pic:pic>
                  <pic:nvPicPr>
                    <pic:cNvPr id="24" name="IM 24"/>
                    <pic:cNvPicPr/>
                  </pic:nvPicPr>
                  <pic:blipFill>
                    <a:blip r:embed="rId151"/>
                    <a:stretch>
                      <a:fillRect/>
                    </a:stretch>
                  </pic:blipFill>
                  <pic:spPr>
                    <a:xfrm rot="0">
                      <a:off x="0" y="0"/>
                      <a:ext cx="3780790" cy="6134099"/>
                    </a:xfrm>
                    <a:prstGeom prst="rect">
                      <a:avLst/>
                    </a:prstGeom>
                  </pic:spPr>
                </pic:pic>
              </a:graphicData>
            </a:graphic>
          </wp:inline>
        </w:drawing>
      </w:r>
    </w:p>
    <w:p>
      <w:pPr>
        <w:ind w:left="2901"/>
        <w:spacing w:before="172" w:line="233" w:lineRule="auto"/>
        <w:rPr>
          <w:rFonts w:ascii="SimSun" w:hAnsi="SimSun" w:eastAsia="SimSun" w:cs="SimSun"/>
          <w:sz w:val="24"/>
          <w:szCs w:val="24"/>
        </w:rPr>
      </w:pPr>
      <w:r>
        <w:rPr>
          <w:rFonts w:ascii="SimSun" w:hAnsi="SimSun" w:eastAsia="SimSun" w:cs="SimSun"/>
          <w:sz w:val="24"/>
          <w:szCs w:val="24"/>
          <w:spacing w:val="-2"/>
        </w:rPr>
        <w:t>图</w:t>
      </w:r>
      <w:r>
        <w:rPr>
          <w:rFonts w:ascii="Times New Roman" w:hAnsi="Times New Roman" w:eastAsia="Times New Roman" w:cs="Times New Roman"/>
          <w:sz w:val="24"/>
          <w:szCs w:val="24"/>
          <w:spacing w:val="-2"/>
        </w:rPr>
        <w:t>5-5    </w:t>
      </w:r>
      <w:r>
        <w:rPr>
          <w:rFonts w:ascii="SimSun" w:hAnsi="SimSun" w:eastAsia="SimSun" w:cs="SimSun"/>
          <w:sz w:val="24"/>
          <w:szCs w:val="24"/>
          <w:spacing w:val="-2"/>
        </w:rPr>
        <w:t>各季及年风频玫瑰图</w:t>
      </w:r>
    </w:p>
    <w:p>
      <w:pPr>
        <w:pStyle w:val="BodyText"/>
        <w:spacing w:line="344" w:lineRule="auto"/>
        <w:rPr/>
      </w:pPr>
      <w:r/>
    </w:p>
    <w:p>
      <w:pPr>
        <w:ind w:left="573"/>
        <w:spacing w:before="78" w:line="234" w:lineRule="auto"/>
        <w:rPr>
          <w:rFonts w:ascii="SimSun" w:hAnsi="SimSun" w:eastAsia="SimSun" w:cs="SimSun"/>
          <w:sz w:val="24"/>
          <w:szCs w:val="24"/>
        </w:rPr>
      </w:pPr>
      <w:r>
        <w:rPr>
          <w:rFonts w:ascii="Times New Roman" w:hAnsi="Times New Roman" w:eastAsia="Times New Roman" w:cs="Times New Roman"/>
          <w:sz w:val="24"/>
          <w:szCs w:val="24"/>
          <w:spacing w:val="-1"/>
        </w:rPr>
        <w:t>5.2.3.2 </w:t>
      </w:r>
      <w:r>
        <w:rPr>
          <w:rFonts w:ascii="SimSun" w:hAnsi="SimSun" w:eastAsia="SimSun" w:cs="SimSun"/>
          <w:sz w:val="24"/>
          <w:szCs w:val="24"/>
          <w:spacing w:val="-1"/>
        </w:rPr>
        <w:t>大气环境影响预测与分析</w:t>
      </w:r>
    </w:p>
    <w:p>
      <w:pPr>
        <w:ind w:left="577"/>
        <w:spacing w:before="161"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）恶臭气体估算结果</w:t>
      </w:r>
    </w:p>
    <w:p>
      <w:pPr>
        <w:ind w:left="211" w:right="66" w:firstLine="358"/>
        <w:spacing w:before="165" w:line="356" w:lineRule="auto"/>
        <w:rPr>
          <w:rFonts w:ascii="SimSun" w:hAnsi="SimSun" w:eastAsia="SimSun" w:cs="SimSun"/>
          <w:sz w:val="24"/>
          <w:szCs w:val="24"/>
        </w:rPr>
      </w:pPr>
      <w:r>
        <w:rPr>
          <w:rFonts w:ascii="SimSun" w:hAnsi="SimSun" w:eastAsia="SimSun" w:cs="SimSun"/>
          <w:sz w:val="24"/>
          <w:szCs w:val="24"/>
          <w:spacing w:val="3"/>
        </w:rPr>
        <w:t>根据大气评价工作等级划分结果，本次大气评价工作等级为二级，根据《环</w:t>
      </w:r>
      <w:r>
        <w:rPr>
          <w:rFonts w:ascii="SimSun" w:hAnsi="SimSun" w:eastAsia="SimSun" w:cs="SimSun"/>
          <w:sz w:val="24"/>
          <w:szCs w:val="24"/>
          <w:spacing w:val="-1"/>
        </w:rPr>
        <w:t>境影响评价技术导则 大气环境》（</w:t>
      </w:r>
      <w:r>
        <w:rPr>
          <w:rFonts w:ascii="Times New Roman" w:hAnsi="Times New Roman" w:eastAsia="Times New Roman" w:cs="Times New Roman"/>
          <w:sz w:val="24"/>
          <w:szCs w:val="24"/>
          <w:spacing w:val="-1"/>
        </w:rPr>
        <w:t>HJ2.2-20</w:t>
      </w:r>
      <w:r>
        <w:rPr>
          <w:rFonts w:ascii="Times New Roman" w:hAnsi="Times New Roman" w:eastAsia="Times New Roman" w:cs="Times New Roman"/>
          <w:sz w:val="24"/>
          <w:szCs w:val="24"/>
          <w:spacing w:val="-2"/>
        </w:rPr>
        <w:t>18</w:t>
      </w:r>
      <w:r>
        <w:rPr>
          <w:rFonts w:ascii="SimSun" w:hAnsi="SimSun" w:eastAsia="SimSun" w:cs="SimSun"/>
          <w:sz w:val="24"/>
          <w:szCs w:val="24"/>
          <w:spacing w:val="-2"/>
        </w:rPr>
        <w:t>）要求，二级评价项目不进行进一</w:t>
      </w:r>
      <w:r>
        <w:rPr>
          <w:rFonts w:ascii="SimSun" w:hAnsi="SimSun" w:eastAsia="SimSun" w:cs="SimSun"/>
          <w:sz w:val="24"/>
          <w:szCs w:val="24"/>
          <w:spacing w:val="-3"/>
        </w:rPr>
        <w:t>步预测与评价，只对污染物排放量进行核算。</w:t>
      </w:r>
    </w:p>
    <w:p>
      <w:pPr>
        <w:ind w:left="586"/>
        <w:spacing w:before="11" w:line="219" w:lineRule="auto"/>
        <w:rPr>
          <w:rFonts w:ascii="SimSun" w:hAnsi="SimSun" w:eastAsia="SimSun" w:cs="SimSun"/>
          <w:sz w:val="24"/>
          <w:szCs w:val="24"/>
        </w:rPr>
      </w:pPr>
      <w:r>
        <w:rPr>
          <w:rFonts w:ascii="SimSun" w:hAnsi="SimSun" w:eastAsia="SimSun" w:cs="SimSun"/>
          <w:sz w:val="24"/>
          <w:szCs w:val="24"/>
          <w:spacing w:val="2"/>
        </w:rPr>
        <w:t>本项目牛舍及储粪库会产生恶臭气体，恶臭气体均以无组织形式排放，项目</w:t>
      </w:r>
    </w:p>
    <w:p>
      <w:pPr>
        <w:spacing w:line="219" w:lineRule="auto"/>
        <w:sectPr>
          <w:headerReference w:type="default" r:id="rId124"/>
          <w:footerReference w:type="default" r:id="rId150"/>
          <w:pgSz w:w="11907" w:h="16839"/>
          <w:pgMar w:top="1442" w:right="1631" w:bottom="1235" w:left="1606" w:header="1064" w:footer="992" w:gutter="0"/>
        </w:sectPr>
        <w:rPr>
          <w:rFonts w:ascii="SimSun" w:hAnsi="SimSun" w:eastAsia="SimSun" w:cs="SimSun"/>
          <w:sz w:val="24"/>
          <w:szCs w:val="24"/>
        </w:rPr>
      </w:pPr>
    </w:p>
    <w:p>
      <w:pPr>
        <w:ind w:left="105" w:right="37" w:firstLine="17"/>
        <w:spacing w:before="293" w:line="352" w:lineRule="auto"/>
        <w:jc w:val="both"/>
        <w:rPr>
          <w:rFonts w:ascii="SimSun" w:hAnsi="SimSun" w:eastAsia="SimSun" w:cs="SimSun"/>
          <w:sz w:val="24"/>
          <w:szCs w:val="24"/>
        </w:rPr>
      </w:pPr>
      <w:r>
        <w:rPr>
          <w:rFonts w:ascii="SimSun" w:hAnsi="SimSun" w:eastAsia="SimSun" w:cs="SimSun"/>
          <w:sz w:val="24"/>
          <w:szCs w:val="24"/>
          <w:spacing w:val="6"/>
        </w:rPr>
        <w:t>牛舍恶臭气体无组织排放总量为 </w:t>
      </w:r>
      <w:r>
        <w:rPr>
          <w:rFonts w:ascii="Times New Roman" w:hAnsi="Times New Roman" w:eastAsia="Times New Roman" w:cs="Times New Roman"/>
          <w:sz w:val="24"/>
          <w:szCs w:val="24"/>
          <w:spacing w:val="6"/>
        </w:rPr>
        <w:t>H</w:t>
      </w:r>
      <w:r>
        <w:rPr>
          <w:rFonts w:ascii="Times New Roman" w:hAnsi="Times New Roman" w:eastAsia="Times New Roman" w:cs="Times New Roman"/>
          <w:sz w:val="16"/>
          <w:szCs w:val="16"/>
          <w:spacing w:val="6"/>
          <w:position w:val="-3"/>
        </w:rPr>
        <w:t>2</w:t>
      </w:r>
      <w:r>
        <w:rPr>
          <w:rFonts w:ascii="Times New Roman" w:hAnsi="Times New Roman" w:eastAsia="Times New Roman" w:cs="Times New Roman"/>
          <w:sz w:val="16"/>
          <w:szCs w:val="16"/>
          <w:spacing w:val="-22"/>
          <w:position w:val="-3"/>
        </w:rPr>
        <w:t xml:space="preserve"> </w:t>
      </w:r>
      <w:r>
        <w:rPr>
          <w:rFonts w:ascii="Times New Roman" w:hAnsi="Times New Roman" w:eastAsia="Times New Roman" w:cs="Times New Roman"/>
          <w:sz w:val="24"/>
          <w:szCs w:val="24"/>
          <w:spacing w:val="6"/>
        </w:rPr>
        <w:t>S</w:t>
      </w:r>
      <w:r>
        <w:rPr>
          <w:rFonts w:ascii="SimSun" w:hAnsi="SimSun" w:eastAsia="SimSun" w:cs="SimSun"/>
          <w:sz w:val="24"/>
          <w:szCs w:val="24"/>
          <w:spacing w:val="6"/>
        </w:rPr>
        <w:t>：</w:t>
      </w:r>
      <w:r>
        <w:rPr>
          <w:rFonts w:ascii="Times New Roman" w:hAnsi="Times New Roman" w:eastAsia="Times New Roman" w:cs="Times New Roman"/>
          <w:sz w:val="24"/>
          <w:szCs w:val="24"/>
          <w:spacing w:val="6"/>
        </w:rPr>
        <w:t>0.006t/a</w:t>
      </w:r>
      <w:r>
        <w:rPr>
          <w:rFonts w:ascii="SimSun" w:hAnsi="SimSun" w:eastAsia="SimSun" w:cs="SimSun"/>
          <w:sz w:val="24"/>
          <w:szCs w:val="24"/>
          <w:spacing w:val="6"/>
        </w:rPr>
        <w:t>（</w:t>
      </w:r>
      <w:r>
        <w:rPr>
          <w:rFonts w:ascii="Times New Roman" w:hAnsi="Times New Roman" w:eastAsia="Times New Roman" w:cs="Times New Roman"/>
          <w:sz w:val="24"/>
          <w:szCs w:val="24"/>
          <w:spacing w:val="6"/>
        </w:rPr>
        <w:t>0.0007</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6"/>
        </w:rPr>
        <w:t>/h</w:t>
      </w:r>
      <w:r>
        <w:rPr>
          <w:rFonts w:ascii="SimSun" w:hAnsi="SimSun" w:eastAsia="SimSun" w:cs="SimSun"/>
          <w:sz w:val="24"/>
          <w:szCs w:val="24"/>
          <w:spacing w:val="6"/>
        </w:rPr>
        <w:t>）、</w:t>
      </w:r>
      <w:r>
        <w:rPr>
          <w:rFonts w:ascii="Times New Roman" w:hAnsi="Times New Roman" w:eastAsia="Times New Roman" w:cs="Times New Roman"/>
          <w:sz w:val="24"/>
          <w:szCs w:val="24"/>
        </w:rPr>
        <w:t>NH</w:t>
      </w:r>
      <w:r>
        <w:rPr>
          <w:rFonts w:ascii="Times New Roman" w:hAnsi="Times New Roman" w:eastAsia="Times New Roman" w:cs="Times New Roman"/>
          <w:sz w:val="16"/>
          <w:szCs w:val="16"/>
          <w:spacing w:val="6"/>
          <w:position w:val="-3"/>
        </w:rPr>
        <w:t>3 </w:t>
      </w:r>
      <w:r>
        <w:rPr>
          <w:rFonts w:ascii="SimSun" w:hAnsi="SimSun" w:eastAsia="SimSun" w:cs="SimSun"/>
          <w:sz w:val="24"/>
          <w:szCs w:val="24"/>
          <w:spacing w:val="6"/>
        </w:rPr>
        <w:t>：</w:t>
      </w:r>
      <w:r>
        <w:rPr>
          <w:rFonts w:ascii="Times New Roman" w:hAnsi="Times New Roman" w:eastAsia="Times New Roman" w:cs="Times New Roman"/>
          <w:sz w:val="24"/>
          <w:szCs w:val="24"/>
          <w:spacing w:val="6"/>
        </w:rPr>
        <w:t>0.110t/a</w:t>
      </w:r>
      <w:r>
        <w:rPr>
          <w:rFonts w:ascii="Times New Roman" w:hAnsi="Times New Roman" w:eastAsia="Times New Roman" w:cs="Times New Roma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0.0013kg/h</w:t>
      </w:r>
      <w:r>
        <w:rPr>
          <w:rFonts w:ascii="SimSun" w:hAnsi="SimSun" w:eastAsia="SimSun" w:cs="SimSun"/>
          <w:sz w:val="24"/>
          <w:szCs w:val="24"/>
          <w:spacing w:val="-31"/>
        </w:rPr>
        <w:t>），</w:t>
      </w:r>
      <w:r>
        <w:rPr>
          <w:rFonts w:ascii="SimSun" w:hAnsi="SimSun" w:eastAsia="SimSun" w:cs="SimSun"/>
          <w:sz w:val="24"/>
          <w:szCs w:val="24"/>
          <w:spacing w:val="-3"/>
        </w:rPr>
        <w:t>储粪库恶臭气体无组织排放总量为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H</w:t>
      </w:r>
      <w:r>
        <w:rPr>
          <w:rFonts w:ascii="Times New Roman" w:hAnsi="Times New Roman" w:eastAsia="Times New Roman" w:cs="Times New Roman"/>
          <w:sz w:val="16"/>
          <w:szCs w:val="16"/>
          <w:spacing w:val="-3"/>
          <w:position w:val="-3"/>
        </w:rPr>
        <w:t>2</w:t>
      </w:r>
      <w:r>
        <w:rPr>
          <w:rFonts w:ascii="Times New Roman" w:hAnsi="Times New Roman" w:eastAsia="Times New Roman" w:cs="Times New Roman"/>
          <w:sz w:val="16"/>
          <w:szCs w:val="16"/>
          <w:spacing w:val="-23"/>
          <w:position w:val="-3"/>
        </w:rPr>
        <w:t xml:space="preserve"> </w:t>
      </w:r>
      <w:r>
        <w:rPr>
          <w:rFonts w:ascii="Times New Roman" w:hAnsi="Times New Roman" w:eastAsia="Times New Roman" w:cs="Times New Roman"/>
          <w:sz w:val="24"/>
          <w:szCs w:val="24"/>
          <w:spacing w:val="-3"/>
        </w:rPr>
        <w:t>S</w:t>
      </w:r>
      <w:r>
        <w:rPr>
          <w:rFonts w:ascii="SimSun" w:hAnsi="SimSun" w:eastAsia="SimSun" w:cs="SimSun"/>
          <w:sz w:val="24"/>
          <w:szCs w:val="24"/>
          <w:spacing w:val="-3"/>
        </w:rPr>
        <w:t>：</w:t>
      </w:r>
      <w:r>
        <w:rPr>
          <w:rFonts w:ascii="Times New Roman" w:hAnsi="Times New Roman" w:eastAsia="Times New Roman" w:cs="Times New Roman"/>
          <w:sz w:val="24"/>
          <w:szCs w:val="24"/>
          <w:spacing w:val="-3"/>
        </w:rPr>
        <w:t>0.0008t/a</w:t>
      </w:r>
      <w:r>
        <w:rPr>
          <w:rFonts w:ascii="SimSun" w:hAnsi="SimSun" w:eastAsia="SimSun" w:cs="SimSun"/>
          <w:sz w:val="24"/>
          <w:szCs w:val="24"/>
          <w:spacing w:val="-3"/>
        </w:rPr>
        <w:t>（</w:t>
      </w:r>
      <w:r>
        <w:rPr>
          <w:rFonts w:ascii="Times New Roman" w:hAnsi="Times New Roman" w:eastAsia="Times New Roman" w:cs="Times New Roman"/>
          <w:sz w:val="24"/>
          <w:szCs w:val="24"/>
          <w:spacing w:val="-4"/>
        </w:rPr>
        <w:t>0.0001kg/h</w:t>
      </w:r>
      <w:r>
        <w:rPr>
          <w:rFonts w:ascii="SimSun" w:hAnsi="SimSun" w:eastAsia="SimSun" w:cs="SimSun"/>
          <w:sz w:val="24"/>
          <w:szCs w:val="24"/>
          <w:spacing w:val="-4"/>
        </w:rPr>
        <w:t>）、</w:t>
      </w:r>
      <w:r>
        <w:rPr>
          <w:rFonts w:ascii="SimSun" w:hAnsi="SimSun" w:eastAsia="SimSun" w:cs="SimSun"/>
          <w:sz w:val="24"/>
          <w:szCs w:val="24"/>
        </w:rPr>
        <w:t xml:space="preserve"> </w:t>
      </w:r>
      <w:r>
        <w:rPr>
          <w:rFonts w:ascii="Times New Roman" w:hAnsi="Times New Roman" w:eastAsia="Times New Roman" w:cs="Times New Roman"/>
          <w:sz w:val="24"/>
          <w:szCs w:val="24"/>
          <w:spacing w:val="-2"/>
        </w:rPr>
        <w:t>NH</w:t>
      </w:r>
      <w:r>
        <w:rPr>
          <w:rFonts w:ascii="Times New Roman" w:hAnsi="Times New Roman" w:eastAsia="Times New Roman" w:cs="Times New Roman"/>
          <w:sz w:val="16"/>
          <w:szCs w:val="16"/>
          <w:spacing w:val="-2"/>
          <w:position w:val="-3"/>
        </w:rPr>
        <w:t>3</w:t>
      </w:r>
      <w:r>
        <w:rPr>
          <w:rFonts w:ascii="Times New Roman" w:hAnsi="Times New Roman" w:eastAsia="Times New Roman" w:cs="Times New Roman"/>
          <w:sz w:val="16"/>
          <w:szCs w:val="16"/>
          <w:spacing w:val="9"/>
          <w:position w:val="-3"/>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0.02t/a</w:t>
      </w:r>
      <w:r>
        <w:rPr>
          <w:rFonts w:ascii="SimSun" w:hAnsi="SimSun" w:eastAsia="SimSun" w:cs="SimSun"/>
          <w:sz w:val="24"/>
          <w:szCs w:val="24"/>
          <w:spacing w:val="-2"/>
        </w:rPr>
        <w:t>（</w:t>
      </w:r>
      <w:r>
        <w:rPr>
          <w:rFonts w:ascii="Times New Roman" w:hAnsi="Times New Roman" w:eastAsia="Times New Roman" w:cs="Times New Roman"/>
          <w:sz w:val="24"/>
          <w:szCs w:val="24"/>
          <w:spacing w:val="-2"/>
        </w:rPr>
        <w:t>0.002kg/h</w:t>
      </w:r>
      <w:r>
        <w:rPr>
          <w:rFonts w:ascii="SimSun" w:hAnsi="SimSun" w:eastAsia="SimSun" w:cs="SimSun"/>
          <w:sz w:val="24"/>
          <w:szCs w:val="24"/>
          <w:spacing w:val="-2"/>
        </w:rPr>
        <w:t>）。</w:t>
      </w:r>
    </w:p>
    <w:p>
      <w:pPr>
        <w:ind w:left="117" w:right="120" w:firstLine="481"/>
        <w:spacing w:before="26" w:line="354" w:lineRule="auto"/>
        <w:jc w:val="both"/>
        <w:rPr>
          <w:rFonts w:ascii="SimSun" w:hAnsi="SimSun" w:eastAsia="SimSun" w:cs="SimSun"/>
          <w:sz w:val="24"/>
          <w:szCs w:val="24"/>
        </w:rPr>
      </w:pPr>
      <w:r>
        <w:rPr>
          <w:rFonts w:ascii="SimSun" w:hAnsi="SimSun" w:eastAsia="SimSun" w:cs="SimSun"/>
          <w:sz w:val="24"/>
          <w:szCs w:val="24"/>
          <w:spacing w:val="-3"/>
        </w:rPr>
        <w:t>经预测，项目无组织面源中</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3"/>
        </w:rPr>
        <w:t>NH</w:t>
      </w:r>
      <w:r>
        <w:rPr>
          <w:rFonts w:ascii="Times New Roman" w:hAnsi="Times New Roman" w:eastAsia="Times New Roman" w:cs="Times New Roman"/>
          <w:sz w:val="16"/>
          <w:szCs w:val="16"/>
          <w:spacing w:val="-3"/>
          <w:position w:val="-3"/>
        </w:rPr>
        <w:t>3</w:t>
      </w:r>
      <w:r>
        <w:rPr>
          <w:rFonts w:ascii="Times New Roman" w:hAnsi="Times New Roman" w:eastAsia="Times New Roman" w:cs="Times New Roman"/>
          <w:sz w:val="16"/>
          <w:szCs w:val="16"/>
          <w:spacing w:val="14"/>
          <w:position w:val="-3"/>
        </w:rPr>
        <w:t xml:space="preserve"> </w:t>
      </w:r>
      <w:r>
        <w:rPr>
          <w:rFonts w:ascii="SimSun" w:hAnsi="SimSun" w:eastAsia="SimSun" w:cs="SimSun"/>
          <w:sz w:val="24"/>
          <w:szCs w:val="24"/>
          <w:spacing w:val="-3"/>
        </w:rPr>
        <w:t>最大落地浓度为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8.9224μg/m3</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H</w:t>
      </w:r>
      <w:r>
        <w:rPr>
          <w:rFonts w:ascii="Times New Roman" w:hAnsi="Times New Roman" w:eastAsia="Times New Roman" w:cs="Times New Roman"/>
          <w:sz w:val="16"/>
          <w:szCs w:val="16"/>
          <w:spacing w:val="-4"/>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4"/>
        </w:rPr>
        <w:t>S </w:t>
      </w:r>
      <w:r>
        <w:rPr>
          <w:rFonts w:ascii="SimSun" w:hAnsi="SimSun" w:eastAsia="SimSun" w:cs="SimSun"/>
          <w:sz w:val="24"/>
          <w:szCs w:val="24"/>
          <w:spacing w:val="-4"/>
        </w:rPr>
        <w:t>最大落地</w:t>
      </w:r>
      <w:r>
        <w:rPr>
          <w:rFonts w:ascii="SimSun" w:hAnsi="SimSun" w:eastAsia="SimSun" w:cs="SimSun"/>
          <w:sz w:val="24"/>
          <w:szCs w:val="24"/>
          <w:spacing w:val="-1"/>
        </w:rPr>
        <w:t>浓度为 </w:t>
      </w:r>
      <w:r>
        <w:rPr>
          <w:rFonts w:ascii="Times New Roman" w:hAnsi="Times New Roman" w:eastAsia="Times New Roman" w:cs="Times New Roman"/>
          <w:sz w:val="24"/>
          <w:szCs w:val="24"/>
          <w:spacing w:val="-1"/>
        </w:rPr>
        <w:t>0.3542μg/m3</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1"/>
        </w:rPr>
        <w:t>，臭气浓</w:t>
      </w:r>
      <w:r>
        <w:rPr>
          <w:rFonts w:ascii="SimSun" w:hAnsi="SimSun" w:eastAsia="SimSun" w:cs="SimSun"/>
          <w:sz w:val="24"/>
          <w:szCs w:val="24"/>
          <w:spacing w:val="-2"/>
        </w:rPr>
        <w:t>度</w:t>
      </w:r>
      <w:r>
        <w:rPr>
          <w:rFonts w:ascii="Times New Roman" w:hAnsi="Times New Roman" w:eastAsia="Times New Roman" w:cs="Times New Roman"/>
          <w:sz w:val="24"/>
          <w:szCs w:val="24"/>
          <w:spacing w:val="-2"/>
        </w:rPr>
        <w:t>&lt;10</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2"/>
        </w:rPr>
        <w:t>，污染物最大落地浓度符合《环境影响评价技</w:t>
      </w:r>
      <w:r>
        <w:rPr>
          <w:rFonts w:ascii="SimSun" w:hAnsi="SimSun" w:eastAsia="SimSun" w:cs="SimSun"/>
          <w:sz w:val="24"/>
          <w:szCs w:val="24"/>
          <w:spacing w:val="-1"/>
        </w:rPr>
        <w:t>术导则 大气环境》（</w:t>
      </w:r>
      <w:r>
        <w:rPr>
          <w:rFonts w:ascii="Times New Roman" w:hAnsi="Times New Roman" w:eastAsia="Times New Roman" w:cs="Times New Roman"/>
          <w:sz w:val="24"/>
          <w:szCs w:val="24"/>
          <w:spacing w:val="-1"/>
        </w:rPr>
        <w:t>HJ2.2-2018</w:t>
      </w:r>
      <w:r>
        <w:rPr>
          <w:rFonts w:ascii="SimSun" w:hAnsi="SimSun" w:eastAsia="SimSun" w:cs="SimSun"/>
          <w:sz w:val="24"/>
          <w:szCs w:val="24"/>
          <w:spacing w:val="-1"/>
        </w:rPr>
        <w:t>）附录</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1"/>
        </w:rPr>
        <w:t>D </w:t>
      </w:r>
      <w:r>
        <w:rPr>
          <w:rFonts w:ascii="SimSun" w:hAnsi="SimSun" w:eastAsia="SimSun" w:cs="SimSun"/>
          <w:sz w:val="24"/>
          <w:szCs w:val="24"/>
          <w:spacing w:val="-1"/>
        </w:rPr>
        <w:t>其他污染物空气质量浓度参考限值，本</w:t>
      </w:r>
      <w:r>
        <w:rPr>
          <w:rFonts w:ascii="SimSun" w:hAnsi="SimSun" w:eastAsia="SimSun" w:cs="SimSun"/>
          <w:sz w:val="24"/>
          <w:szCs w:val="24"/>
          <w:spacing w:val="-2"/>
        </w:rPr>
        <w:t>项目产生的废气污染物对周边环境空气质量影响可接受。</w:t>
      </w:r>
    </w:p>
    <w:p>
      <w:pPr>
        <w:ind w:left="603"/>
        <w:spacing w:before="26"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）食堂油烟</w:t>
      </w:r>
    </w:p>
    <w:p>
      <w:pPr>
        <w:ind w:left="116" w:right="121" w:firstLine="481"/>
        <w:spacing w:before="166" w:line="351" w:lineRule="auto"/>
        <w:rPr>
          <w:rFonts w:ascii="SimSun" w:hAnsi="SimSun" w:eastAsia="SimSun" w:cs="SimSun"/>
          <w:sz w:val="24"/>
          <w:szCs w:val="24"/>
        </w:rPr>
      </w:pPr>
      <w:r>
        <w:rPr>
          <w:rFonts w:ascii="SimSun" w:hAnsi="SimSun" w:eastAsia="SimSun" w:cs="SimSun"/>
          <w:sz w:val="24"/>
          <w:szCs w:val="24"/>
        </w:rPr>
        <w:t>本项目食堂油烟采用油烟净化器（除烟效率</w:t>
      </w:r>
      <w:r>
        <w:rPr>
          <w:rFonts w:ascii="Times New Roman" w:hAnsi="Times New Roman" w:eastAsia="Times New Roman" w:cs="Times New Roman"/>
          <w:sz w:val="24"/>
          <w:szCs w:val="24"/>
        </w:rPr>
        <w:t>≥60%</w:t>
      </w:r>
      <w:r>
        <w:rPr>
          <w:rFonts w:ascii="SimSun" w:hAnsi="SimSun" w:eastAsia="SimSun" w:cs="SimSun"/>
          <w:sz w:val="24"/>
          <w:szCs w:val="24"/>
        </w:rPr>
        <w:t>）进行处理，经处理后油烟</w:t>
      </w:r>
      <w:r>
        <w:rPr>
          <w:rFonts w:ascii="SimSun" w:hAnsi="SimSun" w:eastAsia="SimSun" w:cs="SimSun"/>
          <w:sz w:val="24"/>
          <w:szCs w:val="24"/>
          <w:spacing w:val="-2"/>
        </w:rPr>
        <w:t>排放量为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0.73kg/a</w:t>
      </w:r>
      <w:r>
        <w:rPr>
          <w:rFonts w:ascii="SimSun" w:hAnsi="SimSun" w:eastAsia="SimSun" w:cs="SimSun"/>
          <w:sz w:val="24"/>
          <w:szCs w:val="24"/>
          <w:spacing w:val="-2"/>
        </w:rPr>
        <w:t>，排放速率为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0.001kg/</w:t>
      </w:r>
      <w:r>
        <w:rPr>
          <w:rFonts w:ascii="Times New Roman" w:hAnsi="Times New Roman" w:eastAsia="Times New Roman" w:cs="Times New Roman"/>
          <w:sz w:val="24"/>
          <w:szCs w:val="24"/>
          <w:spacing w:val="-3"/>
        </w:rPr>
        <w:t>h</w:t>
      </w:r>
      <w:r>
        <w:rPr>
          <w:rFonts w:ascii="SimSun" w:hAnsi="SimSun" w:eastAsia="SimSun" w:cs="SimSun"/>
          <w:sz w:val="24"/>
          <w:szCs w:val="24"/>
          <w:spacing w:val="-3"/>
        </w:rPr>
        <w:t>，油烟排放浓度为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0.73mg/m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3"/>
        </w:rPr>
        <w:t>，能够满足</w:t>
      </w:r>
      <w:r>
        <w:rPr>
          <w:rFonts w:ascii="Times New Roman" w:hAnsi="Times New Roman" w:eastAsia="Times New Roman" w:cs="Times New Roman"/>
          <w:sz w:val="24"/>
          <w:szCs w:val="24"/>
        </w:rPr>
        <w:t>GB18483—2001</w:t>
      </w:r>
      <w:r>
        <w:rPr>
          <w:rFonts w:ascii="SimSun" w:hAnsi="SimSun" w:eastAsia="SimSun" w:cs="SimSun"/>
          <w:sz w:val="24"/>
          <w:szCs w:val="24"/>
        </w:rPr>
        <w:t>《饮食业油烟排放标准》（试行）中的</w:t>
      </w:r>
      <w:r>
        <w:rPr>
          <w:rFonts w:ascii="SimSun" w:hAnsi="SimSun" w:eastAsia="SimSun" w:cs="SimSun"/>
          <w:sz w:val="24"/>
          <w:szCs w:val="24"/>
          <w:spacing w:val="-1"/>
        </w:rPr>
        <w:t>最高允许排放浓度</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1"/>
        </w:rPr>
        <w:t>2mg/m</w:t>
      </w:r>
      <w:r>
        <w:rPr>
          <w:rFonts w:ascii="Times New Roman" w:hAnsi="Times New Roman" w:eastAsia="Times New Roman" w:cs="Times New Roman"/>
          <w:sz w:val="16"/>
          <w:szCs w:val="16"/>
          <w:spacing w:val="-1"/>
          <w:position w:val="10"/>
        </w:rPr>
        <w:t>3</w:t>
      </w:r>
      <w:r>
        <w:rPr>
          <w:rFonts w:ascii="SimSun" w:hAnsi="SimSun" w:eastAsia="SimSun" w:cs="SimSun"/>
          <w:sz w:val="24"/>
          <w:szCs w:val="24"/>
          <w:spacing w:val="-2"/>
        </w:rPr>
        <w:t>限值要求，烟气经室内烟道高空外排，排气筒高度应高出屋顶</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2"/>
        </w:rPr>
        <w:t>1m</w:t>
      </w:r>
      <w:r>
        <w:rPr>
          <w:rFonts w:ascii="SimSun" w:hAnsi="SimSun" w:eastAsia="SimSun" w:cs="SimSun"/>
          <w:sz w:val="24"/>
          <w:szCs w:val="24"/>
          <w:spacing w:val="-2"/>
        </w:rPr>
        <w:t>，对周围环境影</w:t>
      </w:r>
      <w:r>
        <w:rPr>
          <w:rFonts w:ascii="SimSun" w:hAnsi="SimSun" w:eastAsia="SimSun" w:cs="SimSun"/>
          <w:sz w:val="24"/>
          <w:szCs w:val="24"/>
          <w:spacing w:val="-3"/>
        </w:rPr>
        <w:t>响不大。</w:t>
      </w:r>
    </w:p>
    <w:p>
      <w:pPr>
        <w:ind w:left="599"/>
        <w:spacing w:before="37" w:line="233" w:lineRule="auto"/>
        <w:rPr>
          <w:rFonts w:ascii="SimSun" w:hAnsi="SimSun" w:eastAsia="SimSun" w:cs="SimSun"/>
          <w:sz w:val="24"/>
          <w:szCs w:val="24"/>
        </w:rPr>
      </w:pPr>
      <w:r>
        <w:rPr>
          <w:rFonts w:ascii="Times New Roman" w:hAnsi="Times New Roman" w:eastAsia="Times New Roman" w:cs="Times New Roman"/>
          <w:sz w:val="24"/>
          <w:szCs w:val="24"/>
          <w:spacing w:val="-1"/>
        </w:rPr>
        <w:t>5.2.3.3 </w:t>
      </w:r>
      <w:r>
        <w:rPr>
          <w:rFonts w:ascii="SimSun" w:hAnsi="SimSun" w:eastAsia="SimSun" w:cs="SimSun"/>
          <w:sz w:val="24"/>
          <w:szCs w:val="24"/>
          <w:spacing w:val="-1"/>
        </w:rPr>
        <w:t>污染物排放量核算</w:t>
      </w:r>
    </w:p>
    <w:p>
      <w:pPr>
        <w:ind w:left="598"/>
        <w:spacing w:before="162" w:line="233" w:lineRule="auto"/>
        <w:rPr>
          <w:rFonts w:ascii="SimSun" w:hAnsi="SimSun" w:eastAsia="SimSun" w:cs="SimSun"/>
          <w:sz w:val="24"/>
          <w:szCs w:val="24"/>
        </w:rPr>
      </w:pPr>
      <w:r>
        <w:rPr>
          <w:rFonts w:ascii="SimSun" w:hAnsi="SimSun" w:eastAsia="SimSun" w:cs="SimSun"/>
          <w:sz w:val="24"/>
          <w:szCs w:val="24"/>
          <w:spacing w:val="-2"/>
        </w:rPr>
        <w:t>本项目污染物排放量核算详见表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5-10 </w:t>
      </w:r>
      <w:r>
        <w:rPr>
          <w:rFonts w:ascii="SimSun" w:hAnsi="SimSun" w:eastAsia="SimSun" w:cs="SimSun"/>
          <w:sz w:val="24"/>
          <w:szCs w:val="24"/>
          <w:spacing w:val="-2"/>
        </w:rPr>
        <w:t>及</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5-11</w:t>
      </w:r>
      <w:r>
        <w:rPr>
          <w:rFonts w:ascii="SimSun" w:hAnsi="SimSun" w:eastAsia="SimSun" w:cs="SimSun"/>
          <w:sz w:val="24"/>
          <w:szCs w:val="24"/>
          <w:spacing w:val="-2"/>
        </w:rPr>
        <w:t>，年排放量核算详见表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5-12</w:t>
      </w:r>
      <w:r>
        <w:rPr>
          <w:rFonts w:ascii="SimSun" w:hAnsi="SimSun" w:eastAsia="SimSun" w:cs="SimSun"/>
          <w:sz w:val="24"/>
          <w:szCs w:val="24"/>
          <w:spacing w:val="-2"/>
        </w:rPr>
        <w:t>。</w:t>
      </w:r>
    </w:p>
    <w:p>
      <w:pPr>
        <w:ind w:left="2430"/>
        <w:spacing w:before="310"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2"/>
        </w:rPr>
        <w:t>5-10    </w:t>
      </w:r>
      <w:r>
        <w:rPr>
          <w:rFonts w:ascii="SimSun" w:hAnsi="SimSun" w:eastAsia="SimSun" w:cs="SimSun"/>
          <w:sz w:val="24"/>
          <w:szCs w:val="24"/>
          <w:b/>
          <w:bCs/>
          <w:spacing w:val="-2"/>
        </w:rPr>
        <w:t>大气污染物有组织排放量核算表</w:t>
      </w:r>
    </w:p>
    <w:tbl>
      <w:tblPr>
        <w:tblStyle w:val="TableNormal"/>
        <w:tblW w:w="8519"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1"/>
        <w:gridCol w:w="1901"/>
        <w:gridCol w:w="1320"/>
        <w:gridCol w:w="1709"/>
        <w:gridCol w:w="1659"/>
        <w:gridCol w:w="1359"/>
      </w:tblGrid>
      <w:tr>
        <w:trPr>
          <w:trHeight w:val="670" w:hRule="atLeast"/>
        </w:trPr>
        <w:tc>
          <w:tcPr>
            <w:tcW w:w="571" w:type="dxa"/>
            <w:vAlign w:val="top"/>
            <w:textDirection w:val="tbRlV"/>
            <w:tcBorders>
              <w:top w:val="single" w:color="000000" w:sz="10" w:space="0"/>
              <w:left w:val="nil"/>
            </w:tcBorders>
          </w:tcPr>
          <w:p>
            <w:pPr>
              <w:pStyle w:val="TableText"/>
              <w:ind w:left="93"/>
              <w:spacing w:before="177" w:line="211" w:lineRule="auto"/>
              <w:rPr/>
            </w:pPr>
            <w:r>
              <w:rPr>
                <w:b/>
                <w:bCs/>
                <w:spacing w:val="28"/>
              </w:rPr>
              <w:t>序号</w:t>
            </w:r>
          </w:p>
        </w:tc>
        <w:tc>
          <w:tcPr>
            <w:tcW w:w="1901" w:type="dxa"/>
            <w:vAlign w:val="top"/>
            <w:tcBorders>
              <w:top w:val="single" w:color="000000" w:sz="10" w:space="0"/>
            </w:tcBorders>
          </w:tcPr>
          <w:p>
            <w:pPr>
              <w:pStyle w:val="TableText"/>
              <w:ind w:left="428"/>
              <w:spacing w:before="227" w:line="221" w:lineRule="auto"/>
              <w:rPr/>
            </w:pPr>
            <w:r>
              <w:rPr>
                <w:b/>
                <w:bCs/>
                <w:spacing w:val="-3"/>
              </w:rPr>
              <w:t>排放口编号</w:t>
            </w:r>
          </w:p>
        </w:tc>
        <w:tc>
          <w:tcPr>
            <w:tcW w:w="1320" w:type="dxa"/>
            <w:vAlign w:val="top"/>
            <w:tcBorders>
              <w:top w:val="single" w:color="000000" w:sz="10" w:space="0"/>
            </w:tcBorders>
          </w:tcPr>
          <w:p>
            <w:pPr>
              <w:pStyle w:val="TableText"/>
              <w:ind w:left="351"/>
              <w:spacing w:before="228" w:line="221" w:lineRule="auto"/>
              <w:rPr/>
            </w:pPr>
            <w:r>
              <w:rPr>
                <w:b/>
                <w:bCs/>
                <w:spacing w:val="-4"/>
              </w:rPr>
              <w:t>污染物</w:t>
            </w:r>
          </w:p>
        </w:tc>
        <w:tc>
          <w:tcPr>
            <w:tcW w:w="1709" w:type="dxa"/>
            <w:vAlign w:val="top"/>
            <w:tcBorders>
              <w:top w:val="single" w:color="000000" w:sz="10" w:space="0"/>
            </w:tcBorders>
          </w:tcPr>
          <w:p>
            <w:pPr>
              <w:pStyle w:val="TableText"/>
              <w:ind w:left="198"/>
              <w:spacing w:before="93" w:line="234" w:lineRule="auto"/>
              <w:rPr>
                <w:rFonts w:ascii="Times New Roman" w:hAnsi="Times New Roman" w:eastAsia="Times New Roman" w:cs="Times New Roman"/>
              </w:rPr>
            </w:pPr>
            <w:r>
              <w:rPr>
                <w:b/>
                <w:bCs/>
                <w:spacing w:val="-3"/>
              </w:rPr>
              <w:t>核算排放速率</w:t>
            </w:r>
            <w:r>
              <w:rPr>
                <w:rFonts w:ascii="Times New Roman" w:hAnsi="Times New Roman" w:eastAsia="Times New Roman" w:cs="Times New Roman"/>
                <w:b/>
                <w:bCs/>
                <w:spacing w:val="-3"/>
              </w:rPr>
              <w:t>/</w:t>
            </w:r>
          </w:p>
          <w:p>
            <w:pPr>
              <w:pStyle w:val="TableText"/>
              <w:ind w:left="454"/>
              <w:spacing w:before="5" w:line="213" w:lineRule="auto"/>
              <w:rPr/>
            </w:pPr>
            <w:r>
              <w:rPr>
                <w:b/>
                <w:bCs/>
                <w:spacing w:val="-4"/>
              </w:rPr>
              <w:t>（</w:t>
            </w:r>
            <w:r>
              <w:rPr>
                <w:rFonts w:ascii="Times New Roman" w:hAnsi="Times New Roman" w:eastAsia="Times New Roman" w:cs="Times New Roman"/>
                <w:b/>
                <w:bCs/>
                <w:spacing w:val="-4"/>
              </w:rPr>
              <w:t>kg/h</w:t>
            </w:r>
            <w:r>
              <w:rPr>
                <w:b/>
                <w:bCs/>
                <w:spacing w:val="-4"/>
              </w:rPr>
              <w:t>）</w:t>
            </w:r>
          </w:p>
        </w:tc>
        <w:tc>
          <w:tcPr>
            <w:tcW w:w="1659" w:type="dxa"/>
            <w:vAlign w:val="top"/>
            <w:tcBorders>
              <w:top w:val="single" w:color="000000" w:sz="10" w:space="0"/>
            </w:tcBorders>
          </w:tcPr>
          <w:p>
            <w:pPr>
              <w:pStyle w:val="TableText"/>
              <w:ind w:left="338" w:right="163" w:hanging="164"/>
              <w:spacing w:before="92" w:line="229" w:lineRule="auto"/>
              <w:rPr/>
            </w:pPr>
            <w:r>
              <w:rPr>
                <w:b/>
                <w:bCs/>
                <w:spacing w:val="-3"/>
              </w:rPr>
              <w:t>核算排放浓度</w:t>
            </w:r>
            <w:r>
              <w:rPr>
                <w:rFonts w:ascii="Times New Roman" w:hAnsi="Times New Roman" w:eastAsia="Times New Roman" w:cs="Times New Roman"/>
                <w:b/>
                <w:bCs/>
                <w:spacing w:val="-3"/>
              </w:rPr>
              <w:t>/</w:t>
            </w:r>
            <w:r>
              <w:rPr>
                <w:rFonts w:ascii="Times New Roman" w:hAnsi="Times New Roman" w:eastAsia="Times New Roman" w:cs="Times New Roman"/>
                <w:b/>
                <w:bCs/>
                <w:spacing w:val="4"/>
              </w:rPr>
              <w:t xml:space="preserve"> </w:t>
            </w:r>
            <w:r>
              <w:rPr>
                <w:b/>
                <w:bCs/>
                <w:spacing w:val="8"/>
              </w:rPr>
              <w:t>（</w:t>
            </w:r>
            <w:r>
              <w:rPr>
                <w:rFonts w:ascii="Times New Roman" w:hAnsi="Times New Roman" w:eastAsia="Times New Roman" w:cs="Times New Roman"/>
                <w:b/>
                <w:bCs/>
              </w:rPr>
              <w:t>mg</w:t>
            </w:r>
            <w:r>
              <w:rPr>
                <w:rFonts w:ascii="Times New Roman" w:hAnsi="Times New Roman" w:eastAsia="Times New Roman" w:cs="Times New Roman"/>
                <w:b/>
                <w:bCs/>
                <w:spacing w:val="8"/>
              </w:rPr>
              <w:t>/m3</w:t>
            </w:r>
            <w:r>
              <w:rPr>
                <w:b/>
                <w:bCs/>
                <w:spacing w:val="8"/>
              </w:rPr>
              <w:t>）</w:t>
            </w:r>
          </w:p>
        </w:tc>
        <w:tc>
          <w:tcPr>
            <w:tcW w:w="1359" w:type="dxa"/>
            <w:vAlign w:val="top"/>
            <w:tcBorders>
              <w:top w:val="single" w:color="000000" w:sz="10" w:space="0"/>
              <w:right w:val="nil"/>
            </w:tcBorders>
          </w:tcPr>
          <w:p>
            <w:pPr>
              <w:pStyle w:val="TableText"/>
              <w:ind w:left="222" w:right="151" w:hanging="62"/>
              <w:spacing w:before="92" w:line="249" w:lineRule="auto"/>
              <w:rPr/>
            </w:pPr>
            <w:r>
              <w:rPr>
                <w:b/>
                <w:bCs/>
                <w:spacing w:val="-4"/>
              </w:rPr>
              <w:t>核算年排放</w:t>
            </w:r>
            <w:r>
              <w:rPr>
                <w:b/>
                <w:bCs/>
                <w:spacing w:val="-2"/>
              </w:rPr>
              <w:t>量</w:t>
            </w:r>
            <w:r>
              <w:rPr>
                <w:rFonts w:ascii="Times New Roman" w:hAnsi="Times New Roman" w:eastAsia="Times New Roman" w:cs="Times New Roman"/>
                <w:b/>
                <w:bCs/>
                <w:spacing w:val="-2"/>
              </w:rPr>
              <w:t>/</w:t>
            </w:r>
            <w:r>
              <w:rPr>
                <w:b/>
                <w:bCs/>
                <w:spacing w:val="-2"/>
              </w:rPr>
              <w:t>（</w:t>
            </w:r>
            <w:r>
              <w:rPr>
                <w:rFonts w:ascii="Times New Roman" w:hAnsi="Times New Roman" w:eastAsia="Times New Roman" w:cs="Times New Roman"/>
                <w:b/>
                <w:bCs/>
                <w:spacing w:val="-2"/>
              </w:rPr>
              <w:t>t/a</w:t>
            </w:r>
            <w:r>
              <w:rPr>
                <w:b/>
                <w:bCs/>
                <w:spacing w:val="-2"/>
              </w:rPr>
              <w:t>）</w:t>
            </w:r>
          </w:p>
        </w:tc>
      </w:tr>
    </w:tbl>
    <w:p>
      <w:pPr>
        <w:ind w:left="3843"/>
        <w:spacing w:before="64" w:line="222" w:lineRule="auto"/>
        <w:rPr>
          <w:rFonts w:ascii="SimSun" w:hAnsi="SimSun" w:eastAsia="SimSun" w:cs="SimSun"/>
          <w:sz w:val="21"/>
          <w:szCs w:val="21"/>
        </w:rPr>
      </w:pPr>
      <w:r>
        <w:rPr>
          <w:rFonts w:ascii="SimSun" w:hAnsi="SimSun" w:eastAsia="SimSun" w:cs="SimSun"/>
          <w:sz w:val="21"/>
          <w:szCs w:val="21"/>
          <w:spacing w:val="-2"/>
        </w:rPr>
        <w:t>主要排放口</w:t>
      </w:r>
    </w:p>
    <w:p>
      <w:pPr>
        <w:spacing w:line="25" w:lineRule="exact"/>
        <w:rPr/>
      </w:pPr>
      <w:r/>
    </w:p>
    <w:tbl>
      <w:tblPr>
        <w:tblStyle w:val="TableNormal"/>
        <w:tblW w:w="8519"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1"/>
        <w:gridCol w:w="1901"/>
        <w:gridCol w:w="1320"/>
        <w:gridCol w:w="1709"/>
        <w:gridCol w:w="1659"/>
        <w:gridCol w:w="1359"/>
      </w:tblGrid>
      <w:tr>
        <w:trPr>
          <w:trHeight w:val="347" w:hRule="atLeast"/>
        </w:trPr>
        <w:tc>
          <w:tcPr>
            <w:tcW w:w="571" w:type="dxa"/>
            <w:vAlign w:val="top"/>
            <w:tcBorders>
              <w:left w:val="nil"/>
            </w:tcBorders>
          </w:tcPr>
          <w:p>
            <w:pPr>
              <w:ind w:left="178"/>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901" w:type="dxa"/>
            <w:vAlign w:val="top"/>
          </w:tcPr>
          <w:p>
            <w:pPr>
              <w:ind w:left="840"/>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320" w:type="dxa"/>
            <w:vAlign w:val="top"/>
          </w:tcPr>
          <w:p>
            <w:pPr>
              <w:ind w:left="550"/>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709" w:type="dxa"/>
            <w:vAlign w:val="top"/>
          </w:tcPr>
          <w:p>
            <w:pPr>
              <w:ind w:left="743"/>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659" w:type="dxa"/>
            <w:vAlign w:val="top"/>
          </w:tcPr>
          <w:p>
            <w:pPr>
              <w:ind w:left="717"/>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359" w:type="dxa"/>
            <w:vAlign w:val="top"/>
            <w:tcBorders>
              <w:right w:val="nil"/>
            </w:tcBorders>
          </w:tcPr>
          <w:p>
            <w:pPr>
              <w:ind w:left="570"/>
              <w:spacing w:before="18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r>
      <w:tr>
        <w:trPr>
          <w:trHeight w:val="348" w:hRule="atLeast"/>
        </w:trPr>
        <w:tc>
          <w:tcPr>
            <w:tcW w:w="2472" w:type="dxa"/>
            <w:vAlign w:val="top"/>
            <w:gridSpan w:val="2"/>
            <w:tcBorders>
              <w:left w:val="nil"/>
            </w:tcBorders>
          </w:tcPr>
          <w:p>
            <w:pPr>
              <w:pStyle w:val="TableText"/>
              <w:ind w:left="509"/>
              <w:spacing w:before="66" w:line="222" w:lineRule="auto"/>
              <w:rPr/>
            </w:pPr>
            <w:r>
              <w:rPr>
                <w:spacing w:val="-1"/>
              </w:rPr>
              <w:t>主要排放口合计</w:t>
            </w:r>
          </w:p>
        </w:tc>
        <w:tc>
          <w:tcPr>
            <w:tcW w:w="4688" w:type="dxa"/>
            <w:vAlign w:val="top"/>
            <w:gridSpan w:val="3"/>
          </w:tcPr>
          <w:p>
            <w:pPr>
              <w:ind w:left="2233"/>
              <w:spacing w:before="18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359" w:type="dxa"/>
            <w:vAlign w:val="top"/>
            <w:tcBorders>
              <w:right w:val="nil"/>
            </w:tcBorders>
          </w:tcPr>
          <w:p>
            <w:pPr>
              <w:ind w:left="570"/>
              <w:spacing w:before="18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r>
    </w:tbl>
    <w:p>
      <w:pPr>
        <w:ind w:left="3845"/>
        <w:spacing w:before="63" w:line="222" w:lineRule="auto"/>
        <w:rPr>
          <w:rFonts w:ascii="SimSun" w:hAnsi="SimSun" w:eastAsia="SimSun" w:cs="SimSun"/>
          <w:sz w:val="21"/>
          <w:szCs w:val="21"/>
        </w:rPr>
      </w:pPr>
      <w:r>
        <w:rPr>
          <w:rFonts w:ascii="SimSun" w:hAnsi="SimSun" w:eastAsia="SimSun" w:cs="SimSun"/>
          <w:sz w:val="21"/>
          <w:szCs w:val="21"/>
          <w:spacing w:val="-2"/>
        </w:rPr>
        <w:t>一般排放口</w:t>
      </w:r>
    </w:p>
    <w:p>
      <w:pPr>
        <w:spacing w:line="23" w:lineRule="exact"/>
        <w:rPr/>
      </w:pPr>
      <w:r/>
    </w:p>
    <w:tbl>
      <w:tblPr>
        <w:tblStyle w:val="TableNormal"/>
        <w:tblW w:w="8519"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1"/>
        <w:gridCol w:w="1901"/>
        <w:gridCol w:w="1320"/>
        <w:gridCol w:w="1709"/>
        <w:gridCol w:w="1659"/>
        <w:gridCol w:w="1359"/>
      </w:tblGrid>
      <w:tr>
        <w:trPr>
          <w:trHeight w:val="554" w:hRule="atLeast"/>
        </w:trPr>
        <w:tc>
          <w:tcPr>
            <w:tcW w:w="571" w:type="dxa"/>
            <w:vAlign w:val="top"/>
            <w:tcBorders>
              <w:left w:val="nil"/>
            </w:tcBorders>
          </w:tcPr>
          <w:p>
            <w:pPr>
              <w:ind w:left="257"/>
              <w:spacing w:before="201"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901" w:type="dxa"/>
            <w:vAlign w:val="top"/>
          </w:tcPr>
          <w:p>
            <w:pPr>
              <w:pStyle w:val="TableText"/>
              <w:ind w:left="639" w:right="11" w:hanging="530"/>
              <w:spacing w:before="36" w:line="223" w:lineRule="auto"/>
              <w:rPr/>
            </w:pPr>
            <w:r>
              <w:rPr>
                <w:rFonts w:ascii="Times New Roman" w:hAnsi="Times New Roman" w:eastAsia="Times New Roman" w:cs="Times New Roman"/>
                <w:spacing w:val="-10"/>
              </w:rPr>
              <w:t>DA001</w:t>
            </w:r>
            <w:r>
              <w:rPr>
                <w:spacing w:val="-10"/>
              </w:rPr>
              <w:t>（食堂油烟）</w:t>
            </w:r>
            <w:r>
              <w:rPr>
                <w:spacing w:val="-2"/>
              </w:rPr>
              <w:t>排放口</w:t>
            </w:r>
          </w:p>
        </w:tc>
        <w:tc>
          <w:tcPr>
            <w:tcW w:w="1320" w:type="dxa"/>
            <w:vAlign w:val="top"/>
          </w:tcPr>
          <w:p>
            <w:pPr>
              <w:pStyle w:val="TableText"/>
              <w:ind w:left="246"/>
              <w:spacing w:before="171" w:line="221" w:lineRule="auto"/>
              <w:rPr/>
            </w:pPr>
            <w:r>
              <w:rPr>
                <w:spacing w:val="-2"/>
              </w:rPr>
              <w:t>食堂油烟</w:t>
            </w:r>
          </w:p>
        </w:tc>
        <w:tc>
          <w:tcPr>
            <w:tcW w:w="1709" w:type="dxa"/>
            <w:vAlign w:val="top"/>
          </w:tcPr>
          <w:p>
            <w:pPr>
              <w:ind w:left="620"/>
              <w:spacing w:before="2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w:t>
            </w:r>
          </w:p>
        </w:tc>
        <w:tc>
          <w:tcPr>
            <w:tcW w:w="1659" w:type="dxa"/>
            <w:vAlign w:val="top"/>
          </w:tcPr>
          <w:p>
            <w:pPr>
              <w:ind w:left="649"/>
              <w:spacing w:before="2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0.73</w:t>
            </w:r>
          </w:p>
        </w:tc>
        <w:tc>
          <w:tcPr>
            <w:tcW w:w="1359" w:type="dxa"/>
            <w:vAlign w:val="top"/>
            <w:tcBorders>
              <w:right w:val="nil"/>
            </w:tcBorders>
          </w:tcPr>
          <w:p>
            <w:pPr>
              <w:ind w:left="394"/>
              <w:spacing w:before="20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r>
      <w:tr>
        <w:trPr>
          <w:trHeight w:val="346" w:hRule="atLeast"/>
        </w:trPr>
        <w:tc>
          <w:tcPr>
            <w:tcW w:w="2472" w:type="dxa"/>
            <w:vAlign w:val="top"/>
            <w:gridSpan w:val="2"/>
            <w:tcBorders>
              <w:left w:val="nil"/>
            </w:tcBorders>
          </w:tcPr>
          <w:p>
            <w:pPr>
              <w:pStyle w:val="TableText"/>
              <w:ind w:left="510"/>
              <w:spacing w:before="65" w:line="222" w:lineRule="auto"/>
              <w:rPr/>
            </w:pPr>
            <w:r>
              <w:rPr>
                <w:spacing w:val="-2"/>
              </w:rPr>
              <w:t>一般排放口合计</w:t>
            </w:r>
          </w:p>
        </w:tc>
        <w:tc>
          <w:tcPr>
            <w:tcW w:w="4688" w:type="dxa"/>
            <w:vAlign w:val="top"/>
            <w:gridSpan w:val="3"/>
          </w:tcPr>
          <w:p>
            <w:pPr>
              <w:pStyle w:val="TableText"/>
              <w:ind w:left="1929"/>
              <w:spacing w:before="66" w:line="221" w:lineRule="auto"/>
              <w:rPr/>
            </w:pPr>
            <w:r>
              <w:rPr>
                <w:spacing w:val="-2"/>
              </w:rPr>
              <w:t>食堂油烟</w:t>
            </w:r>
          </w:p>
        </w:tc>
        <w:tc>
          <w:tcPr>
            <w:tcW w:w="1359" w:type="dxa"/>
            <w:vAlign w:val="top"/>
            <w:tcBorders>
              <w:right w:val="nil"/>
            </w:tcBorders>
          </w:tcPr>
          <w:p>
            <w:pPr>
              <w:ind w:left="394"/>
              <w:spacing w:before="9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r>
    </w:tbl>
    <w:p>
      <w:pPr>
        <w:ind w:left="3633"/>
        <w:spacing w:before="66" w:line="221" w:lineRule="auto"/>
        <w:rPr>
          <w:rFonts w:ascii="SimSun" w:hAnsi="SimSun" w:eastAsia="SimSun" w:cs="SimSun"/>
          <w:sz w:val="21"/>
          <w:szCs w:val="21"/>
        </w:rPr>
      </w:pPr>
      <w:r>
        <w:rPr>
          <w:rFonts w:ascii="SimSun" w:hAnsi="SimSun" w:eastAsia="SimSun" w:cs="SimSun"/>
          <w:sz w:val="21"/>
          <w:szCs w:val="21"/>
          <w:spacing w:val="-1"/>
        </w:rPr>
        <w:t>有组织排放总计</w:t>
      </w:r>
    </w:p>
    <w:p>
      <w:pPr>
        <w:spacing w:line="23" w:lineRule="exact"/>
        <w:rPr/>
      </w:pPr>
      <w:r/>
    </w:p>
    <w:tbl>
      <w:tblPr>
        <w:tblStyle w:val="TableNormal"/>
        <w:tblW w:w="8534" w:type="dxa"/>
        <w:tblInd w:w="8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87"/>
        <w:gridCol w:w="4688"/>
        <w:gridCol w:w="1359"/>
      </w:tblGrid>
      <w:tr>
        <w:trPr>
          <w:trHeight w:val="351" w:hRule="atLeast"/>
        </w:trPr>
        <w:tc>
          <w:tcPr>
            <w:tcW w:w="2487" w:type="dxa"/>
            <w:vAlign w:val="top"/>
            <w:tcBorders>
              <w:bottom w:val="single" w:color="000000" w:sz="10" w:space="0"/>
              <w:left w:val="nil"/>
            </w:tcBorders>
          </w:tcPr>
          <w:p>
            <w:pPr>
              <w:pStyle w:val="TableText"/>
              <w:ind w:left="522"/>
              <w:spacing w:before="68" w:line="221" w:lineRule="auto"/>
              <w:rPr/>
            </w:pPr>
            <w:r>
              <w:rPr>
                <w:spacing w:val="-1"/>
              </w:rPr>
              <w:t>有组织排放总计</w:t>
            </w:r>
          </w:p>
        </w:tc>
        <w:tc>
          <w:tcPr>
            <w:tcW w:w="4688" w:type="dxa"/>
            <w:vAlign w:val="top"/>
            <w:tcBorders>
              <w:bottom w:val="single" w:color="000000" w:sz="10" w:space="0"/>
            </w:tcBorders>
          </w:tcPr>
          <w:p>
            <w:pPr>
              <w:pStyle w:val="TableText"/>
              <w:ind w:left="1928"/>
              <w:spacing w:before="68" w:line="221" w:lineRule="auto"/>
              <w:rPr/>
            </w:pPr>
            <w:r>
              <w:rPr>
                <w:spacing w:val="-2"/>
              </w:rPr>
              <w:t>食堂油烟</w:t>
            </w:r>
          </w:p>
        </w:tc>
        <w:tc>
          <w:tcPr>
            <w:tcW w:w="1359" w:type="dxa"/>
            <w:vAlign w:val="top"/>
            <w:tcBorders>
              <w:bottom w:val="single" w:color="000000" w:sz="10" w:space="0"/>
              <w:right w:val="nil"/>
            </w:tcBorders>
          </w:tcPr>
          <w:p>
            <w:pPr>
              <w:ind w:left="394"/>
              <w:spacing w:before="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r>
    </w:tbl>
    <w:p>
      <w:pPr>
        <w:pStyle w:val="BodyText"/>
        <w:spacing w:line="365" w:lineRule="auto"/>
        <w:rPr/>
      </w:pPr>
      <w:r/>
    </w:p>
    <w:p>
      <w:pPr>
        <w:ind w:left="2800"/>
        <w:spacing w:before="79" w:line="233"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3"/>
        </w:rPr>
        <w:t>5-11    </w:t>
      </w:r>
      <w:r>
        <w:rPr>
          <w:rFonts w:ascii="SimSun" w:hAnsi="SimSun" w:eastAsia="SimSun" w:cs="SimSun"/>
          <w:sz w:val="24"/>
          <w:szCs w:val="24"/>
          <w:b/>
          <w:bCs/>
          <w:spacing w:val="-3"/>
        </w:rPr>
        <w:t>本项目无组织排放核算表</w:t>
      </w:r>
    </w:p>
    <w:p>
      <w:pPr>
        <w:spacing w:line="132"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5"/>
        <w:gridCol w:w="753"/>
        <w:gridCol w:w="1172"/>
        <w:gridCol w:w="1267"/>
        <w:gridCol w:w="1323"/>
        <w:gridCol w:w="1505"/>
        <w:gridCol w:w="1375"/>
        <w:gridCol w:w="975"/>
      </w:tblGrid>
      <w:tr>
        <w:trPr>
          <w:trHeight w:val="273" w:hRule="atLeast"/>
        </w:trPr>
        <w:tc>
          <w:tcPr>
            <w:tcW w:w="365" w:type="dxa"/>
            <w:vAlign w:val="top"/>
            <w:vMerge w:val="restart"/>
            <w:textDirection w:val="tbRlV"/>
            <w:tcBorders>
              <w:top w:val="single" w:color="000000" w:sz="10" w:space="0"/>
              <w:left w:val="nil"/>
              <w:bottom w:val="nil"/>
            </w:tcBorders>
          </w:tcPr>
          <w:p>
            <w:pPr>
              <w:pStyle w:val="TableText"/>
              <w:ind w:left="194"/>
              <w:spacing w:before="43" w:line="211" w:lineRule="auto"/>
              <w:rPr/>
            </w:pPr>
            <w:r>
              <w:rPr>
                <w:b/>
                <w:bCs/>
                <w:spacing w:val="-2"/>
              </w:rPr>
              <w:t>序</w:t>
            </w:r>
            <w:r>
              <w:rPr>
                <w:spacing w:val="-42"/>
              </w:rPr>
              <w:t xml:space="preserve"> </w:t>
            </w:r>
            <w:r>
              <w:rPr>
                <w:b/>
                <w:bCs/>
                <w:spacing w:val="-2"/>
              </w:rPr>
              <w:t>号</w:t>
            </w:r>
          </w:p>
        </w:tc>
        <w:tc>
          <w:tcPr>
            <w:tcW w:w="753" w:type="dxa"/>
            <w:vAlign w:val="top"/>
            <w:vMerge w:val="restart"/>
            <w:tcBorders>
              <w:top w:val="single" w:color="000000" w:sz="10" w:space="0"/>
              <w:bottom w:val="nil"/>
            </w:tcBorders>
          </w:tcPr>
          <w:p>
            <w:pPr>
              <w:pStyle w:val="TableText"/>
              <w:ind w:left="168"/>
              <w:spacing w:before="59" w:line="222" w:lineRule="auto"/>
              <w:rPr/>
            </w:pPr>
            <w:r>
              <w:rPr>
                <w:b/>
                <w:bCs/>
                <w:spacing w:val="-4"/>
              </w:rPr>
              <w:t>排放</w:t>
            </w:r>
          </w:p>
          <w:p>
            <w:pPr>
              <w:pStyle w:val="TableText"/>
              <w:ind w:left="278" w:right="165" w:hanging="78"/>
              <w:spacing w:before="19" w:line="227" w:lineRule="auto"/>
              <w:rPr/>
            </w:pPr>
            <w:r>
              <w:rPr>
                <w:b/>
                <w:bCs/>
                <w:spacing w:val="-22"/>
              </w:rPr>
              <w:t>口编</w:t>
            </w:r>
            <w:r>
              <w:rPr>
                <w:b/>
                <w:bCs/>
                <w:spacing w:val="-3"/>
              </w:rPr>
              <w:t>号</w:t>
            </w:r>
          </w:p>
        </w:tc>
        <w:tc>
          <w:tcPr>
            <w:tcW w:w="1172" w:type="dxa"/>
            <w:vAlign w:val="top"/>
            <w:vMerge w:val="restart"/>
            <w:tcBorders>
              <w:top w:val="single" w:color="000000" w:sz="10" w:space="0"/>
              <w:bottom w:val="nil"/>
            </w:tcBorders>
          </w:tcPr>
          <w:p>
            <w:pPr>
              <w:spacing w:line="260" w:lineRule="auto"/>
              <w:rPr>
                <w:rFonts w:ascii="Arial"/>
                <w:sz w:val="21"/>
              </w:rPr>
            </w:pPr>
            <w:r/>
          </w:p>
          <w:p>
            <w:pPr>
              <w:pStyle w:val="TableText"/>
              <w:ind w:left="169"/>
              <w:spacing w:before="69" w:line="221" w:lineRule="auto"/>
              <w:rPr/>
            </w:pPr>
            <w:r>
              <w:rPr>
                <w:b/>
                <w:bCs/>
                <w:spacing w:val="-3"/>
              </w:rPr>
              <w:t>产污环节</w:t>
            </w:r>
          </w:p>
        </w:tc>
        <w:tc>
          <w:tcPr>
            <w:tcW w:w="1267" w:type="dxa"/>
            <w:vAlign w:val="top"/>
            <w:vMerge w:val="restart"/>
            <w:tcBorders>
              <w:top w:val="single" w:color="000000" w:sz="10" w:space="0"/>
              <w:bottom w:val="nil"/>
            </w:tcBorders>
          </w:tcPr>
          <w:p>
            <w:pPr>
              <w:spacing w:line="261" w:lineRule="auto"/>
              <w:rPr>
                <w:rFonts w:ascii="Arial"/>
                <w:sz w:val="21"/>
              </w:rPr>
            </w:pPr>
            <w:r/>
          </w:p>
          <w:p>
            <w:pPr>
              <w:pStyle w:val="TableText"/>
              <w:ind w:left="324"/>
              <w:spacing w:before="68" w:line="221" w:lineRule="auto"/>
              <w:rPr/>
            </w:pPr>
            <w:r>
              <w:rPr>
                <w:b/>
                <w:bCs/>
                <w:spacing w:val="-4"/>
              </w:rPr>
              <w:t>污染物</w:t>
            </w:r>
          </w:p>
        </w:tc>
        <w:tc>
          <w:tcPr>
            <w:tcW w:w="1323" w:type="dxa"/>
            <w:vAlign w:val="top"/>
            <w:vMerge w:val="restart"/>
            <w:tcBorders>
              <w:top w:val="single" w:color="000000" w:sz="10" w:space="0"/>
              <w:bottom w:val="nil"/>
            </w:tcBorders>
          </w:tcPr>
          <w:p>
            <w:pPr>
              <w:pStyle w:val="TableText"/>
              <w:ind w:left="256" w:right="132" w:hanging="117"/>
              <w:spacing w:before="194" w:line="243" w:lineRule="auto"/>
              <w:rPr/>
            </w:pPr>
            <w:r>
              <w:rPr>
                <w:b/>
                <w:bCs/>
                <w:spacing w:val="-3"/>
              </w:rPr>
              <w:t>主要污染物</w:t>
            </w:r>
            <w:r>
              <w:rPr>
                <w:b/>
                <w:bCs/>
                <w:spacing w:val="-6"/>
              </w:rPr>
              <w:t>防治措施</w:t>
            </w:r>
          </w:p>
        </w:tc>
        <w:tc>
          <w:tcPr>
            <w:tcW w:w="2880" w:type="dxa"/>
            <w:vAlign w:val="top"/>
            <w:gridSpan w:val="2"/>
            <w:tcBorders>
              <w:top w:val="single" w:color="000000" w:sz="10" w:space="0"/>
            </w:tcBorders>
          </w:tcPr>
          <w:p>
            <w:pPr>
              <w:pStyle w:val="TableText"/>
              <w:ind w:left="201"/>
              <w:spacing w:before="33" w:line="202" w:lineRule="auto"/>
              <w:rPr/>
            </w:pPr>
            <w:r>
              <w:rPr>
                <w:b/>
                <w:bCs/>
                <w:spacing w:val="-4"/>
              </w:rPr>
              <w:t>国家或地方污染物排放标准</w:t>
            </w:r>
          </w:p>
        </w:tc>
        <w:tc>
          <w:tcPr>
            <w:tcW w:w="975" w:type="dxa"/>
            <w:vAlign w:val="top"/>
            <w:vMerge w:val="restart"/>
            <w:tcBorders>
              <w:top w:val="single" w:color="000000" w:sz="10" w:space="0"/>
              <w:right w:val="nil"/>
              <w:bottom w:val="nil"/>
            </w:tcBorders>
          </w:tcPr>
          <w:p>
            <w:pPr>
              <w:pStyle w:val="TableText"/>
              <w:ind w:left="112" w:right="16" w:firstLine="63"/>
              <w:spacing w:before="194" w:line="251" w:lineRule="auto"/>
              <w:rPr/>
            </w:pPr>
            <w:r>
              <w:rPr>
                <w:b/>
                <w:bCs/>
                <w:spacing w:val="-5"/>
              </w:rPr>
              <w:t>年排放</w:t>
            </w:r>
            <w:r>
              <w:rPr>
                <w:b/>
                <w:bCs/>
                <w:spacing w:val="-5"/>
              </w:rPr>
              <w:t>量（</w:t>
            </w:r>
            <w:r>
              <w:rPr>
                <w:rFonts w:ascii="Times New Roman" w:hAnsi="Times New Roman" w:eastAsia="Times New Roman" w:cs="Times New Roman"/>
                <w:b/>
                <w:bCs/>
                <w:spacing w:val="-5"/>
              </w:rPr>
              <w:t>t/a</w:t>
            </w:r>
            <w:r>
              <w:rPr>
                <w:b/>
                <w:bCs/>
                <w:spacing w:val="-5"/>
              </w:rPr>
              <w:t>）</w:t>
            </w:r>
          </w:p>
        </w:tc>
      </w:tr>
      <w:tr>
        <w:trPr>
          <w:trHeight w:val="580" w:hRule="atLeast"/>
        </w:trPr>
        <w:tc>
          <w:tcPr>
            <w:tcW w:w="365" w:type="dxa"/>
            <w:vAlign w:val="top"/>
            <w:vMerge w:val="continue"/>
            <w:textDirection w:val="tbRlV"/>
            <w:tcBorders>
              <w:top w:val="nil"/>
              <w:left w:val="nil"/>
            </w:tcBorders>
          </w:tcPr>
          <w:p>
            <w:pPr>
              <w:rPr>
                <w:rFonts w:ascii="Arial"/>
                <w:sz w:val="21"/>
              </w:rPr>
            </w:pPr>
            <w:r/>
          </w:p>
        </w:tc>
        <w:tc>
          <w:tcPr>
            <w:tcW w:w="753" w:type="dxa"/>
            <w:vAlign w:val="top"/>
            <w:vMerge w:val="continue"/>
            <w:tcBorders>
              <w:top w:val="nil"/>
            </w:tcBorders>
          </w:tcPr>
          <w:p>
            <w:pPr>
              <w:rPr>
                <w:rFonts w:ascii="Arial"/>
                <w:sz w:val="21"/>
              </w:rPr>
            </w:pPr>
            <w:r/>
          </w:p>
        </w:tc>
        <w:tc>
          <w:tcPr>
            <w:tcW w:w="1172" w:type="dxa"/>
            <w:vAlign w:val="top"/>
            <w:vMerge w:val="continue"/>
            <w:tcBorders>
              <w:top w:val="nil"/>
            </w:tcBorders>
          </w:tcPr>
          <w:p>
            <w:pPr>
              <w:rPr>
                <w:rFonts w:ascii="Arial"/>
                <w:sz w:val="21"/>
              </w:rPr>
            </w:pPr>
            <w:r/>
          </w:p>
        </w:tc>
        <w:tc>
          <w:tcPr>
            <w:tcW w:w="1267" w:type="dxa"/>
            <w:vAlign w:val="top"/>
            <w:vMerge w:val="continue"/>
            <w:tcBorders>
              <w:top w:val="nil"/>
            </w:tcBorders>
          </w:tcPr>
          <w:p>
            <w:pPr>
              <w:rPr>
                <w:rFonts w:ascii="Arial"/>
                <w:sz w:val="21"/>
              </w:rPr>
            </w:pPr>
            <w:r/>
          </w:p>
        </w:tc>
        <w:tc>
          <w:tcPr>
            <w:tcW w:w="1323" w:type="dxa"/>
            <w:vAlign w:val="top"/>
            <w:vMerge w:val="continue"/>
            <w:tcBorders>
              <w:top w:val="nil"/>
            </w:tcBorders>
          </w:tcPr>
          <w:p>
            <w:pPr>
              <w:rPr>
                <w:rFonts w:ascii="Arial"/>
                <w:sz w:val="21"/>
              </w:rPr>
            </w:pPr>
            <w:r/>
          </w:p>
        </w:tc>
        <w:tc>
          <w:tcPr>
            <w:tcW w:w="1505" w:type="dxa"/>
            <w:vAlign w:val="top"/>
          </w:tcPr>
          <w:p>
            <w:pPr>
              <w:pStyle w:val="TableText"/>
              <w:ind w:left="337"/>
              <w:spacing w:before="195" w:line="221" w:lineRule="auto"/>
              <w:rPr/>
            </w:pPr>
            <w:r>
              <w:rPr>
                <w:b/>
                <w:bCs/>
                <w:spacing w:val="-4"/>
              </w:rPr>
              <w:t>标准名称</w:t>
            </w:r>
          </w:p>
        </w:tc>
        <w:tc>
          <w:tcPr>
            <w:tcW w:w="1375" w:type="dxa"/>
            <w:vAlign w:val="top"/>
          </w:tcPr>
          <w:p>
            <w:pPr>
              <w:pStyle w:val="TableText"/>
              <w:ind w:left="194" w:right="200" w:firstLine="75"/>
              <w:spacing w:before="58" w:line="225" w:lineRule="auto"/>
              <w:rPr/>
            </w:pPr>
            <w:r>
              <w:rPr>
                <w:b/>
                <w:bCs/>
                <w:spacing w:val="-4"/>
              </w:rPr>
              <w:t>浓度限值</w:t>
            </w:r>
            <w:r>
              <w:rPr>
                <w:b/>
                <w:bCs/>
                <w:spacing w:val="-5"/>
              </w:rPr>
              <w:t>（</w:t>
            </w:r>
            <w:r>
              <w:rPr>
                <w:rFonts w:ascii="Times New Roman" w:hAnsi="Times New Roman" w:eastAsia="Times New Roman" w:cs="Times New Roman"/>
                <w:b/>
                <w:bCs/>
                <w:spacing w:val="-5"/>
              </w:rPr>
              <w:t>mg/m</w:t>
            </w:r>
            <w:r>
              <w:rPr>
                <w:rFonts w:ascii="Times New Roman" w:hAnsi="Times New Roman" w:eastAsia="Times New Roman" w:cs="Times New Roman"/>
                <w:sz w:val="13"/>
                <w:szCs w:val="13"/>
                <w:b/>
                <w:bCs/>
                <w:spacing w:val="-5"/>
                <w:position w:val="9"/>
              </w:rPr>
              <w:t>3</w:t>
            </w:r>
            <w:r>
              <w:rPr>
                <w:b/>
                <w:bCs/>
                <w:spacing w:val="-5"/>
              </w:rPr>
              <w:t>）</w:t>
            </w:r>
          </w:p>
        </w:tc>
        <w:tc>
          <w:tcPr>
            <w:tcW w:w="975" w:type="dxa"/>
            <w:vAlign w:val="top"/>
            <w:vMerge w:val="continue"/>
            <w:tcBorders>
              <w:top w:val="nil"/>
              <w:right w:val="nil"/>
            </w:tcBorders>
          </w:tcPr>
          <w:p>
            <w:pPr>
              <w:rPr>
                <w:rFonts w:ascii="Arial"/>
                <w:sz w:val="21"/>
              </w:rPr>
            </w:pPr>
            <w:r/>
          </w:p>
        </w:tc>
      </w:tr>
      <w:tr>
        <w:trPr>
          <w:trHeight w:val="296" w:hRule="atLeast"/>
        </w:trPr>
        <w:tc>
          <w:tcPr>
            <w:tcW w:w="365" w:type="dxa"/>
            <w:vAlign w:val="top"/>
            <w:tcBorders>
              <w:bottom w:val="single" w:color="000000" w:sz="10" w:space="0"/>
              <w:left w:val="nil"/>
            </w:tcBorders>
          </w:tcPr>
          <w:p>
            <w:pPr>
              <w:ind w:left="154"/>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753" w:type="dxa"/>
            <w:vAlign w:val="top"/>
            <w:tcBorders>
              <w:bottom w:val="single" w:color="000000" w:sz="10" w:space="0"/>
            </w:tcBorders>
          </w:tcPr>
          <w:p>
            <w:pPr>
              <w:ind w:left="264"/>
              <w:spacing w:before="167"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172" w:type="dxa"/>
            <w:vAlign w:val="top"/>
            <w:tcBorders>
              <w:bottom w:val="single" w:color="000000" w:sz="10" w:space="0"/>
            </w:tcBorders>
          </w:tcPr>
          <w:p>
            <w:pPr>
              <w:pStyle w:val="TableText"/>
              <w:ind w:left="385"/>
              <w:spacing w:before="49" w:line="208" w:lineRule="auto"/>
              <w:rPr/>
            </w:pPr>
            <w:r>
              <w:rPr>
                <w:spacing w:val="-3"/>
              </w:rPr>
              <w:t>牛舍</w:t>
            </w:r>
          </w:p>
        </w:tc>
        <w:tc>
          <w:tcPr>
            <w:tcW w:w="1267" w:type="dxa"/>
            <w:vAlign w:val="top"/>
            <w:tcBorders>
              <w:bottom w:val="single" w:color="000000" w:sz="10" w:space="0"/>
            </w:tcBorders>
          </w:tcPr>
          <w:p>
            <w:pPr>
              <w:pStyle w:val="TableText"/>
              <w:ind w:left="533"/>
              <w:spacing w:before="49" w:line="208" w:lineRule="auto"/>
              <w:rPr/>
            </w:pPr>
            <w:r>
              <w:rPr/>
              <w:t>氨</w:t>
            </w:r>
          </w:p>
        </w:tc>
        <w:tc>
          <w:tcPr>
            <w:tcW w:w="1323" w:type="dxa"/>
            <w:vAlign w:val="top"/>
            <w:tcBorders>
              <w:bottom w:val="single" w:color="000000" w:sz="10" w:space="0"/>
            </w:tcBorders>
          </w:tcPr>
          <w:p>
            <w:pPr>
              <w:pStyle w:val="TableText"/>
              <w:ind w:left="137"/>
              <w:spacing w:before="49" w:line="208" w:lineRule="auto"/>
              <w:rPr/>
            </w:pPr>
            <w:r>
              <w:rPr>
                <w:spacing w:val="-5"/>
              </w:rPr>
              <w:t>干清粪、日</w:t>
            </w:r>
          </w:p>
        </w:tc>
        <w:tc>
          <w:tcPr>
            <w:tcW w:w="1505" w:type="dxa"/>
            <w:vAlign w:val="top"/>
            <w:tcBorders>
              <w:bottom w:val="single" w:color="000000" w:sz="10" w:space="0"/>
            </w:tcBorders>
          </w:tcPr>
          <w:p>
            <w:pPr>
              <w:ind w:left="139"/>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GB14554—93</w:t>
            </w:r>
          </w:p>
        </w:tc>
        <w:tc>
          <w:tcPr>
            <w:tcW w:w="1375" w:type="dxa"/>
            <w:vAlign w:val="top"/>
            <w:tcBorders>
              <w:bottom w:val="single" w:color="000000" w:sz="10" w:space="0"/>
            </w:tcBorders>
          </w:tcPr>
          <w:p>
            <w:pPr>
              <w:ind w:left="577"/>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975" w:type="dxa"/>
            <w:vAlign w:val="top"/>
            <w:tcBorders>
              <w:bottom w:val="single" w:color="000000" w:sz="10" w:space="0"/>
              <w:right w:val="nil"/>
            </w:tcBorders>
          </w:tcPr>
          <w:p>
            <w:pPr>
              <w:ind w:left="257"/>
              <w:spacing w:before="76"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0.110</w:t>
            </w:r>
          </w:p>
        </w:tc>
      </w:tr>
    </w:tbl>
    <w:p>
      <w:pPr>
        <w:pStyle w:val="BodyText"/>
        <w:rPr/>
      </w:pPr>
      <w:r/>
    </w:p>
    <w:p>
      <w:pPr>
        <w:sectPr>
          <w:headerReference w:type="default" r:id="rId152"/>
          <w:footerReference w:type="default" r:id="rId153"/>
          <w:pgSz w:w="11907" w:h="16839"/>
          <w:pgMar w:top="1442" w:right="1576" w:bottom="1235" w:left="1594" w:header="1064" w:footer="992" w:gutter="0"/>
        </w:sectPr>
        <w:rPr/>
      </w:pPr>
    </w:p>
    <w:p>
      <w:pPr>
        <w:spacing w:before="17"/>
        <w:rPr/>
      </w:pPr>
      <w:r/>
    </w:p>
    <w:tbl>
      <w:tblPr>
        <w:tblStyle w:val="TableNormal"/>
        <w:tblW w:w="8737"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65"/>
        <w:gridCol w:w="753"/>
        <w:gridCol w:w="1172"/>
        <w:gridCol w:w="1267"/>
        <w:gridCol w:w="1323"/>
        <w:gridCol w:w="1505"/>
        <w:gridCol w:w="1375"/>
        <w:gridCol w:w="977"/>
      </w:tblGrid>
      <w:tr>
        <w:trPr>
          <w:trHeight w:val="546" w:hRule="atLeast"/>
        </w:trPr>
        <w:tc>
          <w:tcPr>
            <w:tcW w:w="365" w:type="dxa"/>
            <w:vAlign w:val="top"/>
            <w:tcBorders>
              <w:top w:val="single" w:color="000000" w:sz="10" w:space="0"/>
              <w:left w:val="nil"/>
            </w:tcBorders>
          </w:tcPr>
          <w:p>
            <w:pPr>
              <w:rPr>
                <w:rFonts w:ascii="Arial"/>
                <w:sz w:val="21"/>
              </w:rPr>
            </w:pPr>
            <w:r/>
          </w:p>
        </w:tc>
        <w:tc>
          <w:tcPr>
            <w:tcW w:w="753" w:type="dxa"/>
            <w:vAlign w:val="top"/>
            <w:tcBorders>
              <w:top w:val="single" w:color="000000" w:sz="10" w:space="0"/>
            </w:tcBorders>
          </w:tcPr>
          <w:p>
            <w:pPr>
              <w:rPr>
                <w:rFonts w:ascii="Arial"/>
                <w:sz w:val="21"/>
              </w:rPr>
            </w:pPr>
            <w:r/>
          </w:p>
        </w:tc>
        <w:tc>
          <w:tcPr>
            <w:tcW w:w="1172" w:type="dxa"/>
            <w:vAlign w:val="top"/>
            <w:tcBorders>
              <w:top w:val="single" w:color="000000" w:sz="10" w:space="0"/>
            </w:tcBorders>
          </w:tcPr>
          <w:p>
            <w:pPr>
              <w:rPr>
                <w:rFonts w:ascii="Arial"/>
                <w:sz w:val="21"/>
              </w:rPr>
            </w:pPr>
            <w:r/>
          </w:p>
        </w:tc>
        <w:tc>
          <w:tcPr>
            <w:tcW w:w="1267" w:type="dxa"/>
            <w:vAlign w:val="top"/>
            <w:tcBorders>
              <w:top w:val="single" w:color="000000" w:sz="10" w:space="0"/>
            </w:tcBorders>
          </w:tcPr>
          <w:p>
            <w:pPr>
              <w:pStyle w:val="TableText"/>
              <w:ind w:left="321"/>
              <w:spacing w:before="170" w:line="222" w:lineRule="auto"/>
              <w:rPr/>
            </w:pPr>
            <w:r>
              <w:rPr>
                <w:spacing w:val="-1"/>
              </w:rPr>
              <w:t>硫化氢</w:t>
            </w:r>
          </w:p>
        </w:tc>
        <w:tc>
          <w:tcPr>
            <w:tcW w:w="1323" w:type="dxa"/>
            <w:vAlign w:val="top"/>
            <w:tcBorders>
              <w:top w:val="single" w:color="000000" w:sz="10" w:space="0"/>
            </w:tcBorders>
          </w:tcPr>
          <w:p>
            <w:pPr>
              <w:pStyle w:val="TableText"/>
              <w:ind w:left="138"/>
              <w:spacing w:before="33" w:line="221" w:lineRule="auto"/>
              <w:rPr/>
            </w:pPr>
            <w:r>
              <w:rPr>
                <w:spacing w:val="3"/>
              </w:rPr>
              <w:t>产日清、除</w:t>
            </w:r>
          </w:p>
          <w:p>
            <w:pPr>
              <w:pStyle w:val="TableText"/>
              <w:ind w:left="138"/>
              <w:spacing w:before="22" w:line="201" w:lineRule="auto"/>
              <w:rPr/>
            </w:pPr>
            <w:r>
              <w:rPr>
                <w:spacing w:val="-3"/>
              </w:rPr>
              <w:t>臭剂、绿化</w:t>
            </w:r>
          </w:p>
        </w:tc>
        <w:tc>
          <w:tcPr>
            <w:tcW w:w="1505" w:type="dxa"/>
            <w:vAlign w:val="top"/>
            <w:vMerge w:val="restart"/>
            <w:tcBorders>
              <w:top w:val="single" w:color="000000" w:sz="10" w:space="0"/>
              <w:bottom w:val="nil"/>
            </w:tcBorders>
          </w:tcPr>
          <w:p>
            <w:pPr>
              <w:pStyle w:val="TableText"/>
              <w:ind w:left="129"/>
              <w:spacing w:before="33" w:line="221" w:lineRule="auto"/>
              <w:rPr/>
            </w:pPr>
            <w:r>
              <w:rPr>
                <w:spacing w:val="-2"/>
              </w:rPr>
              <w:t>《恶臭污染物</w:t>
            </w:r>
          </w:p>
          <w:p>
            <w:pPr>
              <w:pStyle w:val="TableText"/>
              <w:ind w:left="128"/>
              <w:spacing w:before="23" w:line="221" w:lineRule="auto"/>
              <w:rPr/>
            </w:pPr>
            <w:r>
              <w:rPr>
                <w:spacing w:val="-1"/>
              </w:rPr>
              <w:t>排放标准》厂</w:t>
            </w:r>
          </w:p>
          <w:p>
            <w:pPr>
              <w:pStyle w:val="TableText"/>
              <w:ind w:left="133"/>
              <w:spacing w:before="19" w:line="221" w:lineRule="auto"/>
              <w:rPr/>
            </w:pPr>
            <w:r>
              <w:rPr>
                <w:spacing w:val="-2"/>
              </w:rPr>
              <w:t>界二级排放标</w:t>
            </w:r>
          </w:p>
          <w:p>
            <w:pPr>
              <w:pStyle w:val="TableText"/>
              <w:ind w:left="653"/>
              <w:spacing w:before="21" w:line="222" w:lineRule="auto"/>
              <w:rPr/>
            </w:pPr>
            <w:r>
              <w:rPr/>
              <w:t>准</w:t>
            </w:r>
          </w:p>
        </w:tc>
        <w:tc>
          <w:tcPr>
            <w:tcW w:w="1375" w:type="dxa"/>
            <w:vAlign w:val="top"/>
            <w:tcBorders>
              <w:top w:val="single" w:color="000000" w:sz="10" w:space="0"/>
            </w:tcBorders>
          </w:tcPr>
          <w:p>
            <w:pPr>
              <w:ind w:left="507"/>
              <w:spacing w:before="1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977" w:type="dxa"/>
            <w:vAlign w:val="top"/>
            <w:tcBorders>
              <w:top w:val="single" w:color="000000" w:sz="10" w:space="0"/>
              <w:right w:val="nil"/>
            </w:tcBorders>
          </w:tcPr>
          <w:p>
            <w:pPr>
              <w:ind w:left="255"/>
              <w:spacing w:before="198"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0.006</w:t>
            </w:r>
          </w:p>
        </w:tc>
      </w:tr>
      <w:tr>
        <w:trPr>
          <w:trHeight w:val="274" w:hRule="atLeast"/>
        </w:trPr>
        <w:tc>
          <w:tcPr>
            <w:tcW w:w="365" w:type="dxa"/>
            <w:vAlign w:val="top"/>
            <w:vMerge w:val="restart"/>
            <w:tcBorders>
              <w:left w:val="nil"/>
              <w:bottom w:val="nil"/>
            </w:tcBorders>
          </w:tcPr>
          <w:p>
            <w:pPr>
              <w:spacing w:line="241" w:lineRule="auto"/>
              <w:rPr>
                <w:rFonts w:ascii="Arial"/>
                <w:sz w:val="21"/>
              </w:rPr>
            </w:pPr>
            <w:r/>
          </w:p>
          <w:p>
            <w:pPr>
              <w:ind w:left="134"/>
              <w:spacing w:before="60"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753" w:type="dxa"/>
            <w:vAlign w:val="top"/>
            <w:vMerge w:val="restart"/>
            <w:tcBorders>
              <w:bottom w:val="nil"/>
            </w:tcBorders>
          </w:tcPr>
          <w:p>
            <w:pPr>
              <w:spacing w:line="331" w:lineRule="auto"/>
              <w:rPr>
                <w:rFonts w:ascii="Arial"/>
                <w:sz w:val="21"/>
              </w:rPr>
            </w:pPr>
            <w:r/>
          </w:p>
          <w:p>
            <w:pPr>
              <w:ind w:left="264"/>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172" w:type="dxa"/>
            <w:vAlign w:val="top"/>
            <w:vMerge w:val="restart"/>
            <w:tcBorders>
              <w:bottom w:val="nil"/>
            </w:tcBorders>
          </w:tcPr>
          <w:p>
            <w:pPr>
              <w:pStyle w:val="TableText"/>
              <w:ind w:left="274"/>
              <w:spacing w:before="274" w:line="221" w:lineRule="auto"/>
              <w:rPr/>
            </w:pPr>
            <w:r>
              <w:rPr>
                <w:spacing w:val="-1"/>
              </w:rPr>
              <w:t>储粪库</w:t>
            </w:r>
          </w:p>
        </w:tc>
        <w:tc>
          <w:tcPr>
            <w:tcW w:w="1267" w:type="dxa"/>
            <w:vAlign w:val="top"/>
          </w:tcPr>
          <w:p>
            <w:pPr>
              <w:pStyle w:val="TableText"/>
              <w:ind w:left="533"/>
              <w:spacing w:before="37" w:line="199" w:lineRule="auto"/>
              <w:rPr/>
            </w:pPr>
            <w:r>
              <w:rPr/>
              <w:t>氨</w:t>
            </w:r>
          </w:p>
        </w:tc>
        <w:tc>
          <w:tcPr>
            <w:tcW w:w="1323" w:type="dxa"/>
            <w:vAlign w:val="top"/>
            <w:vMerge w:val="restart"/>
            <w:tcBorders>
              <w:bottom w:val="nil"/>
            </w:tcBorders>
          </w:tcPr>
          <w:p>
            <w:pPr>
              <w:pStyle w:val="TableText"/>
              <w:ind w:left="244" w:right="240" w:firstLine="7"/>
              <w:spacing w:before="138"/>
              <w:rPr/>
            </w:pPr>
            <w:r>
              <w:rPr>
                <w:spacing w:val="-4"/>
              </w:rPr>
              <w:t>喷洒除臭</w:t>
            </w:r>
            <w:r>
              <w:rPr>
                <w:spacing w:val="-2"/>
              </w:rPr>
              <w:t>剂、通风</w:t>
            </w:r>
          </w:p>
        </w:tc>
        <w:tc>
          <w:tcPr>
            <w:tcW w:w="1505" w:type="dxa"/>
            <w:vAlign w:val="top"/>
            <w:vMerge w:val="continue"/>
            <w:tcBorders>
              <w:top w:val="nil"/>
              <w:bottom w:val="nil"/>
            </w:tcBorders>
          </w:tcPr>
          <w:p>
            <w:pPr>
              <w:rPr>
                <w:rFonts w:ascii="Arial"/>
                <w:sz w:val="21"/>
              </w:rPr>
            </w:pPr>
            <w:r/>
          </w:p>
        </w:tc>
        <w:tc>
          <w:tcPr>
            <w:tcW w:w="1375" w:type="dxa"/>
            <w:vAlign w:val="top"/>
          </w:tcPr>
          <w:p>
            <w:pPr>
              <w:ind w:left="577"/>
              <w:spacing w:before="6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w:t>
            </w:r>
          </w:p>
        </w:tc>
        <w:tc>
          <w:tcPr>
            <w:tcW w:w="977" w:type="dxa"/>
            <w:vAlign w:val="top"/>
            <w:tcBorders>
              <w:right w:val="nil"/>
            </w:tcBorders>
          </w:tcPr>
          <w:p>
            <w:pPr>
              <w:ind w:left="308"/>
              <w:spacing w:before="67"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w:t>
            </w:r>
          </w:p>
        </w:tc>
      </w:tr>
      <w:tr>
        <w:trPr>
          <w:trHeight w:val="462" w:hRule="atLeast"/>
        </w:trPr>
        <w:tc>
          <w:tcPr>
            <w:tcW w:w="365" w:type="dxa"/>
            <w:vAlign w:val="top"/>
            <w:vMerge w:val="continue"/>
            <w:tcBorders>
              <w:left w:val="nil"/>
              <w:top w:val="nil"/>
            </w:tcBorders>
          </w:tcPr>
          <w:p>
            <w:pPr>
              <w:rPr>
                <w:rFonts w:ascii="Arial"/>
                <w:sz w:val="21"/>
              </w:rPr>
            </w:pPr>
            <w:r/>
          </w:p>
        </w:tc>
        <w:tc>
          <w:tcPr>
            <w:tcW w:w="753" w:type="dxa"/>
            <w:vAlign w:val="top"/>
            <w:vMerge w:val="continue"/>
            <w:tcBorders>
              <w:top w:val="nil"/>
            </w:tcBorders>
          </w:tcPr>
          <w:p>
            <w:pPr>
              <w:rPr>
                <w:rFonts w:ascii="Arial"/>
                <w:sz w:val="21"/>
              </w:rPr>
            </w:pPr>
            <w:r/>
          </w:p>
        </w:tc>
        <w:tc>
          <w:tcPr>
            <w:tcW w:w="1172" w:type="dxa"/>
            <w:vAlign w:val="top"/>
            <w:vMerge w:val="continue"/>
            <w:tcBorders>
              <w:top w:val="nil"/>
            </w:tcBorders>
          </w:tcPr>
          <w:p>
            <w:pPr>
              <w:rPr>
                <w:rFonts w:ascii="Arial"/>
                <w:sz w:val="21"/>
              </w:rPr>
            </w:pPr>
            <w:r/>
          </w:p>
        </w:tc>
        <w:tc>
          <w:tcPr>
            <w:tcW w:w="1267" w:type="dxa"/>
            <w:vAlign w:val="top"/>
          </w:tcPr>
          <w:p>
            <w:pPr>
              <w:pStyle w:val="TableText"/>
              <w:ind w:left="321"/>
              <w:spacing w:before="137" w:line="222" w:lineRule="auto"/>
              <w:rPr/>
            </w:pPr>
            <w:r>
              <w:rPr>
                <w:spacing w:val="-1"/>
              </w:rPr>
              <w:t>硫化氢</w:t>
            </w:r>
          </w:p>
        </w:tc>
        <w:tc>
          <w:tcPr>
            <w:tcW w:w="1323" w:type="dxa"/>
            <w:vAlign w:val="top"/>
            <w:vMerge w:val="continue"/>
            <w:tcBorders>
              <w:top w:val="nil"/>
            </w:tcBorders>
          </w:tcPr>
          <w:p>
            <w:pPr>
              <w:rPr>
                <w:rFonts w:ascii="Arial"/>
                <w:sz w:val="21"/>
              </w:rPr>
            </w:pPr>
            <w:r/>
          </w:p>
        </w:tc>
        <w:tc>
          <w:tcPr>
            <w:tcW w:w="1505" w:type="dxa"/>
            <w:vAlign w:val="top"/>
            <w:vMerge w:val="continue"/>
            <w:tcBorders>
              <w:top w:val="nil"/>
            </w:tcBorders>
          </w:tcPr>
          <w:p>
            <w:pPr>
              <w:rPr>
                <w:rFonts w:ascii="Arial"/>
                <w:sz w:val="21"/>
              </w:rPr>
            </w:pPr>
            <w:r/>
          </w:p>
        </w:tc>
        <w:tc>
          <w:tcPr>
            <w:tcW w:w="1375" w:type="dxa"/>
            <w:vAlign w:val="top"/>
          </w:tcPr>
          <w:p>
            <w:pPr>
              <w:ind w:left="507"/>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0.06</w:t>
            </w:r>
          </w:p>
        </w:tc>
        <w:tc>
          <w:tcPr>
            <w:tcW w:w="977" w:type="dxa"/>
            <w:vAlign w:val="top"/>
            <w:tcBorders>
              <w:right w:val="nil"/>
            </w:tcBorders>
          </w:tcPr>
          <w:p>
            <w:pPr>
              <w:ind w:left="202"/>
              <w:spacing w:before="16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0.0008</w:t>
            </w:r>
          </w:p>
        </w:tc>
      </w:tr>
      <w:tr>
        <w:trPr>
          <w:trHeight w:val="272" w:hRule="atLeast"/>
        </w:trPr>
        <w:tc>
          <w:tcPr>
            <w:tcW w:w="2290" w:type="dxa"/>
            <w:vAlign w:val="top"/>
            <w:gridSpan w:val="3"/>
            <w:vMerge w:val="restart"/>
            <w:tcBorders>
              <w:bottom w:val="nil"/>
              <w:left w:val="nil"/>
            </w:tcBorders>
          </w:tcPr>
          <w:p>
            <w:pPr>
              <w:pStyle w:val="TableText"/>
              <w:ind w:left="417"/>
              <w:spacing w:before="189" w:line="221" w:lineRule="auto"/>
              <w:rPr/>
            </w:pPr>
            <w:r>
              <w:rPr>
                <w:spacing w:val="-1"/>
              </w:rPr>
              <w:t>无组织排放合计</w:t>
            </w:r>
          </w:p>
        </w:tc>
        <w:tc>
          <w:tcPr>
            <w:tcW w:w="5470" w:type="dxa"/>
            <w:vAlign w:val="top"/>
            <w:gridSpan w:val="4"/>
          </w:tcPr>
          <w:p>
            <w:pPr>
              <w:pStyle w:val="TableText"/>
              <w:ind w:left="2634"/>
              <w:spacing w:before="47" w:line="189" w:lineRule="auto"/>
              <w:rPr/>
            </w:pPr>
            <w:r>
              <w:rPr/>
              <w:t>氨</w:t>
            </w:r>
          </w:p>
        </w:tc>
        <w:tc>
          <w:tcPr>
            <w:tcW w:w="977" w:type="dxa"/>
            <w:vAlign w:val="top"/>
            <w:tcBorders>
              <w:right w:val="nil"/>
            </w:tcBorders>
          </w:tcPr>
          <w:p>
            <w:pPr>
              <w:ind w:left="303"/>
              <w:spacing w:before="7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r>
      <w:tr>
        <w:trPr>
          <w:trHeight w:val="298" w:hRule="atLeast"/>
        </w:trPr>
        <w:tc>
          <w:tcPr>
            <w:tcW w:w="2290" w:type="dxa"/>
            <w:vAlign w:val="top"/>
            <w:gridSpan w:val="3"/>
            <w:vMerge w:val="continue"/>
            <w:tcBorders>
              <w:bottom w:val="single" w:color="000000" w:sz="10" w:space="0"/>
              <w:left w:val="nil"/>
              <w:top w:val="nil"/>
            </w:tcBorders>
          </w:tcPr>
          <w:p>
            <w:pPr>
              <w:rPr>
                <w:rFonts w:ascii="Arial"/>
                <w:sz w:val="21"/>
              </w:rPr>
            </w:pPr>
            <w:r/>
          </w:p>
        </w:tc>
        <w:tc>
          <w:tcPr>
            <w:tcW w:w="5470" w:type="dxa"/>
            <w:vAlign w:val="top"/>
            <w:gridSpan w:val="4"/>
            <w:tcBorders>
              <w:bottom w:val="single" w:color="000000" w:sz="10" w:space="0"/>
            </w:tcBorders>
          </w:tcPr>
          <w:p>
            <w:pPr>
              <w:pStyle w:val="TableText"/>
              <w:ind w:left="2424"/>
              <w:spacing w:before="51" w:line="208" w:lineRule="auto"/>
              <w:rPr/>
            </w:pPr>
            <w:r>
              <w:rPr>
                <w:spacing w:val="-1"/>
              </w:rPr>
              <w:t>硫化氢</w:t>
            </w:r>
          </w:p>
        </w:tc>
        <w:tc>
          <w:tcPr>
            <w:tcW w:w="977" w:type="dxa"/>
            <w:vAlign w:val="top"/>
            <w:tcBorders>
              <w:bottom w:val="single" w:color="000000" w:sz="10" w:space="0"/>
              <w:right w:val="nil"/>
            </w:tcBorders>
          </w:tcPr>
          <w:p>
            <w:pPr>
              <w:ind w:left="197"/>
              <w:spacing w:before="8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0.0068</w:t>
            </w:r>
          </w:p>
        </w:tc>
      </w:tr>
    </w:tbl>
    <w:p>
      <w:pPr>
        <w:pStyle w:val="BodyText"/>
        <w:spacing w:line="266" w:lineRule="auto"/>
        <w:rPr/>
      </w:pPr>
      <w:r/>
    </w:p>
    <w:p>
      <w:pPr>
        <w:ind w:left="2471"/>
        <w:spacing w:before="78" w:line="21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2"/>
        </w:rPr>
        <w:t>5-12   </w:t>
      </w:r>
      <w:r>
        <w:rPr>
          <w:rFonts w:ascii="SimSun" w:hAnsi="SimSun" w:eastAsia="SimSun" w:cs="SimSun"/>
          <w:sz w:val="24"/>
          <w:szCs w:val="24"/>
          <w:b/>
          <w:bCs/>
          <w:spacing w:val="-2"/>
        </w:rPr>
        <w:t>大气污染物年排放量核算表</w:t>
      </w:r>
    </w:p>
    <w:tbl>
      <w:tblPr>
        <w:tblStyle w:val="TableNormal"/>
        <w:tblW w:w="853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02"/>
        <w:gridCol w:w="4191"/>
        <w:gridCol w:w="2840"/>
      </w:tblGrid>
      <w:tr>
        <w:trPr>
          <w:trHeight w:val="316" w:hRule="atLeast"/>
        </w:trPr>
        <w:tc>
          <w:tcPr>
            <w:tcW w:w="1502" w:type="dxa"/>
            <w:vAlign w:val="top"/>
            <w:tcBorders>
              <w:right w:val="single" w:color="000000" w:sz="4" w:space="0"/>
              <w:left w:val="nil"/>
              <w:top w:val="single" w:color="000000" w:sz="10" w:space="0"/>
            </w:tcBorders>
          </w:tcPr>
          <w:p>
            <w:pPr>
              <w:pStyle w:val="TableText"/>
              <w:ind w:left="554"/>
              <w:spacing w:before="58" w:line="218" w:lineRule="auto"/>
              <w:rPr/>
            </w:pPr>
            <w:r>
              <w:rPr>
                <w:spacing w:val="-2"/>
              </w:rPr>
              <w:t>序号</w:t>
            </w:r>
          </w:p>
        </w:tc>
        <w:tc>
          <w:tcPr>
            <w:tcW w:w="4191" w:type="dxa"/>
            <w:vAlign w:val="top"/>
            <w:tcBorders>
              <w:left w:val="single" w:color="000000" w:sz="4" w:space="0"/>
              <w:right w:val="single" w:color="000000" w:sz="4" w:space="0"/>
              <w:top w:val="single" w:color="000000" w:sz="10" w:space="0"/>
            </w:tcBorders>
          </w:tcPr>
          <w:p>
            <w:pPr>
              <w:pStyle w:val="TableText"/>
              <w:ind w:left="1781"/>
              <w:spacing w:before="58" w:line="218" w:lineRule="auto"/>
              <w:rPr/>
            </w:pPr>
            <w:r>
              <w:rPr>
                <w:spacing w:val="-2"/>
              </w:rPr>
              <w:t>污染物</w:t>
            </w:r>
          </w:p>
        </w:tc>
        <w:tc>
          <w:tcPr>
            <w:tcW w:w="2840" w:type="dxa"/>
            <w:vAlign w:val="top"/>
            <w:tcBorders>
              <w:left w:val="single" w:color="000000" w:sz="4" w:space="0"/>
              <w:right w:val="nil"/>
              <w:top w:val="single" w:color="000000" w:sz="10" w:space="0"/>
            </w:tcBorders>
          </w:tcPr>
          <w:p>
            <w:pPr>
              <w:pStyle w:val="TableText"/>
              <w:ind w:left="660"/>
              <w:spacing w:before="58" w:line="218" w:lineRule="auto"/>
              <w:rPr/>
            </w:pPr>
            <w:r>
              <w:rPr>
                <w:spacing w:val="-1"/>
              </w:rPr>
              <w:t>年排放量</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t/a</w:t>
            </w:r>
            <w:r>
              <w:rPr>
                <w:spacing w:val="-1"/>
              </w:rPr>
              <w:t>）</w:t>
            </w:r>
          </w:p>
        </w:tc>
      </w:tr>
      <w:tr>
        <w:trPr>
          <w:trHeight w:val="311" w:hRule="atLeast"/>
        </w:trPr>
        <w:tc>
          <w:tcPr>
            <w:tcW w:w="1502" w:type="dxa"/>
            <w:vAlign w:val="top"/>
            <w:tcBorders>
              <w:right w:val="single" w:color="000000" w:sz="4" w:space="0"/>
              <w:left w:val="nil"/>
            </w:tcBorders>
          </w:tcPr>
          <w:p>
            <w:pPr>
              <w:ind w:left="730"/>
              <w:spacing w:before="90" w:line="20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4191" w:type="dxa"/>
            <w:vAlign w:val="top"/>
            <w:tcBorders>
              <w:left w:val="single" w:color="000000" w:sz="4" w:space="0"/>
              <w:right w:val="single" w:color="000000" w:sz="4" w:space="0"/>
            </w:tcBorders>
          </w:tcPr>
          <w:p>
            <w:pPr>
              <w:pStyle w:val="TableText"/>
              <w:ind w:left="1676"/>
              <w:spacing w:before="55" w:line="216" w:lineRule="auto"/>
              <w:rPr/>
            </w:pPr>
            <w:r>
              <w:rPr>
                <w:spacing w:val="-2"/>
              </w:rPr>
              <w:t>食堂油烟</w:t>
            </w:r>
          </w:p>
        </w:tc>
        <w:tc>
          <w:tcPr>
            <w:tcW w:w="2840" w:type="dxa"/>
            <w:vAlign w:val="top"/>
            <w:tcBorders>
              <w:left w:val="single" w:color="000000" w:sz="4" w:space="0"/>
              <w:right w:val="nil"/>
            </w:tcBorders>
          </w:tcPr>
          <w:p>
            <w:pPr>
              <w:ind w:left="1134"/>
              <w:spacing w:before="85"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r>
      <w:tr>
        <w:trPr>
          <w:trHeight w:val="311" w:hRule="atLeast"/>
        </w:trPr>
        <w:tc>
          <w:tcPr>
            <w:tcW w:w="1502" w:type="dxa"/>
            <w:vAlign w:val="top"/>
            <w:tcBorders>
              <w:right w:val="single" w:color="000000" w:sz="4" w:space="0"/>
              <w:left w:val="nil"/>
            </w:tcBorders>
          </w:tcPr>
          <w:p>
            <w:pPr>
              <w:ind w:left="709"/>
              <w:spacing w:before="96"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4191" w:type="dxa"/>
            <w:vAlign w:val="top"/>
            <w:tcBorders>
              <w:left w:val="single" w:color="000000" w:sz="4" w:space="0"/>
              <w:right w:val="single" w:color="000000" w:sz="4" w:space="0"/>
            </w:tcBorders>
          </w:tcPr>
          <w:p>
            <w:pPr>
              <w:pStyle w:val="TableText"/>
              <w:ind w:left="1991"/>
              <w:spacing w:before="63" w:line="209" w:lineRule="auto"/>
              <w:rPr/>
            </w:pPr>
            <w:r>
              <w:rPr/>
              <w:t>氨</w:t>
            </w:r>
          </w:p>
        </w:tc>
        <w:tc>
          <w:tcPr>
            <w:tcW w:w="2840" w:type="dxa"/>
            <w:vAlign w:val="top"/>
            <w:tcBorders>
              <w:left w:val="single" w:color="000000" w:sz="4" w:space="0"/>
              <w:right w:val="nil"/>
            </w:tcBorders>
          </w:tcPr>
          <w:p>
            <w:pPr>
              <w:ind w:left="1239"/>
              <w:spacing w:before="91"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r>
      <w:tr>
        <w:trPr>
          <w:trHeight w:val="336" w:hRule="atLeast"/>
        </w:trPr>
        <w:tc>
          <w:tcPr>
            <w:tcW w:w="1502" w:type="dxa"/>
            <w:vAlign w:val="top"/>
            <w:tcBorders>
              <w:right w:val="single" w:color="000000" w:sz="4" w:space="0"/>
              <w:left w:val="nil"/>
              <w:bottom w:val="single" w:color="000000" w:sz="10" w:space="0"/>
            </w:tcBorders>
          </w:tcPr>
          <w:p>
            <w:pPr>
              <w:ind w:left="714"/>
              <w:spacing w:before="102"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4191" w:type="dxa"/>
            <w:vAlign w:val="top"/>
            <w:tcBorders>
              <w:left w:val="single" w:color="000000" w:sz="4" w:space="0"/>
              <w:right w:val="single" w:color="000000" w:sz="4" w:space="0"/>
              <w:bottom w:val="single" w:color="000000" w:sz="10" w:space="0"/>
            </w:tcBorders>
          </w:tcPr>
          <w:p>
            <w:pPr>
              <w:pStyle w:val="TableText"/>
              <w:ind w:left="1779"/>
              <w:spacing w:before="69" w:line="222" w:lineRule="auto"/>
              <w:rPr/>
            </w:pPr>
            <w:r>
              <w:rPr>
                <w:spacing w:val="-1"/>
              </w:rPr>
              <w:t>硫化氢</w:t>
            </w:r>
          </w:p>
        </w:tc>
        <w:tc>
          <w:tcPr>
            <w:tcW w:w="2840" w:type="dxa"/>
            <w:vAlign w:val="top"/>
            <w:tcBorders>
              <w:left w:val="single" w:color="000000" w:sz="4" w:space="0"/>
              <w:right w:val="nil"/>
              <w:bottom w:val="single" w:color="000000" w:sz="10" w:space="0"/>
            </w:tcBorders>
          </w:tcPr>
          <w:p>
            <w:pPr>
              <w:ind w:left="1134"/>
              <w:spacing w:before="97"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0.0068</w:t>
            </w:r>
          </w:p>
        </w:tc>
      </w:tr>
    </w:tbl>
    <w:p>
      <w:pPr>
        <w:ind w:left="615"/>
        <w:spacing w:before="34" w:line="233" w:lineRule="auto"/>
        <w:rPr>
          <w:rFonts w:ascii="SimSun" w:hAnsi="SimSun" w:eastAsia="SimSun" w:cs="SimSun"/>
          <w:sz w:val="24"/>
          <w:szCs w:val="24"/>
        </w:rPr>
      </w:pPr>
      <w:r>
        <w:rPr>
          <w:rFonts w:ascii="SimSun" w:hAnsi="SimSun" w:eastAsia="SimSun" w:cs="SimSun"/>
          <w:sz w:val="24"/>
          <w:szCs w:val="24"/>
          <w:spacing w:val="-2"/>
        </w:rPr>
        <w:t>非正常排放量详见表</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2"/>
        </w:rPr>
        <w:t>5-13</w:t>
      </w:r>
      <w:r>
        <w:rPr>
          <w:rFonts w:ascii="SimSun" w:hAnsi="SimSun" w:eastAsia="SimSun" w:cs="SimSun"/>
          <w:sz w:val="24"/>
          <w:szCs w:val="24"/>
          <w:spacing w:val="-2"/>
        </w:rPr>
        <w:t>。</w:t>
      </w:r>
    </w:p>
    <w:p>
      <w:pPr>
        <w:ind w:left="2444"/>
        <w:spacing w:before="162"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5-13    </w:t>
      </w:r>
      <w:r>
        <w:rPr>
          <w:rFonts w:ascii="SimSun" w:hAnsi="SimSun" w:eastAsia="SimSun" w:cs="SimSun"/>
          <w:sz w:val="24"/>
          <w:szCs w:val="24"/>
          <w:b/>
          <w:bCs/>
          <w:spacing w:val="-2"/>
        </w:rPr>
        <w:t>废气非正常工况排放情况一览表</w:t>
      </w:r>
    </w:p>
    <w:p>
      <w:pPr>
        <w:spacing w:line="129" w:lineRule="exact"/>
        <w:rPr/>
      </w:pPr>
      <w:r/>
    </w:p>
    <w:tbl>
      <w:tblPr>
        <w:tblStyle w:val="TableNormal"/>
        <w:tblW w:w="8569" w:type="dxa"/>
        <w:tblInd w:w="1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55"/>
        <w:gridCol w:w="1138"/>
        <w:gridCol w:w="910"/>
        <w:gridCol w:w="1169"/>
        <w:gridCol w:w="965"/>
        <w:gridCol w:w="1109"/>
        <w:gridCol w:w="878"/>
        <w:gridCol w:w="1145"/>
      </w:tblGrid>
      <w:tr>
        <w:trPr>
          <w:trHeight w:val="815" w:hRule="atLeast"/>
        </w:trPr>
        <w:tc>
          <w:tcPr>
            <w:tcW w:w="1255" w:type="dxa"/>
            <w:vAlign w:val="top"/>
            <w:tcBorders>
              <w:top w:val="single" w:color="000000" w:sz="10" w:space="0"/>
              <w:left w:val="nil"/>
            </w:tcBorders>
          </w:tcPr>
          <w:p>
            <w:pPr>
              <w:pStyle w:val="TableText"/>
              <w:ind w:left="426"/>
              <w:spacing w:before="307" w:line="221" w:lineRule="auto"/>
              <w:rPr/>
            </w:pPr>
            <w:r>
              <w:rPr>
                <w:b/>
                <w:bCs/>
                <w:spacing w:val="-5"/>
              </w:rPr>
              <w:t>项目</w:t>
            </w:r>
          </w:p>
        </w:tc>
        <w:tc>
          <w:tcPr>
            <w:tcW w:w="1138" w:type="dxa"/>
            <w:vAlign w:val="top"/>
            <w:tcBorders>
              <w:top w:val="single" w:color="000000" w:sz="10" w:space="0"/>
            </w:tcBorders>
          </w:tcPr>
          <w:p>
            <w:pPr>
              <w:pStyle w:val="TableText"/>
              <w:ind w:left="259"/>
              <w:spacing w:before="307" w:line="221" w:lineRule="auto"/>
              <w:rPr/>
            </w:pPr>
            <w:r>
              <w:rPr>
                <w:b/>
                <w:bCs/>
                <w:spacing w:val="-4"/>
              </w:rPr>
              <w:t>污染物</w:t>
            </w:r>
          </w:p>
        </w:tc>
        <w:tc>
          <w:tcPr>
            <w:tcW w:w="910" w:type="dxa"/>
            <w:vAlign w:val="top"/>
            <w:tcBorders>
              <w:top w:val="single" w:color="000000" w:sz="10" w:space="0"/>
            </w:tcBorders>
          </w:tcPr>
          <w:p>
            <w:pPr>
              <w:pStyle w:val="TableText"/>
              <w:ind w:left="146"/>
              <w:spacing w:before="33" w:line="221" w:lineRule="auto"/>
              <w:rPr/>
            </w:pPr>
            <w:r>
              <w:rPr>
                <w:b/>
                <w:bCs/>
                <w:spacing w:val="-4"/>
              </w:rPr>
              <w:t>非正常</w:t>
            </w:r>
          </w:p>
          <w:p>
            <w:pPr>
              <w:pStyle w:val="TableText"/>
              <w:ind w:left="369" w:right="136" w:hanging="227"/>
              <w:spacing w:before="21" w:line="219" w:lineRule="auto"/>
              <w:rPr/>
            </w:pPr>
            <w:r>
              <w:rPr>
                <w:b/>
                <w:bCs/>
                <w:spacing w:val="-4"/>
              </w:rPr>
              <w:t>排放原</w:t>
            </w:r>
            <w:r>
              <w:rPr>
                <w:b/>
                <w:bCs/>
                <w:spacing w:val="-3"/>
              </w:rPr>
              <w:t>因</w:t>
            </w:r>
          </w:p>
        </w:tc>
        <w:tc>
          <w:tcPr>
            <w:tcW w:w="1169" w:type="dxa"/>
            <w:vAlign w:val="top"/>
            <w:tcBorders>
              <w:top w:val="single" w:color="000000" w:sz="10" w:space="0"/>
            </w:tcBorders>
          </w:tcPr>
          <w:p>
            <w:pPr>
              <w:pStyle w:val="TableText"/>
              <w:ind w:left="272"/>
              <w:spacing w:before="307" w:line="222" w:lineRule="auto"/>
              <w:rPr/>
            </w:pPr>
            <w:r>
              <w:rPr>
                <w:b/>
                <w:bCs/>
                <w:spacing w:val="-4"/>
              </w:rPr>
              <w:t>排放量</w:t>
            </w:r>
          </w:p>
        </w:tc>
        <w:tc>
          <w:tcPr>
            <w:tcW w:w="965" w:type="dxa"/>
            <w:vAlign w:val="top"/>
            <w:tcBorders>
              <w:top w:val="single" w:color="000000" w:sz="10" w:space="0"/>
            </w:tcBorders>
          </w:tcPr>
          <w:p>
            <w:pPr>
              <w:pStyle w:val="TableText"/>
              <w:ind w:left="115" w:right="108" w:firstLine="53"/>
              <w:spacing w:before="171" w:line="237" w:lineRule="auto"/>
              <w:rPr>
                <w:rFonts w:ascii="Times New Roman" w:hAnsi="Times New Roman" w:eastAsia="Times New Roman" w:cs="Times New Roman"/>
              </w:rPr>
            </w:pPr>
            <w:r>
              <w:rPr>
                <w:b/>
                <w:bCs/>
                <w:spacing w:val="-4"/>
              </w:rPr>
              <w:t>排放浓</w:t>
            </w:r>
            <w:r>
              <w:rPr>
                <w:b/>
                <w:bCs/>
                <w:spacing w:val="-4"/>
              </w:rPr>
              <w:t>度</w:t>
            </w:r>
            <w:r>
              <w:rPr>
                <w:spacing w:val="-41"/>
              </w:rPr>
              <w:t xml:space="preserve"> </w:t>
            </w:r>
            <w:r>
              <w:rPr>
                <w:rFonts w:ascii="Times New Roman" w:hAnsi="Times New Roman" w:eastAsia="Times New Roman" w:cs="Times New Roman"/>
                <w:b/>
                <w:bCs/>
                <w:spacing w:val="-4"/>
              </w:rPr>
              <w:t>mg/L</w:t>
            </w:r>
          </w:p>
        </w:tc>
        <w:tc>
          <w:tcPr>
            <w:tcW w:w="1109" w:type="dxa"/>
            <w:vAlign w:val="top"/>
            <w:tcBorders>
              <w:top w:val="single" w:color="000000" w:sz="10" w:space="0"/>
            </w:tcBorders>
          </w:tcPr>
          <w:p>
            <w:pPr>
              <w:pStyle w:val="TableText"/>
              <w:ind w:left="358" w:right="129" w:hanging="219"/>
              <w:spacing w:before="169" w:line="244" w:lineRule="auto"/>
              <w:rPr/>
            </w:pPr>
            <w:r>
              <w:rPr>
                <w:b/>
                <w:bCs/>
                <w:spacing w:val="-4"/>
              </w:rPr>
              <w:t>单次持续</w:t>
            </w:r>
            <w:r>
              <w:rPr>
                <w:b/>
                <w:bCs/>
                <w:spacing w:val="-7"/>
              </w:rPr>
              <w:t>时间</w:t>
            </w:r>
          </w:p>
        </w:tc>
        <w:tc>
          <w:tcPr>
            <w:tcW w:w="878" w:type="dxa"/>
            <w:vAlign w:val="top"/>
            <w:tcBorders>
              <w:top w:val="single" w:color="000000" w:sz="10" w:space="0"/>
            </w:tcBorders>
          </w:tcPr>
          <w:p>
            <w:pPr>
              <w:pStyle w:val="TableText"/>
              <w:ind w:left="231" w:right="121" w:hanging="105"/>
              <w:spacing w:before="169" w:line="243" w:lineRule="auto"/>
              <w:rPr/>
            </w:pPr>
            <w:r>
              <w:rPr>
                <w:b/>
                <w:bCs/>
                <w:spacing w:val="-5"/>
              </w:rPr>
              <w:t>年发生</w:t>
            </w:r>
            <w:r>
              <w:rPr>
                <w:b/>
                <w:bCs/>
                <w:spacing w:val="-4"/>
              </w:rPr>
              <w:t>频率</w:t>
            </w:r>
          </w:p>
        </w:tc>
        <w:tc>
          <w:tcPr>
            <w:tcW w:w="1145" w:type="dxa"/>
            <w:vAlign w:val="top"/>
            <w:tcBorders>
              <w:top w:val="single" w:color="000000" w:sz="10" w:space="0"/>
              <w:right w:val="nil"/>
            </w:tcBorders>
          </w:tcPr>
          <w:p>
            <w:pPr>
              <w:pStyle w:val="TableText"/>
              <w:ind w:left="155"/>
              <w:spacing w:before="307" w:line="221" w:lineRule="auto"/>
              <w:rPr/>
            </w:pPr>
            <w:r>
              <w:rPr>
                <w:b/>
                <w:bCs/>
                <w:spacing w:val="-3"/>
              </w:rPr>
              <w:t>应对措施</w:t>
            </w:r>
          </w:p>
        </w:tc>
      </w:tr>
      <w:tr>
        <w:trPr>
          <w:trHeight w:val="243" w:hRule="atLeast"/>
        </w:trPr>
        <w:tc>
          <w:tcPr>
            <w:tcW w:w="1255" w:type="dxa"/>
            <w:vAlign w:val="top"/>
            <w:vMerge w:val="restart"/>
            <w:tcBorders>
              <w:bottom w:val="nil"/>
              <w:left w:val="nil"/>
            </w:tcBorders>
          </w:tcPr>
          <w:p>
            <w:pPr>
              <w:spacing w:line="242" w:lineRule="auto"/>
              <w:rPr>
                <w:rFonts w:ascii="Arial"/>
                <w:sz w:val="21"/>
              </w:rPr>
            </w:pPr>
            <w:r/>
          </w:p>
          <w:p>
            <w:pPr>
              <w:pStyle w:val="TableText"/>
              <w:ind w:left="215"/>
              <w:spacing w:before="68" w:line="221" w:lineRule="auto"/>
              <w:rPr/>
            </w:pPr>
            <w:r>
              <w:rPr>
                <w:spacing w:val="-2"/>
              </w:rPr>
              <w:t>恶臭气体</w:t>
            </w:r>
          </w:p>
        </w:tc>
        <w:tc>
          <w:tcPr>
            <w:tcW w:w="1138" w:type="dxa"/>
            <w:vAlign w:val="top"/>
          </w:tcPr>
          <w:p>
            <w:pPr>
              <w:ind w:left="400"/>
              <w:spacing w:before="58" w:line="17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910" w:type="dxa"/>
            <w:vAlign w:val="top"/>
            <w:vMerge w:val="restart"/>
            <w:tcBorders>
              <w:bottom w:val="nil"/>
            </w:tcBorders>
          </w:tcPr>
          <w:p>
            <w:pPr>
              <w:pStyle w:val="TableText"/>
              <w:ind w:left="255" w:right="134" w:hanging="98"/>
              <w:spacing w:before="177" w:line="241" w:lineRule="auto"/>
              <w:rPr/>
            </w:pPr>
            <w:r>
              <w:rPr>
                <w:spacing w:val="-6"/>
              </w:rPr>
              <w:t>除臭剂</w:t>
            </w:r>
            <w:r>
              <w:rPr>
                <w:spacing w:val="-3"/>
              </w:rPr>
              <w:t>失效</w:t>
            </w:r>
          </w:p>
        </w:tc>
        <w:tc>
          <w:tcPr>
            <w:tcW w:w="1169" w:type="dxa"/>
            <w:vAlign w:val="top"/>
          </w:tcPr>
          <w:p>
            <w:pPr>
              <w:ind w:left="165"/>
              <w:spacing w:before="54" w:line="17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0.003kg/h</w:t>
            </w:r>
          </w:p>
        </w:tc>
        <w:tc>
          <w:tcPr>
            <w:tcW w:w="965" w:type="dxa"/>
            <w:vAlign w:val="top"/>
          </w:tcPr>
          <w:p>
            <w:pPr>
              <w:ind w:left="370"/>
              <w:spacing w:before="146" w:line="86"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109" w:type="dxa"/>
            <w:vAlign w:val="top"/>
            <w:vMerge w:val="restart"/>
            <w:tcBorders>
              <w:bottom w:val="nil"/>
            </w:tcBorders>
          </w:tcPr>
          <w:p>
            <w:pPr>
              <w:spacing w:line="286" w:lineRule="auto"/>
              <w:rPr>
                <w:rFonts w:ascii="Arial"/>
                <w:sz w:val="21"/>
              </w:rPr>
            </w:pPr>
            <w:r/>
          </w:p>
          <w:p>
            <w:pPr>
              <w:ind w:left="227"/>
              <w:spacing w:before="60"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≤30min</w:t>
            </w:r>
          </w:p>
        </w:tc>
        <w:tc>
          <w:tcPr>
            <w:tcW w:w="878" w:type="dxa"/>
            <w:vAlign w:val="top"/>
            <w:vMerge w:val="restart"/>
            <w:tcBorders>
              <w:bottom w:val="nil"/>
            </w:tcBorders>
          </w:tcPr>
          <w:p>
            <w:pPr>
              <w:spacing w:line="245" w:lineRule="auto"/>
              <w:rPr>
                <w:rFonts w:ascii="Arial"/>
                <w:sz w:val="21"/>
              </w:rPr>
            </w:pPr>
            <w:r/>
          </w:p>
          <w:p>
            <w:pPr>
              <w:pStyle w:val="TableText"/>
              <w:ind w:left="120"/>
              <w:spacing w:before="69" w:line="234" w:lineRule="auto"/>
              <w:rPr>
                <w:rFonts w:ascii="Times New Roman" w:hAnsi="Times New Roman" w:eastAsia="Times New Roman" w:cs="Times New Roman"/>
              </w:rPr>
            </w:pPr>
            <w:r>
              <w:rPr>
                <w:rFonts w:ascii="Times New Roman" w:hAnsi="Times New Roman" w:eastAsia="Times New Roman" w:cs="Times New Roman"/>
                <w:spacing w:val="-3"/>
              </w:rPr>
              <w:t>≤1</w:t>
            </w:r>
            <w:r>
              <w:rPr>
                <w:rFonts w:ascii="Times New Roman" w:hAnsi="Times New Roman" w:eastAsia="Times New Roman" w:cs="Times New Roman"/>
                <w:spacing w:val="14"/>
              </w:rPr>
              <w:t xml:space="preserve"> </w:t>
            </w:r>
            <w:r>
              <w:rPr>
                <w:spacing w:val="-3"/>
              </w:rPr>
              <w:t>次</w:t>
            </w:r>
            <w:r>
              <w:rPr>
                <w:rFonts w:ascii="Times New Roman" w:hAnsi="Times New Roman" w:eastAsia="Times New Roman" w:cs="Times New Roman"/>
                <w:spacing w:val="-3"/>
              </w:rPr>
              <w:t>/a</w:t>
            </w:r>
          </w:p>
        </w:tc>
        <w:tc>
          <w:tcPr>
            <w:tcW w:w="1145" w:type="dxa"/>
            <w:vAlign w:val="top"/>
            <w:vMerge w:val="restart"/>
            <w:tcBorders>
              <w:bottom w:val="nil"/>
              <w:right w:val="nil"/>
            </w:tcBorders>
          </w:tcPr>
          <w:p>
            <w:pPr>
              <w:pStyle w:val="TableText"/>
              <w:ind w:left="154"/>
              <w:spacing w:before="41" w:line="221" w:lineRule="auto"/>
              <w:rPr/>
            </w:pPr>
            <w:r>
              <w:rPr>
                <w:spacing w:val="-1"/>
              </w:rPr>
              <w:t>及时购买</w:t>
            </w:r>
          </w:p>
          <w:p>
            <w:pPr>
              <w:pStyle w:val="TableText"/>
              <w:ind w:left="366" w:right="153" w:hanging="210"/>
              <w:spacing w:before="18" w:line="225" w:lineRule="auto"/>
              <w:rPr/>
            </w:pPr>
            <w:r>
              <w:rPr>
                <w:spacing w:val="-2"/>
              </w:rPr>
              <w:t>合格的除</w:t>
            </w:r>
            <w:r>
              <w:rPr>
                <w:spacing w:val="-2"/>
              </w:rPr>
              <w:t>臭剂</w:t>
            </w:r>
          </w:p>
        </w:tc>
      </w:tr>
      <w:tr>
        <w:trPr>
          <w:trHeight w:val="586" w:hRule="atLeast"/>
        </w:trPr>
        <w:tc>
          <w:tcPr>
            <w:tcW w:w="1255" w:type="dxa"/>
            <w:vAlign w:val="top"/>
            <w:vMerge w:val="continue"/>
            <w:tcBorders>
              <w:bottom w:val="single" w:color="000000" w:sz="10" w:space="0"/>
              <w:left w:val="nil"/>
              <w:top w:val="nil"/>
            </w:tcBorders>
          </w:tcPr>
          <w:p>
            <w:pPr>
              <w:rPr>
                <w:rFonts w:ascii="Arial"/>
                <w:sz w:val="21"/>
              </w:rPr>
            </w:pPr>
            <w:r/>
          </w:p>
        </w:tc>
        <w:tc>
          <w:tcPr>
            <w:tcW w:w="1138" w:type="dxa"/>
            <w:vAlign w:val="top"/>
            <w:tcBorders>
              <w:bottom w:val="single" w:color="000000" w:sz="10" w:space="0"/>
            </w:tcBorders>
          </w:tcPr>
          <w:p>
            <w:pPr>
              <w:ind w:left="376"/>
              <w:spacing w:before="225"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9"/>
                <w:position w:val="-2"/>
              </w:rPr>
              <w:t>3</w:t>
            </w:r>
          </w:p>
        </w:tc>
        <w:tc>
          <w:tcPr>
            <w:tcW w:w="910" w:type="dxa"/>
            <w:vAlign w:val="top"/>
            <w:vMerge w:val="continue"/>
            <w:tcBorders>
              <w:bottom w:val="single" w:color="000000" w:sz="10" w:space="0"/>
              <w:top w:val="nil"/>
            </w:tcBorders>
          </w:tcPr>
          <w:p>
            <w:pPr>
              <w:rPr>
                <w:rFonts w:ascii="Arial"/>
                <w:sz w:val="21"/>
              </w:rPr>
            </w:pPr>
            <w:r/>
          </w:p>
        </w:tc>
        <w:tc>
          <w:tcPr>
            <w:tcW w:w="1169" w:type="dxa"/>
            <w:vAlign w:val="top"/>
            <w:tcBorders>
              <w:bottom w:val="single" w:color="000000" w:sz="10" w:space="0"/>
            </w:tcBorders>
          </w:tcPr>
          <w:p>
            <w:pPr>
              <w:ind w:left="165"/>
              <w:spacing w:before="219"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0.059kg/h</w:t>
            </w:r>
          </w:p>
        </w:tc>
        <w:tc>
          <w:tcPr>
            <w:tcW w:w="965" w:type="dxa"/>
            <w:vAlign w:val="top"/>
            <w:tcBorders>
              <w:bottom w:val="single" w:color="000000" w:sz="10" w:space="0"/>
            </w:tcBorders>
          </w:tcPr>
          <w:p>
            <w:pPr>
              <w:spacing w:line="249" w:lineRule="auto"/>
              <w:rPr>
                <w:rFonts w:ascii="Arial"/>
                <w:sz w:val="21"/>
              </w:rPr>
            </w:pPr>
            <w:r/>
          </w:p>
          <w:p>
            <w:pPr>
              <w:ind w:left="370"/>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position w:val="-2"/>
              </w:rPr>
              <w:t>—</w:t>
            </w:r>
          </w:p>
        </w:tc>
        <w:tc>
          <w:tcPr>
            <w:tcW w:w="1109" w:type="dxa"/>
            <w:vAlign w:val="top"/>
            <w:vMerge w:val="continue"/>
            <w:tcBorders>
              <w:bottom w:val="single" w:color="000000" w:sz="10" w:space="0"/>
              <w:top w:val="nil"/>
            </w:tcBorders>
          </w:tcPr>
          <w:p>
            <w:pPr>
              <w:rPr>
                <w:rFonts w:ascii="Arial"/>
                <w:sz w:val="21"/>
              </w:rPr>
            </w:pPr>
            <w:r/>
          </w:p>
        </w:tc>
        <w:tc>
          <w:tcPr>
            <w:tcW w:w="878" w:type="dxa"/>
            <w:vAlign w:val="top"/>
            <w:vMerge w:val="continue"/>
            <w:tcBorders>
              <w:bottom w:val="single" w:color="000000" w:sz="10" w:space="0"/>
              <w:top w:val="nil"/>
            </w:tcBorders>
          </w:tcPr>
          <w:p>
            <w:pPr>
              <w:rPr>
                <w:rFonts w:ascii="Arial"/>
                <w:sz w:val="21"/>
              </w:rPr>
            </w:pPr>
            <w:r/>
          </w:p>
        </w:tc>
        <w:tc>
          <w:tcPr>
            <w:tcW w:w="1145" w:type="dxa"/>
            <w:vAlign w:val="top"/>
            <w:vMerge w:val="continue"/>
            <w:tcBorders>
              <w:bottom w:val="single" w:color="000000" w:sz="10" w:space="0"/>
              <w:right w:val="nil"/>
              <w:top w:val="nil"/>
            </w:tcBorders>
          </w:tcPr>
          <w:p>
            <w:pPr>
              <w:rPr>
                <w:rFonts w:ascii="Arial"/>
                <w:sz w:val="21"/>
              </w:rPr>
            </w:pPr>
            <w:r/>
          </w:p>
        </w:tc>
      </w:tr>
    </w:tbl>
    <w:p>
      <w:pPr>
        <w:pStyle w:val="BodyText"/>
        <w:spacing w:line="266" w:lineRule="auto"/>
        <w:rPr/>
      </w:pPr>
      <w:r/>
    </w:p>
    <w:p>
      <w:pPr>
        <w:ind w:left="613"/>
        <w:spacing w:before="79" w:line="234" w:lineRule="auto"/>
        <w:rPr>
          <w:rFonts w:ascii="SimSun" w:hAnsi="SimSun" w:eastAsia="SimSun" w:cs="SimSun"/>
          <w:sz w:val="24"/>
          <w:szCs w:val="24"/>
        </w:rPr>
      </w:pPr>
      <w:r>
        <w:rPr>
          <w:rFonts w:ascii="Times New Roman" w:hAnsi="Times New Roman" w:eastAsia="Times New Roman" w:cs="Times New Roman"/>
          <w:sz w:val="24"/>
          <w:szCs w:val="24"/>
          <w:spacing w:val="-1"/>
        </w:rPr>
        <w:t>5.2.3.4 </w:t>
      </w:r>
      <w:r>
        <w:rPr>
          <w:rFonts w:ascii="SimSun" w:hAnsi="SimSun" w:eastAsia="SimSun" w:cs="SimSun"/>
          <w:sz w:val="24"/>
          <w:szCs w:val="24"/>
          <w:spacing w:val="-1"/>
        </w:rPr>
        <w:t>大气防护距离</w:t>
      </w:r>
    </w:p>
    <w:p>
      <w:pPr>
        <w:ind w:left="130" w:right="134" w:firstLine="480"/>
        <w:spacing w:before="164" w:line="359" w:lineRule="auto"/>
        <w:rPr>
          <w:rFonts w:ascii="SimSun" w:hAnsi="SimSun" w:eastAsia="SimSun" w:cs="SimSun"/>
          <w:sz w:val="24"/>
          <w:szCs w:val="24"/>
        </w:rPr>
      </w:pPr>
      <w:r>
        <w:rPr>
          <w:rFonts w:ascii="SimSun" w:hAnsi="SimSun" w:eastAsia="SimSun" w:cs="SimSun"/>
          <w:sz w:val="24"/>
          <w:szCs w:val="24"/>
          <w:spacing w:val="1"/>
        </w:rPr>
        <w:t>根据《环境影响评价技术导则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2.2-2018</w:t>
      </w:r>
      <w:r>
        <w:rPr>
          <w:rFonts w:ascii="SimSun" w:hAnsi="SimSun" w:eastAsia="SimSun" w:cs="SimSun"/>
          <w:sz w:val="24"/>
          <w:szCs w:val="24"/>
          <w:spacing w:val="1"/>
        </w:rPr>
        <w:t>）中对大气环境防护</w:t>
      </w:r>
      <w:r>
        <w:rPr>
          <w:rFonts w:ascii="SimSun" w:hAnsi="SimSun" w:eastAsia="SimSun" w:cs="SimSun"/>
          <w:sz w:val="24"/>
          <w:szCs w:val="24"/>
          <w:spacing w:val="2"/>
        </w:rPr>
        <w:t>距离的规定：对于项目厂界浓度满足大气污染物厂界浓度限值，但厂界外大气污</w:t>
      </w:r>
      <w:r>
        <w:rPr>
          <w:rFonts w:ascii="SimSun" w:hAnsi="SimSun" w:eastAsia="SimSun" w:cs="SimSun"/>
          <w:sz w:val="24"/>
          <w:szCs w:val="24"/>
          <w:spacing w:val="2"/>
        </w:rPr>
        <w:t>染物短期贡献浓度超过环境质量浓度限值的，可以自厂界向外设置一定范围的大</w:t>
      </w:r>
      <w:r>
        <w:rPr>
          <w:rFonts w:ascii="SimSun" w:hAnsi="SimSun" w:eastAsia="SimSun" w:cs="SimSun"/>
          <w:sz w:val="24"/>
          <w:szCs w:val="24"/>
          <w:spacing w:val="2"/>
        </w:rPr>
        <w:t>气环境防护区域，以确保大气环境防护区域外的污染物贡献浓度满足环境质量标</w:t>
      </w:r>
      <w:r>
        <w:rPr>
          <w:rFonts w:ascii="SimSun" w:hAnsi="SimSun" w:eastAsia="SimSun" w:cs="SimSun"/>
          <w:sz w:val="24"/>
          <w:szCs w:val="24"/>
          <w:spacing w:val="2"/>
        </w:rPr>
        <w:t>准。本项目大气污染物厂界浓度满足厂界浓度限值，厂界外各污染物的短期贡献</w:t>
      </w:r>
      <w:r>
        <w:rPr>
          <w:rFonts w:ascii="SimSun" w:hAnsi="SimSun" w:eastAsia="SimSun" w:cs="SimSun"/>
          <w:sz w:val="24"/>
          <w:szCs w:val="24"/>
          <w:spacing w:val="-1"/>
        </w:rPr>
        <w:t>浓度未出现超标情况，因此，本项目不需设置大气环境防护距离。</w:t>
      </w:r>
    </w:p>
    <w:p>
      <w:pPr>
        <w:ind w:left="613"/>
        <w:spacing w:line="234" w:lineRule="auto"/>
        <w:rPr>
          <w:rFonts w:ascii="SimSun" w:hAnsi="SimSun" w:eastAsia="SimSun" w:cs="SimSun"/>
          <w:sz w:val="24"/>
          <w:szCs w:val="24"/>
        </w:rPr>
      </w:pPr>
      <w:r>
        <w:rPr>
          <w:rFonts w:ascii="Times New Roman" w:hAnsi="Times New Roman" w:eastAsia="Times New Roman" w:cs="Times New Roman"/>
          <w:sz w:val="24"/>
          <w:szCs w:val="24"/>
          <w:spacing w:val="-1"/>
        </w:rPr>
        <w:t>5.2.3.5 </w:t>
      </w:r>
      <w:r>
        <w:rPr>
          <w:rFonts w:ascii="SimSun" w:hAnsi="SimSun" w:eastAsia="SimSun" w:cs="SimSun"/>
          <w:sz w:val="24"/>
          <w:szCs w:val="24"/>
          <w:spacing w:val="-1"/>
        </w:rPr>
        <w:t>卫生防护距离</w:t>
      </w:r>
    </w:p>
    <w:p>
      <w:pPr>
        <w:ind w:left="129" w:right="124" w:firstLine="481"/>
        <w:spacing w:before="164" w:line="362" w:lineRule="auto"/>
        <w:rPr>
          <w:rFonts w:ascii="SimSun" w:hAnsi="SimSun" w:eastAsia="SimSun" w:cs="SimSun"/>
          <w:sz w:val="24"/>
          <w:szCs w:val="24"/>
        </w:rPr>
      </w:pPr>
      <w:r>
        <w:rPr>
          <w:rFonts w:ascii="SimSun" w:hAnsi="SimSun" w:eastAsia="SimSun" w:cs="SimSun"/>
          <w:sz w:val="24"/>
          <w:szCs w:val="24"/>
          <w:spacing w:val="2"/>
        </w:rPr>
        <w:t>根据原国家环保总局颁布的《畜禽污染防治技术规范》（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/T81—2001</w:t>
      </w:r>
      <w:r>
        <w:rPr>
          <w:rFonts w:ascii="SimSun" w:hAnsi="SimSun" w:eastAsia="SimSun" w:cs="SimSun"/>
          <w:sz w:val="24"/>
          <w:szCs w:val="24"/>
          <w:spacing w:val="2"/>
        </w:rPr>
        <w:t>）规</w:t>
      </w:r>
      <w:r>
        <w:rPr>
          <w:rFonts w:ascii="SimSun" w:hAnsi="SimSun" w:eastAsia="SimSun" w:cs="SimSun"/>
          <w:sz w:val="24"/>
          <w:szCs w:val="24"/>
        </w:rPr>
        <w:t>定：</w:t>
      </w:r>
      <w:r>
        <w:rPr>
          <w:rFonts w:ascii="Times New Roman" w:hAnsi="Times New Roman" w:eastAsia="Times New Roman" w:cs="Times New Roman"/>
          <w:sz w:val="24"/>
          <w:szCs w:val="24"/>
        </w:rPr>
        <w:t>“</w:t>
      </w:r>
      <w:r>
        <w:rPr>
          <w:rFonts w:ascii="SimSun" w:hAnsi="SimSun" w:eastAsia="SimSun" w:cs="SimSun"/>
          <w:sz w:val="24"/>
          <w:szCs w:val="24"/>
        </w:rPr>
        <w:t>禁止在城市和城镇居民区，包括文教科研区、医疗区</w:t>
      </w:r>
      <w:r>
        <w:rPr>
          <w:rFonts w:ascii="SimSun" w:hAnsi="SimSun" w:eastAsia="SimSun" w:cs="SimSun"/>
          <w:sz w:val="24"/>
          <w:szCs w:val="24"/>
          <w:spacing w:val="-1"/>
        </w:rPr>
        <w:t>、商业区、工业区、游</w:t>
      </w:r>
      <w:r>
        <w:rPr>
          <w:rFonts w:ascii="SimSun" w:hAnsi="SimSun" w:eastAsia="SimSun" w:cs="SimSun"/>
          <w:sz w:val="24"/>
          <w:szCs w:val="24"/>
          <w:spacing w:val="2"/>
        </w:rPr>
        <w:t>览区等人口集中地区建设畜禽养殖场；新建、改建、扩建的畜禽养殖场选址应避</w:t>
      </w:r>
      <w:r>
        <w:rPr>
          <w:rFonts w:ascii="SimSun" w:hAnsi="SimSun" w:eastAsia="SimSun" w:cs="SimSun"/>
          <w:sz w:val="24"/>
          <w:szCs w:val="24"/>
          <w:spacing w:val="2"/>
        </w:rPr>
        <w:t>开禁建区域，在禁建区域附近建设的，应设在禁建区域常年主导风向的下风向或</w:t>
      </w:r>
      <w:r>
        <w:rPr>
          <w:rFonts w:ascii="SimSun" w:hAnsi="SimSun" w:eastAsia="SimSun" w:cs="SimSun"/>
          <w:sz w:val="24"/>
          <w:szCs w:val="24"/>
          <w:spacing w:val="1"/>
        </w:rPr>
        <w:t>侧风向处，场界与禁建区域边界的最小距离不得小于 </w:t>
      </w:r>
      <w:r>
        <w:rPr>
          <w:rFonts w:ascii="Times New Roman" w:hAnsi="Times New Roman" w:eastAsia="Times New Roman" w:cs="Times New Roman"/>
          <w:sz w:val="24"/>
          <w:szCs w:val="24"/>
          <w:spacing w:val="1"/>
        </w:rPr>
        <w:t>500m”</w:t>
      </w:r>
      <w:r>
        <w:rPr>
          <w:rFonts w:ascii="SimSun" w:hAnsi="SimSun" w:eastAsia="SimSun" w:cs="SimSun"/>
          <w:sz w:val="24"/>
          <w:szCs w:val="24"/>
          <w:spacing w:val="1"/>
        </w:rPr>
        <w:t>。综上，本项目场界</w:t>
      </w:r>
      <w:r>
        <w:rPr>
          <w:rFonts w:ascii="SimSun" w:hAnsi="SimSun" w:eastAsia="SimSun" w:cs="SimSun"/>
          <w:sz w:val="24"/>
          <w:szCs w:val="24"/>
          <w:spacing w:val="-3"/>
        </w:rPr>
        <w:t>外</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500m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范围内没有环境敏感目标，现状主要为草地和农田，满足畜</w:t>
      </w:r>
      <w:r>
        <w:rPr>
          <w:rFonts w:ascii="SimSun" w:hAnsi="SimSun" w:eastAsia="SimSun" w:cs="SimSun"/>
          <w:sz w:val="24"/>
          <w:szCs w:val="24"/>
          <w:spacing w:val="-4"/>
        </w:rPr>
        <w:t>禽污染防治技</w:t>
      </w:r>
    </w:p>
    <w:p>
      <w:pPr>
        <w:spacing w:line="362" w:lineRule="auto"/>
        <w:sectPr>
          <w:headerReference w:type="default" r:id="rId154"/>
          <w:footerReference w:type="default" r:id="rId155"/>
          <w:pgSz w:w="11907" w:h="16839"/>
          <w:pgMar w:top="1442" w:right="1574" w:bottom="1235" w:left="1579" w:header="1064" w:footer="992" w:gutter="0"/>
        </w:sectPr>
        <w:rPr>
          <w:rFonts w:ascii="SimSun" w:hAnsi="SimSun" w:eastAsia="SimSun" w:cs="SimSun"/>
          <w:sz w:val="24"/>
          <w:szCs w:val="24"/>
        </w:rPr>
      </w:pPr>
    </w:p>
    <w:p>
      <w:pPr>
        <w:ind w:left="107"/>
        <w:spacing w:before="293" w:line="233" w:lineRule="auto"/>
        <w:rPr>
          <w:rFonts w:ascii="SimSun" w:hAnsi="SimSun" w:eastAsia="SimSun" w:cs="SimSun"/>
          <w:sz w:val="24"/>
          <w:szCs w:val="24"/>
        </w:rPr>
      </w:pPr>
      <w:r>
        <w:rPr>
          <w:rFonts w:ascii="SimSun" w:hAnsi="SimSun" w:eastAsia="SimSun" w:cs="SimSun"/>
          <w:sz w:val="24"/>
          <w:szCs w:val="24"/>
          <w:spacing w:val="-1"/>
        </w:rPr>
        <w:t>术规范》（</w:t>
      </w:r>
      <w:r>
        <w:rPr>
          <w:rFonts w:ascii="Times New Roman" w:hAnsi="Times New Roman" w:eastAsia="Times New Roman" w:cs="Times New Roman"/>
          <w:sz w:val="24"/>
          <w:szCs w:val="24"/>
          <w:spacing w:val="-1"/>
        </w:rPr>
        <w:t>HJ/T81—2001</w:t>
      </w:r>
      <w:r>
        <w:rPr>
          <w:rFonts w:ascii="SimSun" w:hAnsi="SimSun" w:eastAsia="SimSun" w:cs="SimSun"/>
          <w:sz w:val="24"/>
          <w:szCs w:val="24"/>
          <w:spacing w:val="-1"/>
        </w:rPr>
        <w:t>）相关要</w:t>
      </w:r>
      <w:r>
        <w:rPr>
          <w:rFonts w:ascii="SimSun" w:hAnsi="SimSun" w:eastAsia="SimSun" w:cs="SimSun"/>
          <w:sz w:val="24"/>
          <w:szCs w:val="24"/>
          <w:spacing w:val="-2"/>
        </w:rPr>
        <w:t>求。</w:t>
      </w:r>
    </w:p>
    <w:p>
      <w:pPr>
        <w:spacing w:line="233" w:lineRule="auto"/>
        <w:sectPr>
          <w:headerReference w:type="default" r:id="rId124"/>
          <w:footerReference w:type="default" r:id="rId156"/>
          <w:pgSz w:w="11907" w:h="16839"/>
          <w:pgMar w:top="1442" w:right="1631" w:bottom="1235" w:left="1606" w:header="1064" w:footer="992" w:gutter="0"/>
        </w:sectPr>
        <w:rPr>
          <w:rFonts w:ascii="SimSun" w:hAnsi="SimSun" w:eastAsia="SimSun" w:cs="SimSun"/>
          <w:sz w:val="24"/>
          <w:szCs w:val="24"/>
        </w:rPr>
      </w:pPr>
    </w:p>
    <w:p>
      <w:pPr>
        <w:pStyle w:val="BodyText"/>
        <w:spacing w:line="276" w:lineRule="auto"/>
        <w:rPr/>
      </w:pPr>
      <w:r/>
    </w:p>
    <w:p>
      <w:pPr>
        <w:pStyle w:val="BodyText"/>
        <w:spacing w:line="276" w:lineRule="auto"/>
        <w:rPr/>
      </w:pPr>
      <w:r/>
    </w:p>
    <w:p>
      <w:pPr>
        <w:ind w:left="130"/>
        <w:spacing w:before="78" w:line="232" w:lineRule="auto"/>
        <w:rPr>
          <w:rFonts w:ascii="SimSun" w:hAnsi="SimSun" w:eastAsia="SimSun" w:cs="SimSun"/>
          <w:sz w:val="24"/>
          <w:szCs w:val="24"/>
        </w:rPr>
      </w:pPr>
      <w:r>
        <w:rPr>
          <w:rFonts w:ascii="Times New Roman" w:hAnsi="Times New Roman" w:eastAsia="Times New Roman" w:cs="Times New Roman"/>
          <w:sz w:val="24"/>
          <w:szCs w:val="24"/>
          <w:b/>
          <w:bCs/>
          <w:spacing w:val="-3"/>
        </w:rPr>
        <w:t>5.2.4</w:t>
      </w:r>
      <w:r>
        <w:rPr>
          <w:rFonts w:ascii="Times New Roman" w:hAnsi="Times New Roman" w:eastAsia="Times New Roman" w:cs="Times New Roman"/>
          <w:sz w:val="24"/>
          <w:szCs w:val="24"/>
          <w:b/>
          <w:bCs/>
          <w:spacing w:val="23"/>
        </w:rPr>
        <w:t xml:space="preserve"> </w:t>
      </w:r>
      <w:r>
        <w:rPr>
          <w:rFonts w:ascii="SimSun" w:hAnsi="SimSun" w:eastAsia="SimSun" w:cs="SimSun"/>
          <w:sz w:val="24"/>
          <w:szCs w:val="24"/>
          <w:b/>
          <w:bCs/>
          <w:spacing w:val="-3"/>
        </w:rPr>
        <w:t>营运期声环境影响预测与评价</w:t>
      </w:r>
    </w:p>
    <w:p>
      <w:pPr>
        <w:pStyle w:val="BodyText"/>
        <w:spacing w:line="264" w:lineRule="auto"/>
        <w:rPr/>
      </w:pPr>
      <w:r/>
    </w:p>
    <w:p>
      <w:pPr>
        <w:ind w:left="618"/>
        <w:spacing w:before="78"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）预测源强</w:t>
      </w:r>
    </w:p>
    <w:p>
      <w:pPr>
        <w:ind w:left="613"/>
        <w:spacing w:before="163" w:line="233" w:lineRule="auto"/>
        <w:rPr>
          <w:rFonts w:ascii="SimSun" w:hAnsi="SimSun" w:eastAsia="SimSun" w:cs="SimSun"/>
          <w:sz w:val="24"/>
          <w:szCs w:val="24"/>
        </w:rPr>
      </w:pPr>
      <w:r>
        <w:rPr>
          <w:rFonts w:ascii="SimSun" w:hAnsi="SimSun" w:eastAsia="SimSun" w:cs="SimSun"/>
          <w:sz w:val="24"/>
          <w:szCs w:val="24"/>
          <w:spacing w:val="-1"/>
        </w:rPr>
        <w:t>本项目噪声主要来自风机、撒料机、泵类等，噪声值在</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70-90dB</w:t>
      </w:r>
      <w:r>
        <w:rPr>
          <w:rFonts w:ascii="SimSun" w:hAnsi="SimSun" w:eastAsia="SimSun" w:cs="SimSun"/>
          <w:sz w:val="24"/>
          <w:szCs w:val="24"/>
          <w:spacing w:val="-1"/>
        </w:rPr>
        <w:t>（</w:t>
      </w:r>
      <w:r>
        <w:rPr>
          <w:rFonts w:ascii="Times New Roman" w:hAnsi="Times New Roman" w:eastAsia="Times New Roman" w:cs="Times New Roman"/>
          <w:sz w:val="24"/>
          <w:szCs w:val="24"/>
          <w:spacing w:val="-1"/>
        </w:rPr>
        <w:t>A</w:t>
      </w:r>
      <w:r>
        <w:rPr>
          <w:rFonts w:ascii="SimSun" w:hAnsi="SimSun" w:eastAsia="SimSun" w:cs="SimSun"/>
          <w:sz w:val="24"/>
          <w:szCs w:val="24"/>
          <w:spacing w:val="-1"/>
        </w:rPr>
        <w:t>）之间，详见表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
        </w:rPr>
        <w:t>5-14 </w:t>
      </w:r>
      <w:r>
        <w:rPr>
          <w:rFonts w:ascii="SimSun" w:hAnsi="SimSun" w:eastAsia="SimSun" w:cs="SimSun"/>
          <w:sz w:val="24"/>
          <w:szCs w:val="24"/>
          <w:spacing w:val="-1"/>
        </w:rPr>
        <w:t>至表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5-</w:t>
      </w:r>
      <w:r>
        <w:rPr>
          <w:rFonts w:ascii="Times New Roman" w:hAnsi="Times New Roman" w:eastAsia="Times New Roman" w:cs="Times New Roman"/>
          <w:sz w:val="24"/>
          <w:szCs w:val="24"/>
          <w:spacing w:val="-2"/>
        </w:rPr>
        <w:t>15</w:t>
      </w:r>
      <w:r>
        <w:rPr>
          <w:rFonts w:ascii="SimSun" w:hAnsi="SimSun" w:eastAsia="SimSun" w:cs="SimSun"/>
          <w:sz w:val="24"/>
          <w:szCs w:val="24"/>
          <w:spacing w:val="-2"/>
        </w:rPr>
        <w:t>。</w:t>
      </w:r>
    </w:p>
    <w:p>
      <w:pPr>
        <w:ind w:left="4187"/>
        <w:spacing w:before="163" w:line="21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2"/>
        </w:rPr>
        <w:t>5-14    </w:t>
      </w:r>
      <w:r>
        <w:rPr>
          <w:rFonts w:ascii="SimSun" w:hAnsi="SimSun" w:eastAsia="SimSun" w:cs="SimSun"/>
          <w:sz w:val="24"/>
          <w:szCs w:val="24"/>
          <w:b/>
          <w:bCs/>
          <w:spacing w:val="-2"/>
        </w:rPr>
        <w:t>工业企业噪声源强调查清单（室内声源）</w:t>
      </w:r>
    </w:p>
    <w:tbl>
      <w:tblPr>
        <w:tblStyle w:val="TableNormal"/>
        <w:tblW w:w="1366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07"/>
        <w:gridCol w:w="1137"/>
        <w:gridCol w:w="958"/>
        <w:gridCol w:w="1222"/>
        <w:gridCol w:w="2426"/>
        <w:gridCol w:w="980"/>
        <w:gridCol w:w="1411"/>
        <w:gridCol w:w="679"/>
        <w:gridCol w:w="1505"/>
        <w:gridCol w:w="1128"/>
        <w:gridCol w:w="492"/>
        <w:gridCol w:w="1222"/>
      </w:tblGrid>
      <w:tr>
        <w:trPr>
          <w:trHeight w:val="632" w:hRule="atLeast"/>
        </w:trPr>
        <w:tc>
          <w:tcPr>
            <w:tcW w:w="507" w:type="dxa"/>
            <w:vAlign w:val="top"/>
            <w:vMerge w:val="restart"/>
            <w:textDirection w:val="tbRlV"/>
            <w:tcBorders>
              <w:top w:val="single" w:color="000000" w:sz="10" w:space="0"/>
              <w:left w:val="nil"/>
              <w:bottom w:val="nil"/>
            </w:tcBorders>
          </w:tcPr>
          <w:p>
            <w:pPr>
              <w:pStyle w:val="TableText"/>
              <w:ind w:left="386"/>
              <w:spacing w:before="153" w:line="210" w:lineRule="auto"/>
              <w:rPr>
                <w:sz w:val="18"/>
                <w:szCs w:val="18"/>
              </w:rPr>
            </w:pPr>
            <w:r>
              <w:rPr>
                <w:sz w:val="18"/>
                <w:szCs w:val="18"/>
                <w:b/>
                <w:bCs/>
                <w:spacing w:val="-2"/>
              </w:rPr>
              <w:t>序</w:t>
            </w:r>
            <w:r>
              <w:rPr>
                <w:sz w:val="18"/>
                <w:szCs w:val="18"/>
                <w:spacing w:val="42"/>
              </w:rPr>
              <w:t xml:space="preserve"> </w:t>
            </w:r>
            <w:r>
              <w:rPr>
                <w:sz w:val="18"/>
                <w:szCs w:val="18"/>
                <w:b/>
                <w:bCs/>
                <w:spacing w:val="-2"/>
              </w:rPr>
              <w:t>号</w:t>
            </w:r>
          </w:p>
        </w:tc>
        <w:tc>
          <w:tcPr>
            <w:tcW w:w="1137" w:type="dxa"/>
            <w:vAlign w:val="top"/>
            <w:vMerge w:val="restart"/>
            <w:tcBorders>
              <w:top w:val="single" w:color="000000" w:sz="10" w:space="0"/>
              <w:bottom w:val="nil"/>
            </w:tcBorders>
          </w:tcPr>
          <w:p>
            <w:pPr>
              <w:rPr>
                <w:rFonts w:ascii="Arial"/>
                <w:sz w:val="21"/>
              </w:rPr>
            </w:pPr>
            <w:r/>
          </w:p>
          <w:p>
            <w:pPr>
              <w:rPr>
                <w:rFonts w:ascii="Arial"/>
                <w:sz w:val="21"/>
              </w:rPr>
            </w:pPr>
            <w:r/>
          </w:p>
          <w:p>
            <w:pPr>
              <w:pStyle w:val="TableText"/>
              <w:ind w:left="404"/>
              <w:spacing w:before="59" w:line="220" w:lineRule="auto"/>
              <w:rPr>
                <w:sz w:val="18"/>
                <w:szCs w:val="18"/>
              </w:rPr>
            </w:pPr>
            <w:r>
              <w:rPr>
                <w:sz w:val="18"/>
                <w:szCs w:val="18"/>
                <w:b/>
                <w:bCs/>
                <w:spacing w:val="-7"/>
              </w:rPr>
              <w:t>区域</w:t>
            </w:r>
          </w:p>
        </w:tc>
        <w:tc>
          <w:tcPr>
            <w:tcW w:w="958" w:type="dxa"/>
            <w:vAlign w:val="top"/>
            <w:vMerge w:val="restart"/>
            <w:tcBorders>
              <w:top w:val="single" w:color="000000" w:sz="10" w:space="0"/>
              <w:bottom w:val="nil"/>
            </w:tcBorders>
          </w:tcPr>
          <w:p>
            <w:pPr>
              <w:rPr>
                <w:rFonts w:ascii="Arial"/>
                <w:sz w:val="21"/>
              </w:rPr>
            </w:pPr>
            <w:r/>
          </w:p>
          <w:p>
            <w:pPr>
              <w:spacing w:line="241" w:lineRule="auto"/>
              <w:rPr>
                <w:rFonts w:ascii="Arial"/>
                <w:sz w:val="21"/>
              </w:rPr>
            </w:pPr>
            <w:r/>
          </w:p>
          <w:p>
            <w:pPr>
              <w:pStyle w:val="TableText"/>
              <w:ind w:left="126"/>
              <w:spacing w:before="59" w:line="220" w:lineRule="auto"/>
              <w:rPr>
                <w:sz w:val="18"/>
                <w:szCs w:val="18"/>
              </w:rPr>
            </w:pPr>
            <w:r>
              <w:rPr>
                <w:sz w:val="18"/>
                <w:szCs w:val="18"/>
                <w:b/>
                <w:bCs/>
                <w:spacing w:val="-4"/>
              </w:rPr>
              <w:t>声源名称</w:t>
            </w:r>
          </w:p>
        </w:tc>
        <w:tc>
          <w:tcPr>
            <w:tcW w:w="1222" w:type="dxa"/>
            <w:vAlign w:val="top"/>
            <w:vMerge w:val="restart"/>
            <w:tcBorders>
              <w:top w:val="single" w:color="000000" w:sz="10" w:space="0"/>
              <w:bottom w:val="nil"/>
            </w:tcBorders>
          </w:tcPr>
          <w:p>
            <w:pPr>
              <w:spacing w:line="325" w:lineRule="auto"/>
              <w:rPr>
                <w:rFonts w:ascii="Arial"/>
                <w:sz w:val="21"/>
              </w:rPr>
            </w:pPr>
            <w:r/>
          </w:p>
          <w:p>
            <w:pPr>
              <w:pStyle w:val="TableText"/>
              <w:ind w:left="120"/>
              <w:spacing w:before="59" w:line="220" w:lineRule="auto"/>
              <w:rPr>
                <w:rFonts w:ascii="Times New Roman" w:hAnsi="Times New Roman" w:eastAsia="Times New Roman" w:cs="Times New Roman"/>
                <w:sz w:val="18"/>
                <w:szCs w:val="18"/>
              </w:rPr>
            </w:pPr>
            <w:r>
              <w:rPr>
                <w:sz w:val="18"/>
                <w:szCs w:val="18"/>
                <w:b/>
                <w:bCs/>
                <w:spacing w:val="-2"/>
              </w:rPr>
              <w:t>声功率级</w:t>
            </w:r>
            <w:r>
              <w:rPr>
                <w:rFonts w:ascii="Times New Roman" w:hAnsi="Times New Roman" w:eastAsia="Times New Roman" w:cs="Times New Roman"/>
                <w:sz w:val="18"/>
                <w:szCs w:val="18"/>
                <w:b/>
                <w:bCs/>
                <w:spacing w:val="-2"/>
              </w:rPr>
              <w:t>/dB</w:t>
            </w:r>
          </w:p>
          <w:p>
            <w:pPr>
              <w:pStyle w:val="TableText"/>
              <w:ind w:left="371"/>
              <w:spacing w:before="97" w:line="232" w:lineRule="auto"/>
              <w:rPr>
                <w:sz w:val="18"/>
                <w:szCs w:val="18"/>
              </w:rPr>
            </w:pPr>
            <w:r>
              <w:rPr>
                <w:sz w:val="18"/>
                <w:szCs w:val="18"/>
                <w:b/>
                <w:bCs/>
                <w:spacing w:val="-5"/>
              </w:rPr>
              <w:t>（</w:t>
            </w:r>
            <w:r>
              <w:rPr>
                <w:rFonts w:ascii="Times New Roman" w:hAnsi="Times New Roman" w:eastAsia="Times New Roman" w:cs="Times New Roman"/>
                <w:sz w:val="18"/>
                <w:szCs w:val="18"/>
                <w:b/>
                <w:bCs/>
                <w:spacing w:val="-5"/>
              </w:rPr>
              <w:t>A</w:t>
            </w:r>
            <w:r>
              <w:rPr>
                <w:sz w:val="18"/>
                <w:szCs w:val="18"/>
                <w:b/>
                <w:bCs/>
                <w:spacing w:val="-5"/>
              </w:rPr>
              <w:t>）</w:t>
            </w:r>
          </w:p>
        </w:tc>
        <w:tc>
          <w:tcPr>
            <w:tcW w:w="2426" w:type="dxa"/>
            <w:vAlign w:val="top"/>
            <w:vMerge w:val="restart"/>
            <w:tcBorders>
              <w:top w:val="single" w:color="000000" w:sz="10" w:space="0"/>
              <w:bottom w:val="nil"/>
            </w:tcBorders>
          </w:tcPr>
          <w:p>
            <w:pPr>
              <w:rPr>
                <w:rFonts w:ascii="Arial"/>
                <w:sz w:val="21"/>
              </w:rPr>
            </w:pPr>
            <w:r/>
          </w:p>
          <w:p>
            <w:pPr>
              <w:spacing w:line="241" w:lineRule="auto"/>
              <w:rPr>
                <w:rFonts w:ascii="Arial"/>
                <w:sz w:val="21"/>
              </w:rPr>
            </w:pPr>
            <w:r/>
          </w:p>
          <w:p>
            <w:pPr>
              <w:pStyle w:val="TableText"/>
              <w:ind w:left="677"/>
              <w:spacing w:before="59" w:line="220" w:lineRule="auto"/>
              <w:rPr>
                <w:sz w:val="18"/>
                <w:szCs w:val="18"/>
              </w:rPr>
            </w:pPr>
            <w:r>
              <w:rPr>
                <w:sz w:val="18"/>
                <w:szCs w:val="18"/>
                <w:b/>
                <w:bCs/>
                <w:spacing w:val="-3"/>
              </w:rPr>
              <w:t>声源控制措施</w:t>
            </w:r>
          </w:p>
        </w:tc>
        <w:tc>
          <w:tcPr>
            <w:tcW w:w="980" w:type="dxa"/>
            <w:vAlign w:val="top"/>
            <w:vMerge w:val="restart"/>
            <w:tcBorders>
              <w:top w:val="single" w:color="000000" w:sz="10" w:space="0"/>
              <w:bottom w:val="nil"/>
            </w:tcBorders>
          </w:tcPr>
          <w:p>
            <w:pPr>
              <w:spacing w:line="326" w:lineRule="auto"/>
              <w:rPr>
                <w:rFonts w:ascii="Arial"/>
                <w:sz w:val="21"/>
              </w:rPr>
            </w:pPr>
            <w:r/>
          </w:p>
          <w:p>
            <w:pPr>
              <w:pStyle w:val="TableText"/>
              <w:ind w:left="213" w:right="127" w:hanging="78"/>
              <w:spacing w:before="58" w:line="331" w:lineRule="auto"/>
              <w:rPr>
                <w:rFonts w:ascii="Times New Roman" w:hAnsi="Times New Roman" w:eastAsia="Times New Roman" w:cs="Times New Roman"/>
                <w:sz w:val="18"/>
                <w:szCs w:val="18"/>
              </w:rPr>
            </w:pPr>
            <w:r>
              <w:rPr>
                <w:sz w:val="18"/>
                <w:szCs w:val="18"/>
                <w:b/>
                <w:bCs/>
                <w:spacing w:val="-4"/>
              </w:rPr>
              <w:t>室内边界</w:t>
            </w:r>
            <w:r>
              <w:rPr>
                <w:sz w:val="18"/>
                <w:szCs w:val="18"/>
                <w:b/>
                <w:bCs/>
                <w:spacing w:val="-2"/>
              </w:rPr>
              <w:t>距离</w:t>
            </w:r>
            <w:r>
              <w:rPr>
                <w:rFonts w:ascii="Times New Roman" w:hAnsi="Times New Roman" w:eastAsia="Times New Roman" w:cs="Times New Roman"/>
                <w:sz w:val="18"/>
                <w:szCs w:val="18"/>
                <w:b/>
                <w:bCs/>
                <w:spacing w:val="-2"/>
              </w:rPr>
              <w:t>/m</w:t>
            </w:r>
          </w:p>
        </w:tc>
        <w:tc>
          <w:tcPr>
            <w:tcW w:w="1411" w:type="dxa"/>
            <w:vAlign w:val="top"/>
            <w:vMerge w:val="restart"/>
            <w:tcBorders>
              <w:top w:val="single" w:color="000000" w:sz="10" w:space="0"/>
              <w:bottom w:val="nil"/>
            </w:tcBorders>
          </w:tcPr>
          <w:p>
            <w:pPr>
              <w:spacing w:line="326" w:lineRule="auto"/>
              <w:rPr>
                <w:rFonts w:ascii="Arial"/>
                <w:sz w:val="21"/>
              </w:rPr>
            </w:pPr>
            <w:r/>
          </w:p>
          <w:p>
            <w:pPr>
              <w:pStyle w:val="TableText"/>
              <w:ind w:left="321" w:right="160" w:hanging="151"/>
              <w:spacing w:before="59" w:line="328" w:lineRule="auto"/>
              <w:rPr>
                <w:sz w:val="18"/>
                <w:szCs w:val="18"/>
              </w:rPr>
            </w:pPr>
            <w:r>
              <w:rPr>
                <w:sz w:val="18"/>
                <w:szCs w:val="18"/>
                <w:b/>
                <w:bCs/>
                <w:spacing w:val="-3"/>
              </w:rPr>
              <w:t>室内边界声级</w:t>
            </w:r>
            <w:r>
              <w:rPr>
                <w:rFonts w:ascii="Times New Roman" w:hAnsi="Times New Roman" w:eastAsia="Times New Roman" w:cs="Times New Roman"/>
                <w:sz w:val="18"/>
                <w:szCs w:val="18"/>
                <w:b/>
                <w:bCs/>
                <w:spacing w:val="-1"/>
              </w:rPr>
              <w:t>/dB</w:t>
            </w:r>
            <w:r>
              <w:rPr>
                <w:sz w:val="18"/>
                <w:szCs w:val="18"/>
                <w:b/>
                <w:bCs/>
                <w:spacing w:val="-1"/>
              </w:rPr>
              <w:t>（</w:t>
            </w:r>
            <w:r>
              <w:rPr>
                <w:rFonts w:ascii="Times New Roman" w:hAnsi="Times New Roman" w:eastAsia="Times New Roman" w:cs="Times New Roman"/>
                <w:sz w:val="18"/>
                <w:szCs w:val="18"/>
                <w:b/>
                <w:bCs/>
                <w:spacing w:val="-1"/>
              </w:rPr>
              <w:t>A</w:t>
            </w:r>
            <w:r>
              <w:rPr>
                <w:sz w:val="18"/>
                <w:szCs w:val="18"/>
                <w:b/>
                <w:bCs/>
                <w:spacing w:val="-1"/>
              </w:rPr>
              <w:t>）</w:t>
            </w:r>
          </w:p>
        </w:tc>
        <w:tc>
          <w:tcPr>
            <w:tcW w:w="679" w:type="dxa"/>
            <w:vAlign w:val="top"/>
            <w:vMerge w:val="restart"/>
            <w:tcBorders>
              <w:top w:val="single" w:color="000000" w:sz="10" w:space="0"/>
              <w:bottom w:val="nil"/>
            </w:tcBorders>
          </w:tcPr>
          <w:p>
            <w:pPr>
              <w:spacing w:line="325" w:lineRule="auto"/>
              <w:rPr>
                <w:rFonts w:ascii="Arial"/>
                <w:sz w:val="21"/>
              </w:rPr>
            </w:pPr>
            <w:r/>
          </w:p>
          <w:p>
            <w:pPr>
              <w:pStyle w:val="TableText"/>
              <w:ind w:left="171" w:right="155" w:hanging="8"/>
              <w:spacing w:before="59" w:line="323" w:lineRule="auto"/>
              <w:rPr>
                <w:sz w:val="18"/>
                <w:szCs w:val="18"/>
              </w:rPr>
            </w:pPr>
            <w:r>
              <w:rPr>
                <w:sz w:val="18"/>
                <w:szCs w:val="18"/>
                <w:b/>
                <w:bCs/>
                <w:spacing w:val="-5"/>
              </w:rPr>
              <w:t>运行</w:t>
            </w:r>
            <w:r>
              <w:rPr>
                <w:sz w:val="18"/>
                <w:szCs w:val="18"/>
                <w:b/>
                <w:bCs/>
                <w:spacing w:val="-9"/>
              </w:rPr>
              <w:t>时段</w:t>
            </w:r>
          </w:p>
        </w:tc>
        <w:tc>
          <w:tcPr>
            <w:tcW w:w="1505" w:type="dxa"/>
            <w:vAlign w:val="top"/>
            <w:vMerge w:val="restart"/>
            <w:tcBorders>
              <w:top w:val="single" w:color="000000" w:sz="10" w:space="0"/>
              <w:bottom w:val="nil"/>
            </w:tcBorders>
          </w:tcPr>
          <w:p>
            <w:pPr>
              <w:spacing w:line="326" w:lineRule="auto"/>
              <w:rPr>
                <w:rFonts w:ascii="Arial"/>
                <w:sz w:val="21"/>
              </w:rPr>
            </w:pPr>
            <w:r/>
          </w:p>
          <w:p>
            <w:pPr>
              <w:pStyle w:val="TableText"/>
              <w:ind w:left="124"/>
              <w:spacing w:before="59" w:line="220" w:lineRule="auto"/>
              <w:rPr>
                <w:sz w:val="18"/>
                <w:szCs w:val="18"/>
              </w:rPr>
            </w:pPr>
            <w:r>
              <w:rPr>
                <w:sz w:val="18"/>
                <w:szCs w:val="18"/>
                <w:b/>
                <w:bCs/>
                <w:spacing w:val="-3"/>
              </w:rPr>
              <w:t>建筑物插入损失</w:t>
            </w:r>
          </w:p>
          <w:p>
            <w:pPr>
              <w:pStyle w:val="TableText"/>
              <w:ind w:left="367"/>
              <w:spacing w:before="97" w:line="232" w:lineRule="auto"/>
              <w:rPr>
                <w:sz w:val="18"/>
                <w:szCs w:val="18"/>
              </w:rPr>
            </w:pPr>
            <w:r>
              <w:rPr>
                <w:rFonts w:ascii="Times New Roman" w:hAnsi="Times New Roman" w:eastAsia="Times New Roman" w:cs="Times New Roman"/>
                <w:sz w:val="18"/>
                <w:szCs w:val="18"/>
                <w:b/>
                <w:bCs/>
                <w:spacing w:val="-1"/>
              </w:rPr>
              <w:t>/dB</w:t>
            </w:r>
            <w:r>
              <w:rPr>
                <w:sz w:val="18"/>
                <w:szCs w:val="18"/>
                <w:b/>
                <w:bCs/>
                <w:spacing w:val="-1"/>
              </w:rPr>
              <w:t>（</w:t>
            </w:r>
            <w:r>
              <w:rPr>
                <w:rFonts w:ascii="Times New Roman" w:hAnsi="Times New Roman" w:eastAsia="Times New Roman" w:cs="Times New Roman"/>
                <w:sz w:val="18"/>
                <w:szCs w:val="18"/>
                <w:b/>
                <w:bCs/>
                <w:spacing w:val="-1"/>
              </w:rPr>
              <w:t>A</w:t>
            </w:r>
            <w:r>
              <w:rPr>
                <w:sz w:val="18"/>
                <w:szCs w:val="18"/>
                <w:b/>
                <w:bCs/>
                <w:spacing w:val="-1"/>
              </w:rPr>
              <w:t>）</w:t>
            </w:r>
          </w:p>
        </w:tc>
        <w:tc>
          <w:tcPr>
            <w:tcW w:w="1128" w:type="dxa"/>
            <w:vAlign w:val="top"/>
            <w:tcBorders>
              <w:top w:val="single" w:color="000000" w:sz="10" w:space="0"/>
            </w:tcBorders>
          </w:tcPr>
          <w:p>
            <w:pPr>
              <w:pStyle w:val="TableText"/>
              <w:ind w:left="481" w:right="109" w:hanging="361"/>
              <w:spacing w:before="70" w:line="283" w:lineRule="auto"/>
              <w:rPr>
                <w:sz w:val="18"/>
                <w:szCs w:val="18"/>
              </w:rPr>
            </w:pPr>
            <w:r>
              <w:rPr>
                <w:sz w:val="18"/>
                <w:szCs w:val="18"/>
                <w:b/>
                <w:bCs/>
                <w:spacing w:val="-4"/>
              </w:rPr>
              <w:t>建筑物外噪</w:t>
            </w:r>
            <w:r>
              <w:rPr>
                <w:sz w:val="18"/>
                <w:szCs w:val="18"/>
                <w:b/>
                <w:bCs/>
                <w:spacing w:val="-2"/>
              </w:rPr>
              <w:t>声</w:t>
            </w:r>
          </w:p>
        </w:tc>
        <w:tc>
          <w:tcPr>
            <w:tcW w:w="492" w:type="dxa"/>
            <w:vAlign w:val="top"/>
            <w:vMerge w:val="restart"/>
            <w:textDirection w:val="tbRlV"/>
            <w:tcBorders>
              <w:top w:val="single" w:color="000000" w:sz="10" w:space="0"/>
              <w:bottom w:val="nil"/>
            </w:tcBorders>
          </w:tcPr>
          <w:p>
            <w:pPr>
              <w:pStyle w:val="TableText"/>
              <w:ind w:left="386"/>
              <w:spacing w:before="152" w:line="206" w:lineRule="auto"/>
              <w:rPr>
                <w:sz w:val="18"/>
                <w:szCs w:val="18"/>
              </w:rPr>
            </w:pPr>
            <w:r>
              <w:rPr>
                <w:sz w:val="18"/>
                <w:szCs w:val="18"/>
                <w:b/>
                <w:bCs/>
                <w:spacing w:val="-2"/>
              </w:rPr>
              <w:t>台</w:t>
            </w:r>
            <w:r>
              <w:rPr>
                <w:sz w:val="18"/>
                <w:szCs w:val="18"/>
                <w:spacing w:val="42"/>
              </w:rPr>
              <w:t xml:space="preserve"> </w:t>
            </w:r>
            <w:r>
              <w:rPr>
                <w:sz w:val="18"/>
                <w:szCs w:val="18"/>
                <w:b/>
                <w:bCs/>
                <w:spacing w:val="-2"/>
              </w:rPr>
              <w:t>数</w:t>
            </w:r>
          </w:p>
        </w:tc>
        <w:tc>
          <w:tcPr>
            <w:tcW w:w="1222" w:type="dxa"/>
            <w:vAlign w:val="top"/>
            <w:vMerge w:val="restart"/>
            <w:tcBorders>
              <w:top w:val="single" w:color="000000" w:sz="10" w:space="0"/>
              <w:right w:val="nil"/>
              <w:bottom w:val="nil"/>
            </w:tcBorders>
          </w:tcPr>
          <w:p>
            <w:pPr>
              <w:spacing w:line="326" w:lineRule="auto"/>
              <w:rPr>
                <w:rFonts w:ascii="Arial"/>
                <w:sz w:val="21"/>
              </w:rPr>
            </w:pPr>
            <w:r/>
          </w:p>
          <w:p>
            <w:pPr>
              <w:pStyle w:val="TableText"/>
              <w:ind w:left="124"/>
              <w:spacing w:before="59" w:line="220" w:lineRule="auto"/>
              <w:rPr>
                <w:rFonts w:ascii="Times New Roman" w:hAnsi="Times New Roman" w:eastAsia="Times New Roman" w:cs="Times New Roman"/>
                <w:sz w:val="18"/>
                <w:szCs w:val="18"/>
              </w:rPr>
            </w:pPr>
            <w:r>
              <w:rPr>
                <w:sz w:val="18"/>
                <w:szCs w:val="18"/>
                <w:b/>
                <w:bCs/>
                <w:spacing w:val="-2"/>
              </w:rPr>
              <w:t>叠加噪声</w:t>
            </w:r>
            <w:r>
              <w:rPr>
                <w:rFonts w:ascii="Times New Roman" w:hAnsi="Times New Roman" w:eastAsia="Times New Roman" w:cs="Times New Roman"/>
                <w:sz w:val="18"/>
                <w:szCs w:val="18"/>
                <w:b/>
                <w:bCs/>
                <w:spacing w:val="-2"/>
              </w:rPr>
              <w:t>/dB</w:t>
            </w:r>
          </w:p>
          <w:p>
            <w:pPr>
              <w:pStyle w:val="TableText"/>
              <w:ind w:left="375"/>
              <w:spacing w:before="97" w:line="232" w:lineRule="auto"/>
              <w:rPr>
                <w:sz w:val="18"/>
                <w:szCs w:val="18"/>
              </w:rPr>
            </w:pPr>
            <w:r>
              <w:rPr>
                <w:sz w:val="18"/>
                <w:szCs w:val="18"/>
                <w:b/>
                <w:bCs/>
                <w:spacing w:val="-5"/>
              </w:rPr>
              <w:t>（</w:t>
            </w:r>
            <w:r>
              <w:rPr>
                <w:rFonts w:ascii="Times New Roman" w:hAnsi="Times New Roman" w:eastAsia="Times New Roman" w:cs="Times New Roman"/>
                <w:sz w:val="18"/>
                <w:szCs w:val="18"/>
                <w:b/>
                <w:bCs/>
                <w:spacing w:val="-5"/>
              </w:rPr>
              <w:t>A</w:t>
            </w:r>
            <w:r>
              <w:rPr>
                <w:sz w:val="18"/>
                <w:szCs w:val="18"/>
                <w:b/>
                <w:bCs/>
                <w:spacing w:val="-5"/>
              </w:rPr>
              <w:t>）</w:t>
            </w:r>
          </w:p>
        </w:tc>
      </w:tr>
      <w:tr>
        <w:trPr>
          <w:trHeight w:val="625" w:hRule="atLeast"/>
        </w:trPr>
        <w:tc>
          <w:tcPr>
            <w:tcW w:w="507" w:type="dxa"/>
            <w:vAlign w:val="top"/>
            <w:vMerge w:val="continue"/>
            <w:textDirection w:val="tbRlV"/>
            <w:tcBorders>
              <w:top w:val="nil"/>
              <w:left w:val="nil"/>
            </w:tcBorders>
          </w:tcPr>
          <w:p>
            <w:pPr>
              <w:rPr>
                <w:rFonts w:ascii="Arial"/>
                <w:sz w:val="21"/>
              </w:rPr>
            </w:pPr>
            <w:r/>
          </w:p>
        </w:tc>
        <w:tc>
          <w:tcPr>
            <w:tcW w:w="1137" w:type="dxa"/>
            <w:vAlign w:val="top"/>
            <w:vMerge w:val="continue"/>
            <w:tcBorders>
              <w:top w:val="nil"/>
            </w:tcBorders>
          </w:tcPr>
          <w:p>
            <w:pPr>
              <w:rPr>
                <w:rFonts w:ascii="Arial"/>
                <w:sz w:val="21"/>
              </w:rPr>
            </w:pPr>
            <w:r/>
          </w:p>
        </w:tc>
        <w:tc>
          <w:tcPr>
            <w:tcW w:w="958" w:type="dxa"/>
            <w:vAlign w:val="top"/>
            <w:vMerge w:val="continue"/>
            <w:tcBorders>
              <w:top w:val="nil"/>
            </w:tcBorders>
          </w:tcPr>
          <w:p>
            <w:pPr>
              <w:rPr>
                <w:rFonts w:ascii="Arial"/>
                <w:sz w:val="21"/>
              </w:rPr>
            </w:pPr>
            <w:r/>
          </w:p>
        </w:tc>
        <w:tc>
          <w:tcPr>
            <w:tcW w:w="1222" w:type="dxa"/>
            <w:vAlign w:val="top"/>
            <w:vMerge w:val="continue"/>
            <w:tcBorders>
              <w:top w:val="nil"/>
            </w:tcBorders>
          </w:tcPr>
          <w:p>
            <w:pPr>
              <w:rPr>
                <w:rFonts w:ascii="Arial"/>
                <w:sz w:val="21"/>
              </w:rPr>
            </w:pPr>
            <w:r/>
          </w:p>
        </w:tc>
        <w:tc>
          <w:tcPr>
            <w:tcW w:w="2426" w:type="dxa"/>
            <w:vAlign w:val="top"/>
            <w:vMerge w:val="continue"/>
            <w:tcBorders>
              <w:top w:val="nil"/>
            </w:tcBorders>
          </w:tcPr>
          <w:p>
            <w:pPr>
              <w:rPr>
                <w:rFonts w:ascii="Arial"/>
                <w:sz w:val="21"/>
              </w:rPr>
            </w:pPr>
            <w:r/>
          </w:p>
        </w:tc>
        <w:tc>
          <w:tcPr>
            <w:tcW w:w="980" w:type="dxa"/>
            <w:vAlign w:val="top"/>
            <w:vMerge w:val="continue"/>
            <w:tcBorders>
              <w:top w:val="nil"/>
            </w:tcBorders>
          </w:tcPr>
          <w:p>
            <w:pPr>
              <w:rPr>
                <w:rFonts w:ascii="Arial"/>
                <w:sz w:val="21"/>
              </w:rPr>
            </w:pPr>
            <w:r/>
          </w:p>
        </w:tc>
        <w:tc>
          <w:tcPr>
            <w:tcW w:w="1411" w:type="dxa"/>
            <w:vAlign w:val="top"/>
            <w:vMerge w:val="continue"/>
            <w:tcBorders>
              <w:top w:val="nil"/>
            </w:tcBorders>
          </w:tcPr>
          <w:p>
            <w:pPr>
              <w:rPr>
                <w:rFonts w:ascii="Arial"/>
                <w:sz w:val="21"/>
              </w:rPr>
            </w:pPr>
            <w:r/>
          </w:p>
        </w:tc>
        <w:tc>
          <w:tcPr>
            <w:tcW w:w="679" w:type="dxa"/>
            <w:vAlign w:val="top"/>
            <w:vMerge w:val="continue"/>
            <w:tcBorders>
              <w:top w:val="nil"/>
            </w:tcBorders>
          </w:tcPr>
          <w:p>
            <w:pPr>
              <w:rPr>
                <w:rFonts w:ascii="Arial"/>
                <w:sz w:val="21"/>
              </w:rPr>
            </w:pPr>
            <w:r/>
          </w:p>
        </w:tc>
        <w:tc>
          <w:tcPr>
            <w:tcW w:w="1505" w:type="dxa"/>
            <w:vAlign w:val="top"/>
            <w:vMerge w:val="continue"/>
            <w:tcBorders>
              <w:top w:val="nil"/>
            </w:tcBorders>
          </w:tcPr>
          <w:p>
            <w:pPr>
              <w:rPr>
                <w:rFonts w:ascii="Arial"/>
                <w:sz w:val="21"/>
              </w:rPr>
            </w:pPr>
            <w:r/>
          </w:p>
        </w:tc>
        <w:tc>
          <w:tcPr>
            <w:tcW w:w="1128" w:type="dxa"/>
            <w:vAlign w:val="top"/>
          </w:tcPr>
          <w:p>
            <w:pPr>
              <w:pStyle w:val="TableText"/>
              <w:ind w:left="326" w:right="154" w:hanging="159"/>
              <w:spacing w:before="67" w:line="281" w:lineRule="auto"/>
              <w:rPr>
                <w:sz w:val="18"/>
                <w:szCs w:val="18"/>
              </w:rPr>
            </w:pPr>
            <w:r>
              <w:rPr>
                <w:sz w:val="18"/>
                <w:szCs w:val="18"/>
                <w:b/>
                <w:bCs/>
                <w:spacing w:val="-3"/>
              </w:rPr>
              <w:t>声压级</w:t>
            </w:r>
            <w:r>
              <w:rPr>
                <w:rFonts w:ascii="Times New Roman" w:hAnsi="Times New Roman" w:eastAsia="Times New Roman" w:cs="Times New Roman"/>
                <w:sz w:val="18"/>
                <w:szCs w:val="18"/>
                <w:b/>
                <w:bCs/>
                <w:spacing w:val="-3"/>
              </w:rPr>
              <w:t>/dB</w:t>
            </w:r>
            <w:r>
              <w:rPr>
                <w:rFonts w:ascii="Times New Roman" w:hAnsi="Times New Roman" w:eastAsia="Times New Roman" w:cs="Times New Roman"/>
                <w:sz w:val="18"/>
                <w:szCs w:val="18"/>
                <w:b/>
                <w:bCs/>
                <w:spacing w:val="1"/>
              </w:rPr>
              <w:t xml:space="preserve"> </w:t>
            </w:r>
            <w:r>
              <w:rPr>
                <w:sz w:val="18"/>
                <w:szCs w:val="18"/>
                <w:b/>
                <w:bCs/>
                <w:spacing w:val="-5"/>
              </w:rPr>
              <w:t>（</w:t>
            </w:r>
            <w:r>
              <w:rPr>
                <w:rFonts w:ascii="Times New Roman" w:hAnsi="Times New Roman" w:eastAsia="Times New Roman" w:cs="Times New Roman"/>
                <w:sz w:val="18"/>
                <w:szCs w:val="18"/>
                <w:b/>
                <w:bCs/>
                <w:spacing w:val="-5"/>
              </w:rPr>
              <w:t>A</w:t>
            </w:r>
            <w:r>
              <w:rPr>
                <w:sz w:val="18"/>
                <w:szCs w:val="18"/>
                <w:b/>
                <w:bCs/>
                <w:spacing w:val="-5"/>
              </w:rPr>
              <w:t>）</w:t>
            </w:r>
          </w:p>
        </w:tc>
        <w:tc>
          <w:tcPr>
            <w:tcW w:w="492" w:type="dxa"/>
            <w:vAlign w:val="top"/>
            <w:vMerge w:val="continue"/>
            <w:textDirection w:val="tbRlV"/>
            <w:tcBorders>
              <w:top w:val="nil"/>
            </w:tcBorders>
          </w:tcPr>
          <w:p>
            <w:pPr>
              <w:rPr>
                <w:rFonts w:ascii="Arial"/>
                <w:sz w:val="21"/>
              </w:rPr>
            </w:pPr>
            <w:r/>
          </w:p>
        </w:tc>
        <w:tc>
          <w:tcPr>
            <w:tcW w:w="1222" w:type="dxa"/>
            <w:vAlign w:val="top"/>
            <w:vMerge w:val="continue"/>
            <w:tcBorders>
              <w:top w:val="nil"/>
              <w:right w:val="nil"/>
            </w:tcBorders>
          </w:tcPr>
          <w:p>
            <w:pPr>
              <w:rPr>
                <w:rFonts w:ascii="Arial"/>
                <w:sz w:val="21"/>
              </w:rPr>
            </w:pPr>
            <w:r/>
          </w:p>
        </w:tc>
      </w:tr>
      <w:tr>
        <w:trPr>
          <w:trHeight w:val="506" w:hRule="atLeast"/>
        </w:trPr>
        <w:tc>
          <w:tcPr>
            <w:tcW w:w="507" w:type="dxa"/>
            <w:vAlign w:val="top"/>
            <w:tcBorders>
              <w:left w:val="nil"/>
            </w:tcBorders>
          </w:tcPr>
          <w:p>
            <w:pPr>
              <w:ind w:left="235"/>
              <w:spacing w:before="196"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137" w:type="dxa"/>
            <w:vAlign w:val="top"/>
            <w:vMerge w:val="restart"/>
            <w:tcBorders>
              <w:bottom w:val="nil"/>
            </w:tcBorders>
          </w:tcPr>
          <w:p>
            <w:pPr>
              <w:spacing w:line="332" w:lineRule="auto"/>
              <w:rPr>
                <w:rFonts w:ascii="Arial"/>
                <w:sz w:val="21"/>
              </w:rPr>
            </w:pPr>
            <w:r/>
          </w:p>
          <w:p>
            <w:pPr>
              <w:spacing w:line="333" w:lineRule="auto"/>
              <w:rPr>
                <w:rFonts w:ascii="Arial"/>
                <w:sz w:val="21"/>
              </w:rPr>
            </w:pPr>
            <w:r/>
          </w:p>
          <w:p>
            <w:pPr>
              <w:pStyle w:val="TableText"/>
              <w:ind w:left="301"/>
              <w:spacing w:before="58" w:line="220" w:lineRule="auto"/>
              <w:rPr>
                <w:sz w:val="18"/>
                <w:szCs w:val="18"/>
              </w:rPr>
            </w:pPr>
            <w:r>
              <w:rPr>
                <w:sz w:val="18"/>
                <w:szCs w:val="18"/>
                <w:spacing w:val="-2"/>
              </w:rPr>
              <w:t>饲养区</w:t>
            </w:r>
          </w:p>
        </w:tc>
        <w:tc>
          <w:tcPr>
            <w:tcW w:w="958" w:type="dxa"/>
            <w:vAlign w:val="top"/>
          </w:tcPr>
          <w:p>
            <w:pPr>
              <w:pStyle w:val="TableText"/>
              <w:ind w:left="304"/>
              <w:spacing w:before="166" w:line="220" w:lineRule="auto"/>
              <w:rPr>
                <w:sz w:val="18"/>
                <w:szCs w:val="18"/>
              </w:rPr>
            </w:pPr>
            <w:r>
              <w:rPr>
                <w:sz w:val="18"/>
                <w:szCs w:val="18"/>
                <w:spacing w:val="-3"/>
              </w:rPr>
              <w:t>水泵</w:t>
            </w:r>
          </w:p>
        </w:tc>
        <w:tc>
          <w:tcPr>
            <w:tcW w:w="1222" w:type="dxa"/>
            <w:vAlign w:val="top"/>
          </w:tcPr>
          <w:p>
            <w:pPr>
              <w:ind w:left="523"/>
              <w:spacing w:before="1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tc>
        <w:tc>
          <w:tcPr>
            <w:tcW w:w="2426" w:type="dxa"/>
            <w:vAlign w:val="top"/>
            <w:vMerge w:val="restart"/>
            <w:tcBorders>
              <w:bottom w:val="nil"/>
            </w:tcBorders>
          </w:tcPr>
          <w:p>
            <w:pPr>
              <w:pStyle w:val="TableText"/>
              <w:ind w:left="139"/>
              <w:spacing w:before="254" w:line="220" w:lineRule="auto"/>
              <w:rPr>
                <w:sz w:val="18"/>
                <w:szCs w:val="18"/>
              </w:rPr>
            </w:pPr>
            <w:r>
              <w:rPr>
                <w:sz w:val="18"/>
                <w:szCs w:val="18"/>
                <w:spacing w:val="-1"/>
              </w:rPr>
              <w:t>设置基础减震措施，可降噪</w:t>
            </w:r>
          </w:p>
          <w:p>
            <w:pPr>
              <w:pStyle w:val="TableText"/>
              <w:ind w:left="774"/>
              <w:spacing w:before="97" w:line="240" w:lineRule="exact"/>
              <w:rPr>
                <w:sz w:val="18"/>
                <w:szCs w:val="18"/>
              </w:rPr>
            </w:pPr>
            <w:r>
              <w:rPr>
                <w:rFonts w:ascii="Times New Roman" w:hAnsi="Times New Roman" w:eastAsia="Times New Roman" w:cs="Times New Roman"/>
                <w:sz w:val="18"/>
                <w:szCs w:val="18"/>
                <w:spacing w:val="-1"/>
                <w:position w:val="1"/>
              </w:rPr>
              <w:t>20dB</w:t>
            </w:r>
            <w:r>
              <w:rPr>
                <w:sz w:val="18"/>
                <w:szCs w:val="18"/>
                <w:spacing w:val="-1"/>
                <w:position w:val="1"/>
              </w:rPr>
              <w:t>（</w:t>
            </w:r>
            <w:r>
              <w:rPr>
                <w:rFonts w:ascii="Times New Roman" w:hAnsi="Times New Roman" w:eastAsia="Times New Roman" w:cs="Times New Roman"/>
                <w:sz w:val="18"/>
                <w:szCs w:val="18"/>
                <w:spacing w:val="-1"/>
                <w:position w:val="1"/>
              </w:rPr>
              <w:t>A</w:t>
            </w:r>
            <w:r>
              <w:rPr>
                <w:sz w:val="18"/>
                <w:szCs w:val="18"/>
                <w:spacing w:val="-1"/>
                <w:position w:val="1"/>
              </w:rPr>
              <w:t>）</w:t>
            </w:r>
          </w:p>
        </w:tc>
        <w:tc>
          <w:tcPr>
            <w:tcW w:w="980" w:type="dxa"/>
            <w:vAlign w:val="top"/>
          </w:tcPr>
          <w:p>
            <w:pPr>
              <w:ind w:left="417"/>
              <w:spacing w:before="196"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w:t>
            </w:r>
          </w:p>
        </w:tc>
        <w:tc>
          <w:tcPr>
            <w:tcW w:w="1411" w:type="dxa"/>
            <w:vAlign w:val="top"/>
          </w:tcPr>
          <w:p>
            <w:pPr>
              <w:ind w:left="618"/>
              <w:spacing w:before="1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679" w:type="dxa"/>
            <w:vAlign w:val="top"/>
          </w:tcPr>
          <w:p>
            <w:pPr>
              <w:pStyle w:val="TableText"/>
              <w:ind w:left="164"/>
              <w:spacing w:before="166" w:line="220" w:lineRule="auto"/>
              <w:rPr>
                <w:sz w:val="18"/>
                <w:szCs w:val="18"/>
              </w:rPr>
            </w:pPr>
            <w:r>
              <w:rPr>
                <w:sz w:val="18"/>
                <w:szCs w:val="18"/>
                <w:spacing w:val="-2"/>
              </w:rPr>
              <w:t>连续</w:t>
            </w:r>
          </w:p>
        </w:tc>
        <w:tc>
          <w:tcPr>
            <w:tcW w:w="1505" w:type="dxa"/>
            <w:vAlign w:val="top"/>
          </w:tcPr>
          <w:p>
            <w:pPr>
              <w:ind w:left="661"/>
              <w:spacing w:before="1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28" w:type="dxa"/>
            <w:vAlign w:val="top"/>
          </w:tcPr>
          <w:p>
            <w:pPr>
              <w:ind w:left="479"/>
              <w:spacing w:before="1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tc>
        <w:tc>
          <w:tcPr>
            <w:tcW w:w="492" w:type="dxa"/>
            <w:vAlign w:val="top"/>
          </w:tcPr>
          <w:p>
            <w:pPr>
              <w:ind w:left="201"/>
              <w:spacing w:before="196"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22" w:type="dxa"/>
            <w:vAlign w:val="top"/>
            <w:tcBorders>
              <w:right w:val="nil"/>
            </w:tcBorders>
          </w:tcPr>
          <w:p>
            <w:pPr>
              <w:ind w:left="527"/>
              <w:spacing w:before="196"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r>
      <w:tr>
        <w:trPr>
          <w:trHeight w:val="482" w:hRule="atLeast"/>
        </w:trPr>
        <w:tc>
          <w:tcPr>
            <w:tcW w:w="507" w:type="dxa"/>
            <w:vAlign w:val="top"/>
            <w:tcBorders>
              <w:left w:val="nil"/>
            </w:tcBorders>
          </w:tcPr>
          <w:p>
            <w:pPr>
              <w:ind w:left="217"/>
              <w:spacing w:before="186"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137" w:type="dxa"/>
            <w:vAlign w:val="top"/>
            <w:vMerge w:val="continue"/>
            <w:tcBorders>
              <w:top w:val="nil"/>
              <w:bottom w:val="nil"/>
            </w:tcBorders>
          </w:tcPr>
          <w:p>
            <w:pPr>
              <w:rPr>
                <w:rFonts w:ascii="Arial"/>
                <w:sz w:val="21"/>
              </w:rPr>
            </w:pPr>
            <w:r/>
          </w:p>
        </w:tc>
        <w:tc>
          <w:tcPr>
            <w:tcW w:w="958" w:type="dxa"/>
            <w:vAlign w:val="top"/>
          </w:tcPr>
          <w:p>
            <w:pPr>
              <w:pStyle w:val="TableText"/>
              <w:ind w:left="213"/>
              <w:spacing w:before="156" w:line="219" w:lineRule="auto"/>
              <w:rPr>
                <w:sz w:val="18"/>
                <w:szCs w:val="18"/>
              </w:rPr>
            </w:pPr>
            <w:r>
              <w:rPr>
                <w:sz w:val="18"/>
                <w:szCs w:val="18"/>
                <w:spacing w:val="-2"/>
              </w:rPr>
              <w:t>撒料机</w:t>
            </w:r>
          </w:p>
        </w:tc>
        <w:tc>
          <w:tcPr>
            <w:tcW w:w="1222" w:type="dxa"/>
            <w:vAlign w:val="top"/>
          </w:tcPr>
          <w:p>
            <w:pPr>
              <w:ind w:left="526"/>
              <w:spacing w:before="18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c>
        <w:tc>
          <w:tcPr>
            <w:tcW w:w="2426" w:type="dxa"/>
            <w:vAlign w:val="top"/>
            <w:vMerge w:val="continue"/>
            <w:tcBorders>
              <w:top w:val="nil"/>
            </w:tcBorders>
          </w:tcPr>
          <w:p>
            <w:pPr>
              <w:rPr>
                <w:rFonts w:ascii="Arial"/>
                <w:sz w:val="21"/>
              </w:rPr>
            </w:pPr>
            <w:r/>
          </w:p>
        </w:tc>
        <w:tc>
          <w:tcPr>
            <w:tcW w:w="980" w:type="dxa"/>
            <w:vAlign w:val="top"/>
          </w:tcPr>
          <w:p>
            <w:pPr>
              <w:ind w:left="450"/>
              <w:spacing w:before="18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411" w:type="dxa"/>
            <w:vAlign w:val="top"/>
          </w:tcPr>
          <w:p>
            <w:pPr>
              <w:ind w:left="619"/>
              <w:spacing w:before="18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tc>
        <w:tc>
          <w:tcPr>
            <w:tcW w:w="679" w:type="dxa"/>
            <w:vAlign w:val="top"/>
          </w:tcPr>
          <w:p>
            <w:pPr>
              <w:pStyle w:val="TableText"/>
              <w:ind w:left="177"/>
              <w:spacing w:before="156" w:line="220" w:lineRule="auto"/>
              <w:rPr>
                <w:sz w:val="18"/>
                <w:szCs w:val="18"/>
              </w:rPr>
            </w:pPr>
            <w:r>
              <w:rPr>
                <w:sz w:val="18"/>
                <w:szCs w:val="18"/>
                <w:spacing w:val="-6"/>
              </w:rPr>
              <w:t>间歇</w:t>
            </w:r>
          </w:p>
        </w:tc>
        <w:tc>
          <w:tcPr>
            <w:tcW w:w="1505" w:type="dxa"/>
            <w:vAlign w:val="top"/>
          </w:tcPr>
          <w:p>
            <w:pPr>
              <w:ind w:left="661"/>
              <w:spacing w:before="18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28" w:type="dxa"/>
            <w:vAlign w:val="top"/>
          </w:tcPr>
          <w:p>
            <w:pPr>
              <w:ind w:left="474"/>
              <w:spacing w:before="18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492" w:type="dxa"/>
            <w:vAlign w:val="top"/>
          </w:tcPr>
          <w:p>
            <w:pPr>
              <w:ind w:left="201"/>
              <w:spacing w:before="186"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22" w:type="dxa"/>
            <w:vAlign w:val="top"/>
            <w:tcBorders>
              <w:right w:val="nil"/>
            </w:tcBorders>
          </w:tcPr>
          <w:p>
            <w:pPr>
              <w:ind w:left="522"/>
              <w:spacing w:before="18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tc>
      </w:tr>
      <w:tr>
        <w:trPr>
          <w:trHeight w:val="625" w:hRule="atLeast"/>
        </w:trPr>
        <w:tc>
          <w:tcPr>
            <w:tcW w:w="507" w:type="dxa"/>
            <w:vAlign w:val="top"/>
            <w:tcBorders>
              <w:left w:val="nil"/>
            </w:tcBorders>
          </w:tcPr>
          <w:p>
            <w:pPr>
              <w:ind w:left="221"/>
              <w:spacing w:before="26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137" w:type="dxa"/>
            <w:vAlign w:val="top"/>
            <w:vMerge w:val="continue"/>
            <w:tcBorders>
              <w:top w:val="nil"/>
            </w:tcBorders>
          </w:tcPr>
          <w:p>
            <w:pPr>
              <w:rPr>
                <w:rFonts w:ascii="Arial"/>
                <w:sz w:val="21"/>
              </w:rPr>
            </w:pPr>
            <w:r/>
          </w:p>
        </w:tc>
        <w:tc>
          <w:tcPr>
            <w:tcW w:w="958" w:type="dxa"/>
            <w:vAlign w:val="top"/>
          </w:tcPr>
          <w:p>
            <w:pPr>
              <w:pStyle w:val="TableText"/>
              <w:ind w:left="303"/>
              <w:spacing w:before="231" w:line="219" w:lineRule="auto"/>
              <w:rPr>
                <w:sz w:val="18"/>
                <w:szCs w:val="18"/>
              </w:rPr>
            </w:pPr>
            <w:r>
              <w:rPr>
                <w:sz w:val="18"/>
                <w:szCs w:val="18"/>
                <w:spacing w:val="-2"/>
              </w:rPr>
              <w:t>风机</w:t>
            </w:r>
          </w:p>
        </w:tc>
        <w:tc>
          <w:tcPr>
            <w:tcW w:w="1222" w:type="dxa"/>
            <w:vAlign w:val="top"/>
          </w:tcPr>
          <w:p>
            <w:pPr>
              <w:ind w:left="523"/>
              <w:spacing w:before="26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tc>
        <w:tc>
          <w:tcPr>
            <w:tcW w:w="2426" w:type="dxa"/>
            <w:vAlign w:val="top"/>
          </w:tcPr>
          <w:p>
            <w:pPr>
              <w:pStyle w:val="TableText"/>
              <w:ind w:left="116"/>
              <w:spacing w:before="76" w:line="220" w:lineRule="auto"/>
              <w:rPr>
                <w:sz w:val="18"/>
                <w:szCs w:val="18"/>
              </w:rPr>
            </w:pPr>
            <w:r>
              <w:rPr>
                <w:sz w:val="18"/>
                <w:szCs w:val="18"/>
                <w:spacing w:val="-7"/>
              </w:rPr>
              <w:t>安装消声器、基础减震措施，</w:t>
            </w:r>
          </w:p>
          <w:p>
            <w:pPr>
              <w:pStyle w:val="TableText"/>
              <w:ind w:left="486"/>
              <w:spacing w:before="97" w:line="233" w:lineRule="auto"/>
              <w:rPr>
                <w:sz w:val="18"/>
                <w:szCs w:val="18"/>
              </w:rPr>
            </w:pPr>
            <w:r>
              <w:rPr>
                <w:sz w:val="18"/>
                <w:szCs w:val="18"/>
                <w:spacing w:val="-2"/>
              </w:rPr>
              <w:t>可降噪</w:t>
            </w:r>
            <w:r>
              <w:rPr>
                <w:sz w:val="18"/>
                <w:szCs w:val="18"/>
                <w:spacing w:val="-33"/>
              </w:rPr>
              <w:t xml:space="preserve"> </w:t>
            </w:r>
            <w:r>
              <w:rPr>
                <w:rFonts w:ascii="Times New Roman" w:hAnsi="Times New Roman" w:eastAsia="Times New Roman" w:cs="Times New Roman"/>
                <w:sz w:val="18"/>
                <w:szCs w:val="18"/>
                <w:spacing w:val="-2"/>
              </w:rPr>
              <w:t>20dB</w:t>
            </w:r>
            <w:r>
              <w:rPr>
                <w:sz w:val="18"/>
                <w:szCs w:val="18"/>
                <w:spacing w:val="-2"/>
              </w:rPr>
              <w:t>（</w:t>
            </w:r>
            <w:r>
              <w:rPr>
                <w:rFonts w:ascii="Times New Roman" w:hAnsi="Times New Roman" w:eastAsia="Times New Roman" w:cs="Times New Roman"/>
                <w:sz w:val="18"/>
                <w:szCs w:val="18"/>
                <w:spacing w:val="-2"/>
              </w:rPr>
              <w:t>A</w:t>
            </w:r>
            <w:r>
              <w:rPr>
                <w:sz w:val="18"/>
                <w:szCs w:val="18"/>
                <w:spacing w:val="-2"/>
              </w:rPr>
              <w:t>）</w:t>
            </w:r>
          </w:p>
        </w:tc>
        <w:tc>
          <w:tcPr>
            <w:tcW w:w="980" w:type="dxa"/>
            <w:vAlign w:val="top"/>
          </w:tcPr>
          <w:p>
            <w:pPr>
              <w:ind w:left="449"/>
              <w:spacing w:before="26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411" w:type="dxa"/>
            <w:vAlign w:val="top"/>
          </w:tcPr>
          <w:p>
            <w:pPr>
              <w:ind w:left="618"/>
              <w:spacing w:before="26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679" w:type="dxa"/>
            <w:vAlign w:val="top"/>
          </w:tcPr>
          <w:p>
            <w:pPr>
              <w:pStyle w:val="TableText"/>
              <w:ind w:left="164"/>
              <w:spacing w:before="232" w:line="220" w:lineRule="auto"/>
              <w:rPr>
                <w:sz w:val="18"/>
                <w:szCs w:val="18"/>
              </w:rPr>
            </w:pPr>
            <w:r>
              <w:rPr>
                <w:sz w:val="18"/>
                <w:szCs w:val="18"/>
                <w:spacing w:val="-2"/>
              </w:rPr>
              <w:t>连续</w:t>
            </w:r>
          </w:p>
        </w:tc>
        <w:tc>
          <w:tcPr>
            <w:tcW w:w="1505" w:type="dxa"/>
            <w:vAlign w:val="top"/>
          </w:tcPr>
          <w:p>
            <w:pPr>
              <w:ind w:left="661"/>
              <w:spacing w:before="26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28" w:type="dxa"/>
            <w:vAlign w:val="top"/>
          </w:tcPr>
          <w:p>
            <w:pPr>
              <w:ind w:left="479"/>
              <w:spacing w:before="26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tc>
        <w:tc>
          <w:tcPr>
            <w:tcW w:w="492" w:type="dxa"/>
            <w:vAlign w:val="top"/>
          </w:tcPr>
          <w:p>
            <w:pPr>
              <w:ind w:left="208"/>
              <w:spacing w:before="26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tc>
        <w:tc>
          <w:tcPr>
            <w:tcW w:w="1222" w:type="dxa"/>
            <w:vAlign w:val="top"/>
            <w:tcBorders>
              <w:right w:val="nil"/>
            </w:tcBorders>
          </w:tcPr>
          <w:p>
            <w:pPr>
              <w:ind w:left="527"/>
              <w:spacing w:before="262"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58</w:t>
            </w:r>
          </w:p>
        </w:tc>
      </w:tr>
      <w:tr>
        <w:trPr>
          <w:trHeight w:val="625" w:hRule="atLeast"/>
        </w:trPr>
        <w:tc>
          <w:tcPr>
            <w:tcW w:w="507" w:type="dxa"/>
            <w:vAlign w:val="top"/>
            <w:tcBorders>
              <w:left w:val="nil"/>
            </w:tcBorders>
          </w:tcPr>
          <w:p>
            <w:pPr>
              <w:ind w:left="216"/>
              <w:spacing w:before="265"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tc>
        <w:tc>
          <w:tcPr>
            <w:tcW w:w="1137" w:type="dxa"/>
            <w:vAlign w:val="top"/>
            <w:vMerge w:val="restart"/>
            <w:tcBorders>
              <w:bottom w:val="nil"/>
            </w:tcBorders>
          </w:tcPr>
          <w:p>
            <w:pPr>
              <w:spacing w:line="419" w:lineRule="auto"/>
              <w:rPr>
                <w:rFonts w:ascii="Arial"/>
                <w:sz w:val="21"/>
              </w:rPr>
            </w:pPr>
            <w:r/>
          </w:p>
          <w:p>
            <w:pPr>
              <w:pStyle w:val="TableText"/>
              <w:ind w:left="301"/>
              <w:spacing w:before="58" w:line="220" w:lineRule="auto"/>
              <w:rPr>
                <w:sz w:val="18"/>
                <w:szCs w:val="18"/>
              </w:rPr>
            </w:pPr>
            <w:r>
              <w:rPr>
                <w:sz w:val="18"/>
                <w:szCs w:val="18"/>
                <w:spacing w:val="-2"/>
              </w:rPr>
              <w:t>饲料区</w:t>
            </w:r>
          </w:p>
        </w:tc>
        <w:tc>
          <w:tcPr>
            <w:tcW w:w="958" w:type="dxa"/>
            <w:vAlign w:val="top"/>
          </w:tcPr>
          <w:p>
            <w:pPr>
              <w:pStyle w:val="TableText"/>
              <w:ind w:left="213" w:right="117" w:hanging="91"/>
              <w:spacing w:before="78" w:line="275" w:lineRule="auto"/>
              <w:rPr>
                <w:sz w:val="18"/>
                <w:szCs w:val="18"/>
              </w:rPr>
            </w:pPr>
            <w:r>
              <w:rPr>
                <w:sz w:val="18"/>
                <w:szCs w:val="18"/>
                <w:spacing w:val="-2"/>
              </w:rPr>
              <w:t>滑移轮式</w:t>
            </w:r>
            <w:r>
              <w:rPr>
                <w:sz w:val="18"/>
                <w:szCs w:val="18"/>
                <w:spacing w:val="-2"/>
              </w:rPr>
              <w:t>装载机</w:t>
            </w:r>
          </w:p>
        </w:tc>
        <w:tc>
          <w:tcPr>
            <w:tcW w:w="1222" w:type="dxa"/>
            <w:vAlign w:val="top"/>
          </w:tcPr>
          <w:p>
            <w:pPr>
              <w:ind w:left="526"/>
              <w:spacing w:before="26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85</w:t>
            </w:r>
          </w:p>
        </w:tc>
        <w:tc>
          <w:tcPr>
            <w:tcW w:w="2426" w:type="dxa"/>
            <w:vAlign w:val="top"/>
            <w:vMerge w:val="restart"/>
            <w:tcBorders>
              <w:bottom w:val="nil"/>
            </w:tcBorders>
          </w:tcPr>
          <w:p>
            <w:pPr>
              <w:spacing w:line="263" w:lineRule="auto"/>
              <w:rPr>
                <w:rFonts w:ascii="Arial"/>
                <w:sz w:val="21"/>
              </w:rPr>
            </w:pPr>
            <w:r/>
          </w:p>
          <w:p>
            <w:pPr>
              <w:pStyle w:val="TableText"/>
              <w:ind w:left="139"/>
              <w:spacing w:before="59" w:line="220" w:lineRule="auto"/>
              <w:rPr>
                <w:sz w:val="18"/>
                <w:szCs w:val="18"/>
              </w:rPr>
            </w:pPr>
            <w:r>
              <w:rPr>
                <w:sz w:val="18"/>
                <w:szCs w:val="18"/>
                <w:spacing w:val="-1"/>
              </w:rPr>
              <w:t>设置基础减震措施，可降噪</w:t>
            </w:r>
          </w:p>
          <w:p>
            <w:pPr>
              <w:pStyle w:val="TableText"/>
              <w:ind w:left="774"/>
              <w:spacing w:before="98" w:line="240" w:lineRule="exact"/>
              <w:rPr>
                <w:sz w:val="18"/>
                <w:szCs w:val="18"/>
              </w:rPr>
            </w:pPr>
            <w:r>
              <w:rPr>
                <w:rFonts w:ascii="Times New Roman" w:hAnsi="Times New Roman" w:eastAsia="Times New Roman" w:cs="Times New Roman"/>
                <w:sz w:val="18"/>
                <w:szCs w:val="18"/>
                <w:spacing w:val="-1"/>
                <w:position w:val="1"/>
              </w:rPr>
              <w:t>20dB</w:t>
            </w:r>
            <w:r>
              <w:rPr>
                <w:sz w:val="18"/>
                <w:szCs w:val="18"/>
                <w:spacing w:val="-1"/>
                <w:position w:val="1"/>
              </w:rPr>
              <w:t>（</w:t>
            </w:r>
            <w:r>
              <w:rPr>
                <w:rFonts w:ascii="Times New Roman" w:hAnsi="Times New Roman" w:eastAsia="Times New Roman" w:cs="Times New Roman"/>
                <w:sz w:val="18"/>
                <w:szCs w:val="18"/>
                <w:spacing w:val="-1"/>
                <w:position w:val="1"/>
              </w:rPr>
              <w:t>A</w:t>
            </w:r>
            <w:r>
              <w:rPr>
                <w:sz w:val="18"/>
                <w:szCs w:val="18"/>
                <w:spacing w:val="-1"/>
                <w:position w:val="1"/>
              </w:rPr>
              <w:t>）</w:t>
            </w:r>
          </w:p>
        </w:tc>
        <w:tc>
          <w:tcPr>
            <w:tcW w:w="980" w:type="dxa"/>
            <w:vAlign w:val="top"/>
          </w:tcPr>
          <w:p>
            <w:pPr>
              <w:ind w:left="417"/>
              <w:spacing w:before="26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w:t>
            </w:r>
          </w:p>
        </w:tc>
        <w:tc>
          <w:tcPr>
            <w:tcW w:w="1411" w:type="dxa"/>
            <w:vAlign w:val="top"/>
          </w:tcPr>
          <w:p>
            <w:pPr>
              <w:ind w:left="619"/>
              <w:spacing w:before="26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w:t>
            </w:r>
          </w:p>
        </w:tc>
        <w:tc>
          <w:tcPr>
            <w:tcW w:w="679" w:type="dxa"/>
            <w:vAlign w:val="top"/>
          </w:tcPr>
          <w:p>
            <w:pPr>
              <w:pStyle w:val="TableText"/>
              <w:ind w:left="177"/>
              <w:spacing w:before="234" w:line="220" w:lineRule="auto"/>
              <w:rPr>
                <w:sz w:val="18"/>
                <w:szCs w:val="18"/>
              </w:rPr>
            </w:pPr>
            <w:r>
              <w:rPr>
                <w:sz w:val="18"/>
                <w:szCs w:val="18"/>
                <w:spacing w:val="-6"/>
              </w:rPr>
              <w:t>间歇</w:t>
            </w:r>
          </w:p>
        </w:tc>
        <w:tc>
          <w:tcPr>
            <w:tcW w:w="1505" w:type="dxa"/>
            <w:vAlign w:val="top"/>
          </w:tcPr>
          <w:p>
            <w:pPr>
              <w:ind w:left="661"/>
              <w:spacing w:before="26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28" w:type="dxa"/>
            <w:vAlign w:val="top"/>
          </w:tcPr>
          <w:p>
            <w:pPr>
              <w:ind w:left="474"/>
              <w:spacing w:before="26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c>
          <w:tcPr>
            <w:tcW w:w="492" w:type="dxa"/>
            <w:vAlign w:val="top"/>
          </w:tcPr>
          <w:p>
            <w:pPr>
              <w:ind w:left="201"/>
              <w:spacing w:before="265"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22" w:type="dxa"/>
            <w:vAlign w:val="top"/>
            <w:tcBorders>
              <w:right w:val="nil"/>
            </w:tcBorders>
          </w:tcPr>
          <w:p>
            <w:pPr>
              <w:ind w:left="522"/>
              <w:spacing w:before="265"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tc>
      </w:tr>
      <w:tr>
        <w:trPr>
          <w:trHeight w:val="483" w:hRule="atLeast"/>
        </w:trPr>
        <w:tc>
          <w:tcPr>
            <w:tcW w:w="507" w:type="dxa"/>
            <w:vAlign w:val="top"/>
            <w:tcBorders>
              <w:left w:val="nil"/>
            </w:tcBorders>
          </w:tcPr>
          <w:p>
            <w:pPr>
              <w:ind w:left="222"/>
              <w:spacing w:before="19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137" w:type="dxa"/>
            <w:vAlign w:val="top"/>
            <w:vMerge w:val="continue"/>
            <w:tcBorders>
              <w:top w:val="nil"/>
            </w:tcBorders>
          </w:tcPr>
          <w:p>
            <w:pPr>
              <w:rPr>
                <w:rFonts w:ascii="Arial"/>
                <w:sz w:val="21"/>
              </w:rPr>
            </w:pPr>
            <w:r/>
          </w:p>
        </w:tc>
        <w:tc>
          <w:tcPr>
            <w:tcW w:w="958" w:type="dxa"/>
            <w:vAlign w:val="top"/>
          </w:tcPr>
          <w:p>
            <w:pPr>
              <w:pStyle w:val="TableText"/>
              <w:ind w:left="213"/>
              <w:spacing w:before="167" w:line="219" w:lineRule="auto"/>
              <w:rPr>
                <w:sz w:val="18"/>
                <w:szCs w:val="18"/>
              </w:rPr>
            </w:pPr>
            <w:r>
              <w:rPr>
                <w:sz w:val="18"/>
                <w:szCs w:val="18"/>
                <w:spacing w:val="-2"/>
              </w:rPr>
              <w:t>输送机</w:t>
            </w:r>
          </w:p>
        </w:tc>
        <w:tc>
          <w:tcPr>
            <w:tcW w:w="1222" w:type="dxa"/>
            <w:vAlign w:val="top"/>
          </w:tcPr>
          <w:p>
            <w:pPr>
              <w:ind w:left="526"/>
              <w:spacing w:before="19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c>
        <w:tc>
          <w:tcPr>
            <w:tcW w:w="2426" w:type="dxa"/>
            <w:vAlign w:val="top"/>
            <w:vMerge w:val="continue"/>
            <w:tcBorders>
              <w:top w:val="nil"/>
            </w:tcBorders>
          </w:tcPr>
          <w:p>
            <w:pPr>
              <w:rPr>
                <w:rFonts w:ascii="Arial"/>
                <w:sz w:val="21"/>
              </w:rPr>
            </w:pPr>
            <w:r/>
          </w:p>
        </w:tc>
        <w:tc>
          <w:tcPr>
            <w:tcW w:w="980" w:type="dxa"/>
            <w:vAlign w:val="top"/>
          </w:tcPr>
          <w:p>
            <w:pPr>
              <w:ind w:left="417"/>
              <w:spacing w:before="197"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12</w:t>
            </w:r>
          </w:p>
        </w:tc>
        <w:tc>
          <w:tcPr>
            <w:tcW w:w="1411" w:type="dxa"/>
            <w:vAlign w:val="top"/>
          </w:tcPr>
          <w:p>
            <w:pPr>
              <w:ind w:left="619"/>
              <w:spacing w:before="19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tc>
        <w:tc>
          <w:tcPr>
            <w:tcW w:w="679" w:type="dxa"/>
            <w:vAlign w:val="top"/>
          </w:tcPr>
          <w:p>
            <w:pPr>
              <w:pStyle w:val="TableText"/>
              <w:ind w:left="177"/>
              <w:spacing w:before="167" w:line="220" w:lineRule="auto"/>
              <w:rPr>
                <w:sz w:val="18"/>
                <w:szCs w:val="18"/>
              </w:rPr>
            </w:pPr>
            <w:r>
              <w:rPr>
                <w:sz w:val="18"/>
                <w:szCs w:val="18"/>
                <w:spacing w:val="-6"/>
              </w:rPr>
              <w:t>间歇</w:t>
            </w:r>
          </w:p>
        </w:tc>
        <w:tc>
          <w:tcPr>
            <w:tcW w:w="1505" w:type="dxa"/>
            <w:vAlign w:val="top"/>
          </w:tcPr>
          <w:p>
            <w:pPr>
              <w:ind w:left="661"/>
              <w:spacing w:before="19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28" w:type="dxa"/>
            <w:vAlign w:val="top"/>
          </w:tcPr>
          <w:p>
            <w:pPr>
              <w:ind w:left="474"/>
              <w:spacing w:before="19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tc>
        <w:tc>
          <w:tcPr>
            <w:tcW w:w="492" w:type="dxa"/>
            <w:vAlign w:val="top"/>
          </w:tcPr>
          <w:p>
            <w:pPr>
              <w:ind w:left="201"/>
              <w:spacing w:before="197"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22" w:type="dxa"/>
            <w:vAlign w:val="top"/>
            <w:tcBorders>
              <w:right w:val="nil"/>
            </w:tcBorders>
          </w:tcPr>
          <w:p>
            <w:pPr>
              <w:ind w:left="522"/>
              <w:spacing w:before="197"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tc>
      </w:tr>
      <w:tr>
        <w:trPr>
          <w:trHeight w:val="649" w:hRule="atLeast"/>
        </w:trPr>
        <w:tc>
          <w:tcPr>
            <w:tcW w:w="507" w:type="dxa"/>
            <w:vAlign w:val="top"/>
            <w:tcBorders>
              <w:bottom w:val="single" w:color="000000" w:sz="10" w:space="0"/>
              <w:left w:val="nil"/>
            </w:tcBorders>
          </w:tcPr>
          <w:p>
            <w:pPr>
              <w:ind w:left="221"/>
              <w:spacing w:before="27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tc>
        <w:tc>
          <w:tcPr>
            <w:tcW w:w="1137" w:type="dxa"/>
            <w:vAlign w:val="top"/>
            <w:tcBorders>
              <w:bottom w:val="single" w:color="000000" w:sz="10" w:space="0"/>
            </w:tcBorders>
          </w:tcPr>
          <w:p>
            <w:pPr>
              <w:pStyle w:val="TableText"/>
              <w:ind w:left="214"/>
              <w:spacing w:before="85" w:line="220" w:lineRule="auto"/>
              <w:rPr>
                <w:sz w:val="18"/>
                <w:szCs w:val="18"/>
              </w:rPr>
            </w:pPr>
            <w:r>
              <w:rPr>
                <w:sz w:val="18"/>
                <w:szCs w:val="18"/>
                <w:spacing w:val="-2"/>
              </w:rPr>
              <w:t>辅助设施</w:t>
            </w:r>
          </w:p>
          <w:p>
            <w:pPr>
              <w:pStyle w:val="TableText"/>
              <w:ind w:left="217"/>
              <w:spacing w:before="96" w:line="220" w:lineRule="auto"/>
              <w:rPr>
                <w:sz w:val="18"/>
                <w:szCs w:val="18"/>
              </w:rPr>
            </w:pPr>
            <w:r>
              <w:rPr>
                <w:sz w:val="18"/>
                <w:szCs w:val="18"/>
                <w:spacing w:val="-5"/>
              </w:rPr>
              <w:t>（水井）</w:t>
            </w:r>
          </w:p>
        </w:tc>
        <w:tc>
          <w:tcPr>
            <w:tcW w:w="958" w:type="dxa"/>
            <w:vAlign w:val="top"/>
            <w:tcBorders>
              <w:bottom w:val="single" w:color="000000" w:sz="10" w:space="0"/>
            </w:tcBorders>
          </w:tcPr>
          <w:p>
            <w:pPr>
              <w:pStyle w:val="TableText"/>
              <w:ind w:left="304"/>
              <w:spacing w:before="240" w:line="220" w:lineRule="auto"/>
              <w:rPr>
                <w:sz w:val="18"/>
                <w:szCs w:val="18"/>
              </w:rPr>
            </w:pPr>
            <w:r>
              <w:rPr>
                <w:sz w:val="18"/>
                <w:szCs w:val="18"/>
                <w:spacing w:val="-3"/>
              </w:rPr>
              <w:t>水泵</w:t>
            </w:r>
          </w:p>
        </w:tc>
        <w:tc>
          <w:tcPr>
            <w:tcW w:w="1222" w:type="dxa"/>
            <w:vAlign w:val="top"/>
            <w:tcBorders>
              <w:bottom w:val="single" w:color="000000" w:sz="10" w:space="0"/>
            </w:tcBorders>
          </w:tcPr>
          <w:p>
            <w:pPr>
              <w:ind w:left="523"/>
              <w:spacing w:before="27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tc>
        <w:tc>
          <w:tcPr>
            <w:tcW w:w="2426" w:type="dxa"/>
            <w:vAlign w:val="top"/>
            <w:tcBorders>
              <w:bottom w:val="single" w:color="000000" w:sz="10" w:space="0"/>
            </w:tcBorders>
          </w:tcPr>
          <w:p>
            <w:pPr>
              <w:pStyle w:val="TableText"/>
              <w:ind w:left="139"/>
              <w:spacing w:before="84" w:line="220" w:lineRule="auto"/>
              <w:rPr>
                <w:sz w:val="18"/>
                <w:szCs w:val="18"/>
              </w:rPr>
            </w:pPr>
            <w:r>
              <w:rPr>
                <w:sz w:val="18"/>
                <w:szCs w:val="18"/>
                <w:spacing w:val="-1"/>
              </w:rPr>
              <w:t>设置基础减震措施，可降噪</w:t>
            </w:r>
          </w:p>
          <w:p>
            <w:pPr>
              <w:pStyle w:val="TableText"/>
              <w:ind w:left="774"/>
              <w:spacing w:before="97" w:line="240" w:lineRule="exact"/>
              <w:rPr>
                <w:sz w:val="18"/>
                <w:szCs w:val="18"/>
              </w:rPr>
            </w:pPr>
            <w:r>
              <w:rPr>
                <w:rFonts w:ascii="Times New Roman" w:hAnsi="Times New Roman" w:eastAsia="Times New Roman" w:cs="Times New Roman"/>
                <w:sz w:val="18"/>
                <w:szCs w:val="18"/>
                <w:spacing w:val="-1"/>
                <w:position w:val="1"/>
              </w:rPr>
              <w:t>20dB</w:t>
            </w:r>
            <w:r>
              <w:rPr>
                <w:sz w:val="18"/>
                <w:szCs w:val="18"/>
                <w:spacing w:val="-1"/>
                <w:position w:val="1"/>
              </w:rPr>
              <w:t>（</w:t>
            </w:r>
            <w:r>
              <w:rPr>
                <w:rFonts w:ascii="Times New Roman" w:hAnsi="Times New Roman" w:eastAsia="Times New Roman" w:cs="Times New Roman"/>
                <w:sz w:val="18"/>
                <w:szCs w:val="18"/>
                <w:spacing w:val="-1"/>
                <w:position w:val="1"/>
              </w:rPr>
              <w:t>A</w:t>
            </w:r>
            <w:r>
              <w:rPr>
                <w:sz w:val="18"/>
                <w:szCs w:val="18"/>
                <w:spacing w:val="-1"/>
                <w:position w:val="1"/>
              </w:rPr>
              <w:t>）</w:t>
            </w:r>
          </w:p>
        </w:tc>
        <w:tc>
          <w:tcPr>
            <w:tcW w:w="980" w:type="dxa"/>
            <w:vAlign w:val="top"/>
            <w:tcBorders>
              <w:bottom w:val="single" w:color="000000" w:sz="10" w:space="0"/>
            </w:tcBorders>
          </w:tcPr>
          <w:p>
            <w:pPr>
              <w:ind w:left="445"/>
              <w:spacing w:before="270"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411" w:type="dxa"/>
            <w:vAlign w:val="top"/>
            <w:tcBorders>
              <w:bottom w:val="single" w:color="000000" w:sz="10" w:space="0"/>
            </w:tcBorders>
          </w:tcPr>
          <w:p>
            <w:pPr>
              <w:ind w:left="618"/>
              <w:spacing w:before="27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tc>
        <w:tc>
          <w:tcPr>
            <w:tcW w:w="679" w:type="dxa"/>
            <w:vAlign w:val="top"/>
            <w:tcBorders>
              <w:bottom w:val="single" w:color="000000" w:sz="10" w:space="0"/>
            </w:tcBorders>
          </w:tcPr>
          <w:p>
            <w:pPr>
              <w:pStyle w:val="TableText"/>
              <w:ind w:left="164"/>
              <w:spacing w:before="241" w:line="220" w:lineRule="auto"/>
              <w:rPr>
                <w:sz w:val="18"/>
                <w:szCs w:val="18"/>
              </w:rPr>
            </w:pPr>
            <w:r>
              <w:rPr>
                <w:sz w:val="18"/>
                <w:szCs w:val="18"/>
                <w:spacing w:val="-2"/>
              </w:rPr>
              <w:t>连续</w:t>
            </w:r>
          </w:p>
        </w:tc>
        <w:tc>
          <w:tcPr>
            <w:tcW w:w="1505" w:type="dxa"/>
            <w:vAlign w:val="top"/>
            <w:tcBorders>
              <w:bottom w:val="single" w:color="000000" w:sz="10" w:space="0"/>
            </w:tcBorders>
          </w:tcPr>
          <w:p>
            <w:pPr>
              <w:ind w:left="661"/>
              <w:spacing w:before="27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tc>
        <w:tc>
          <w:tcPr>
            <w:tcW w:w="1128" w:type="dxa"/>
            <w:vAlign w:val="top"/>
            <w:tcBorders>
              <w:bottom w:val="single" w:color="000000" w:sz="10" w:space="0"/>
            </w:tcBorders>
          </w:tcPr>
          <w:p>
            <w:pPr>
              <w:ind w:left="479"/>
              <w:spacing w:before="27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50</w:t>
            </w:r>
          </w:p>
        </w:tc>
        <w:tc>
          <w:tcPr>
            <w:tcW w:w="492" w:type="dxa"/>
            <w:vAlign w:val="top"/>
            <w:tcBorders>
              <w:bottom w:val="single" w:color="000000" w:sz="10" w:space="0"/>
            </w:tcBorders>
          </w:tcPr>
          <w:p>
            <w:pPr>
              <w:ind w:left="201"/>
              <w:spacing w:before="270" w:line="23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222" w:type="dxa"/>
            <w:vAlign w:val="top"/>
            <w:tcBorders>
              <w:bottom w:val="single" w:color="000000" w:sz="10" w:space="0"/>
              <w:right w:val="nil"/>
            </w:tcBorders>
          </w:tcPr>
          <w:p>
            <w:pPr>
              <w:ind w:left="527"/>
              <w:spacing w:before="27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4"/>
              </w:rPr>
              <w:t>52</w:t>
            </w:r>
          </w:p>
        </w:tc>
      </w:tr>
    </w:tbl>
    <w:p>
      <w:pPr>
        <w:pStyle w:val="BodyText"/>
        <w:rPr/>
      </w:pPr>
      <w:r/>
    </w:p>
    <w:p>
      <w:pPr>
        <w:sectPr>
          <w:headerReference w:type="default" r:id="rId157"/>
          <w:footerReference w:type="default" r:id="rId158"/>
          <w:pgSz w:w="16839" w:h="11907"/>
          <w:pgMar w:top="1442" w:right="1591" w:bottom="1235" w:left="1579" w:header="1065" w:footer="992" w:gutter="0"/>
        </w:sectPr>
        <w:rPr/>
      </w:pPr>
    </w:p>
    <w:p>
      <w:pPr>
        <w:ind w:left="1780"/>
        <w:spacing w:before="293"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5-15  </w:t>
      </w:r>
      <w:r>
        <w:rPr>
          <w:rFonts w:ascii="SimSun" w:hAnsi="SimSun" w:eastAsia="SimSun" w:cs="SimSun"/>
          <w:sz w:val="24"/>
          <w:szCs w:val="24"/>
          <w:b/>
          <w:bCs/>
          <w:spacing w:val="-2"/>
        </w:rPr>
        <w:t>工业企业噪声源强调查清单（室</w:t>
      </w:r>
      <w:r>
        <w:rPr>
          <w:rFonts w:ascii="SimSun" w:hAnsi="SimSun" w:eastAsia="SimSun" w:cs="SimSun"/>
          <w:sz w:val="24"/>
          <w:szCs w:val="24"/>
          <w:b/>
          <w:bCs/>
          <w:spacing w:val="-3"/>
        </w:rPr>
        <w:t>外声源）</w:t>
      </w:r>
    </w:p>
    <w:p>
      <w:pPr>
        <w:spacing w:line="127" w:lineRule="exact"/>
        <w:rPr/>
      </w:pPr>
      <w:r/>
    </w:p>
    <w:tbl>
      <w:tblPr>
        <w:tblStyle w:val="TableNormal"/>
        <w:tblW w:w="873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4"/>
        <w:gridCol w:w="1109"/>
        <w:gridCol w:w="883"/>
        <w:gridCol w:w="1232"/>
        <w:gridCol w:w="1485"/>
        <w:gridCol w:w="1563"/>
        <w:gridCol w:w="917"/>
        <w:gridCol w:w="917"/>
      </w:tblGrid>
      <w:tr>
        <w:trPr>
          <w:trHeight w:val="939" w:hRule="atLeast"/>
        </w:trPr>
        <w:tc>
          <w:tcPr>
            <w:tcW w:w="624" w:type="dxa"/>
            <w:vAlign w:val="top"/>
            <w:textDirection w:val="tbRlV"/>
            <w:tcBorders>
              <w:top w:val="single" w:color="000000" w:sz="10" w:space="0"/>
              <w:left w:val="nil"/>
            </w:tcBorders>
          </w:tcPr>
          <w:p>
            <w:pPr>
              <w:pStyle w:val="TableText"/>
              <w:ind w:left="213"/>
              <w:spacing w:before="196" w:line="211" w:lineRule="auto"/>
              <w:rPr/>
            </w:pPr>
            <w:r>
              <w:rPr>
                <w:b/>
                <w:bCs/>
                <w:spacing w:val="-2"/>
              </w:rPr>
              <w:t>序</w:t>
            </w:r>
            <w:r>
              <w:rPr>
                <w:spacing w:val="-4"/>
              </w:rPr>
              <w:t xml:space="preserve"> </w:t>
            </w:r>
            <w:r>
              <w:rPr>
                <w:b/>
                <w:bCs/>
                <w:spacing w:val="-2"/>
              </w:rPr>
              <w:t>号</w:t>
            </w:r>
          </w:p>
        </w:tc>
        <w:tc>
          <w:tcPr>
            <w:tcW w:w="1109" w:type="dxa"/>
            <w:vAlign w:val="top"/>
            <w:tcBorders>
              <w:top w:val="single" w:color="000000" w:sz="10" w:space="0"/>
            </w:tcBorders>
          </w:tcPr>
          <w:p>
            <w:pPr>
              <w:spacing w:line="299" w:lineRule="auto"/>
              <w:rPr>
                <w:rFonts w:ascii="Arial"/>
                <w:sz w:val="21"/>
              </w:rPr>
            </w:pPr>
            <w:r/>
          </w:p>
          <w:p>
            <w:pPr>
              <w:pStyle w:val="TableText"/>
              <w:ind w:left="139"/>
              <w:spacing w:before="69" w:line="221" w:lineRule="auto"/>
              <w:rPr/>
            </w:pPr>
            <w:r>
              <w:rPr>
                <w:b/>
                <w:bCs/>
                <w:spacing w:val="-4"/>
              </w:rPr>
              <w:t>声源名称</w:t>
            </w:r>
          </w:p>
        </w:tc>
        <w:tc>
          <w:tcPr>
            <w:tcW w:w="883" w:type="dxa"/>
            <w:vAlign w:val="top"/>
            <w:tcBorders>
              <w:top w:val="single" w:color="000000" w:sz="10" w:space="0"/>
            </w:tcBorders>
          </w:tcPr>
          <w:p>
            <w:pPr>
              <w:pStyle w:val="TableText"/>
              <w:ind w:left="137" w:right="136" w:firstLine="100"/>
              <w:spacing w:before="214" w:line="277" w:lineRule="auto"/>
              <w:rPr/>
            </w:pPr>
            <w:r>
              <w:rPr>
                <w:b/>
                <w:bCs/>
                <w:spacing w:val="-6"/>
              </w:rPr>
              <w:t>数量</w:t>
            </w:r>
            <w:r>
              <w:rPr>
                <w:b/>
                <w:bCs/>
                <w:spacing w:val="-11"/>
              </w:rPr>
              <w:t>（台）</w:t>
            </w:r>
          </w:p>
        </w:tc>
        <w:tc>
          <w:tcPr>
            <w:tcW w:w="1232" w:type="dxa"/>
            <w:vAlign w:val="top"/>
            <w:tcBorders>
              <w:top w:val="single" w:color="000000" w:sz="10" w:space="0"/>
            </w:tcBorders>
          </w:tcPr>
          <w:p>
            <w:pPr>
              <w:pStyle w:val="TableText"/>
              <w:ind w:left="168" w:right="185" w:firstLine="36"/>
              <w:spacing w:before="214" w:line="282" w:lineRule="auto"/>
              <w:rPr/>
            </w:pPr>
            <w:r>
              <w:rPr>
                <w:b/>
                <w:bCs/>
                <w:spacing w:val="-5"/>
              </w:rPr>
              <w:t>声功率级</w:t>
            </w:r>
            <w:r>
              <w:rPr>
                <w:rFonts w:ascii="Times New Roman" w:hAnsi="Times New Roman" w:eastAsia="Times New Roman" w:cs="Times New Roman"/>
                <w:b/>
                <w:bCs/>
                <w:spacing w:val="-4"/>
              </w:rPr>
              <w:t>/dB</w:t>
            </w:r>
            <w:r>
              <w:rPr>
                <w:b/>
                <w:bCs/>
                <w:spacing w:val="-4"/>
              </w:rPr>
              <w:t>（</w:t>
            </w:r>
            <w:r>
              <w:rPr>
                <w:rFonts w:ascii="Times New Roman" w:hAnsi="Times New Roman" w:eastAsia="Times New Roman" w:cs="Times New Roman"/>
                <w:b/>
                <w:bCs/>
                <w:spacing w:val="-4"/>
              </w:rPr>
              <w:t>A</w:t>
            </w:r>
            <w:r>
              <w:rPr>
                <w:b/>
                <w:bCs/>
                <w:spacing w:val="-4"/>
              </w:rPr>
              <w:t>）</w:t>
            </w:r>
          </w:p>
        </w:tc>
        <w:tc>
          <w:tcPr>
            <w:tcW w:w="1485" w:type="dxa"/>
            <w:vAlign w:val="top"/>
            <w:tcBorders>
              <w:top w:val="single" w:color="000000" w:sz="10" w:space="0"/>
            </w:tcBorders>
          </w:tcPr>
          <w:p>
            <w:pPr>
              <w:spacing w:line="299" w:lineRule="auto"/>
              <w:rPr>
                <w:rFonts w:ascii="Arial"/>
                <w:sz w:val="21"/>
              </w:rPr>
            </w:pPr>
            <w:r/>
          </w:p>
          <w:p>
            <w:pPr>
              <w:pStyle w:val="TableText"/>
              <w:ind w:left="120"/>
              <w:spacing w:before="69" w:line="221" w:lineRule="auto"/>
              <w:rPr/>
            </w:pPr>
            <w:r>
              <w:rPr>
                <w:b/>
                <w:bCs/>
                <w:spacing w:val="-3"/>
              </w:rPr>
              <w:t>声源控制措施</w:t>
            </w:r>
          </w:p>
        </w:tc>
        <w:tc>
          <w:tcPr>
            <w:tcW w:w="1563" w:type="dxa"/>
            <w:vAlign w:val="top"/>
            <w:tcBorders>
              <w:top w:val="single" w:color="000000" w:sz="10" w:space="0"/>
            </w:tcBorders>
          </w:tcPr>
          <w:p>
            <w:pPr>
              <w:pStyle w:val="TableText"/>
              <w:ind w:left="165"/>
              <w:spacing w:before="57" w:line="221" w:lineRule="auto"/>
              <w:rPr/>
            </w:pPr>
            <w:r>
              <w:rPr>
                <w:b/>
                <w:bCs/>
                <w:spacing w:val="-4"/>
              </w:rPr>
              <w:t>噪声控制措施</w:t>
            </w:r>
          </w:p>
          <w:p>
            <w:pPr>
              <w:pStyle w:val="TableText"/>
              <w:ind w:left="209"/>
              <w:spacing w:before="60" w:line="234" w:lineRule="auto"/>
              <w:rPr>
                <w:rFonts w:ascii="Times New Roman" w:hAnsi="Times New Roman" w:eastAsia="Times New Roman" w:cs="Times New Roman"/>
              </w:rPr>
            </w:pPr>
            <w:r>
              <w:rPr>
                <w:b/>
                <w:bCs/>
                <w:spacing w:val="-2"/>
              </w:rPr>
              <w:t>后噪声值</w:t>
            </w:r>
            <w:r>
              <w:rPr>
                <w:rFonts w:ascii="Times New Roman" w:hAnsi="Times New Roman" w:eastAsia="Times New Roman" w:cs="Times New Roman"/>
                <w:b/>
                <w:bCs/>
                <w:spacing w:val="-2"/>
              </w:rPr>
              <w:t>/dB</w:t>
            </w:r>
          </w:p>
          <w:p>
            <w:pPr>
              <w:pStyle w:val="TableText"/>
              <w:ind w:left="507"/>
              <w:spacing w:before="44" w:line="218" w:lineRule="auto"/>
              <w:rPr/>
            </w:pPr>
            <w:r>
              <w:rPr>
                <w:b/>
                <w:bCs/>
                <w:spacing w:val="-6"/>
              </w:rPr>
              <w:t>（</w:t>
            </w:r>
            <w:r>
              <w:rPr>
                <w:rFonts w:ascii="Times New Roman" w:hAnsi="Times New Roman" w:eastAsia="Times New Roman" w:cs="Times New Roman"/>
                <w:b/>
                <w:bCs/>
                <w:spacing w:val="-6"/>
              </w:rPr>
              <w:t>A</w:t>
            </w:r>
            <w:r>
              <w:rPr>
                <w:b/>
                <w:bCs/>
                <w:spacing w:val="-6"/>
              </w:rPr>
              <w:t>）</w:t>
            </w:r>
          </w:p>
        </w:tc>
        <w:tc>
          <w:tcPr>
            <w:tcW w:w="917" w:type="dxa"/>
            <w:vAlign w:val="top"/>
            <w:tcBorders>
              <w:top w:val="single" w:color="000000" w:sz="10" w:space="0"/>
            </w:tcBorders>
          </w:tcPr>
          <w:p>
            <w:pPr>
              <w:pStyle w:val="TableText"/>
              <w:ind w:left="360" w:right="138" w:hanging="212"/>
              <w:spacing w:before="213" w:line="277" w:lineRule="auto"/>
              <w:rPr/>
            </w:pPr>
            <w:r>
              <w:rPr>
                <w:b/>
                <w:bCs/>
                <w:spacing w:val="-4"/>
              </w:rPr>
              <w:t>运行时</w:t>
            </w:r>
            <w:r>
              <w:rPr>
                <w:b/>
                <w:bCs/>
                <w:spacing w:val="-3"/>
              </w:rPr>
              <w:t>段</w:t>
            </w:r>
          </w:p>
        </w:tc>
        <w:tc>
          <w:tcPr>
            <w:tcW w:w="917" w:type="dxa"/>
            <w:vAlign w:val="top"/>
            <w:tcBorders>
              <w:top w:val="single" w:color="000000" w:sz="10" w:space="0"/>
              <w:right w:val="nil"/>
            </w:tcBorders>
          </w:tcPr>
          <w:p>
            <w:pPr>
              <w:pStyle w:val="TableText"/>
              <w:ind w:left="182" w:right="141" w:hanging="30"/>
              <w:spacing w:before="58" w:line="255" w:lineRule="auto"/>
              <w:jc w:val="both"/>
              <w:rPr/>
            </w:pPr>
            <w:r>
              <w:rPr>
                <w:b/>
                <w:bCs/>
                <w:spacing w:val="-6"/>
              </w:rPr>
              <w:t>叠加噪</w:t>
            </w:r>
            <w:r>
              <w:rPr>
                <w:b/>
                <w:bCs/>
                <w:spacing w:val="4"/>
              </w:rPr>
              <w:t>声</w:t>
            </w:r>
            <w:r>
              <w:rPr>
                <w:rFonts w:ascii="Times New Roman" w:hAnsi="Times New Roman" w:eastAsia="Times New Roman" w:cs="Times New Roman"/>
                <w:b/>
                <w:bCs/>
                <w:spacing w:val="4"/>
              </w:rPr>
              <w:t>/</w:t>
            </w:r>
            <w:r>
              <w:rPr>
                <w:rFonts w:ascii="Times New Roman" w:hAnsi="Times New Roman" w:eastAsia="Times New Roman" w:cs="Times New Roman"/>
                <w:b/>
                <w:bCs/>
              </w:rPr>
              <w:t>dB </w:t>
            </w:r>
            <w:r>
              <w:rPr>
                <w:b/>
                <w:bCs/>
                <w:spacing w:val="-6"/>
              </w:rPr>
              <w:t>（</w:t>
            </w:r>
            <w:r>
              <w:rPr>
                <w:rFonts w:ascii="Times New Roman" w:hAnsi="Times New Roman" w:eastAsia="Times New Roman" w:cs="Times New Roman"/>
                <w:b/>
                <w:bCs/>
                <w:spacing w:val="-6"/>
              </w:rPr>
              <w:t>A</w:t>
            </w:r>
            <w:r>
              <w:rPr>
                <w:b/>
                <w:bCs/>
                <w:spacing w:val="-6"/>
              </w:rPr>
              <w:t>）</w:t>
            </w:r>
          </w:p>
        </w:tc>
      </w:tr>
      <w:tr>
        <w:trPr>
          <w:trHeight w:val="623" w:hRule="atLeast"/>
        </w:trPr>
        <w:tc>
          <w:tcPr>
            <w:tcW w:w="624" w:type="dxa"/>
            <w:vAlign w:val="top"/>
            <w:tcBorders>
              <w:left w:val="nil"/>
            </w:tcBorders>
          </w:tcPr>
          <w:p>
            <w:pPr>
              <w:ind w:left="291"/>
              <w:spacing w:before="24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09" w:type="dxa"/>
            <w:vAlign w:val="top"/>
          </w:tcPr>
          <w:p>
            <w:pPr>
              <w:pStyle w:val="TableText"/>
              <w:ind w:left="240"/>
              <w:spacing w:before="214" w:line="221" w:lineRule="auto"/>
              <w:rPr/>
            </w:pPr>
            <w:r>
              <w:rPr>
                <w:spacing w:val="-2"/>
              </w:rPr>
              <w:t>运牛车</w:t>
            </w:r>
          </w:p>
        </w:tc>
        <w:tc>
          <w:tcPr>
            <w:tcW w:w="883" w:type="dxa"/>
            <w:vAlign w:val="top"/>
          </w:tcPr>
          <w:p>
            <w:pPr>
              <w:ind w:left="391"/>
              <w:spacing w:before="247"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32" w:type="dxa"/>
            <w:vAlign w:val="top"/>
          </w:tcPr>
          <w:p>
            <w:pPr>
              <w:ind w:left="514"/>
              <w:spacing w:before="247"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485" w:type="dxa"/>
            <w:vAlign w:val="top"/>
          </w:tcPr>
          <w:p>
            <w:pPr>
              <w:pStyle w:val="TableText"/>
              <w:ind w:left="434" w:right="107" w:hanging="316"/>
              <w:spacing w:before="60" w:line="243" w:lineRule="auto"/>
              <w:rPr/>
            </w:pPr>
            <w:r>
              <w:rPr>
                <w:spacing w:val="-1"/>
              </w:rPr>
              <w:t>减速慢行，定</w:t>
            </w:r>
            <w:r>
              <w:rPr>
                <w:spacing w:val="-2"/>
              </w:rPr>
              <w:t>期维护</w:t>
            </w:r>
          </w:p>
        </w:tc>
        <w:tc>
          <w:tcPr>
            <w:tcW w:w="1563" w:type="dxa"/>
            <w:vAlign w:val="top"/>
          </w:tcPr>
          <w:p>
            <w:pPr>
              <w:ind w:left="682"/>
              <w:spacing w:before="247"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w:t>
            </w:r>
          </w:p>
        </w:tc>
        <w:tc>
          <w:tcPr>
            <w:tcW w:w="917" w:type="dxa"/>
            <w:vAlign w:val="top"/>
          </w:tcPr>
          <w:p>
            <w:pPr>
              <w:pStyle w:val="TableText"/>
              <w:ind w:left="270"/>
              <w:spacing w:before="214" w:line="221" w:lineRule="auto"/>
              <w:rPr/>
            </w:pPr>
            <w:r>
              <w:rPr>
                <w:spacing w:val="-6"/>
              </w:rPr>
              <w:t>间歇</w:t>
            </w:r>
          </w:p>
        </w:tc>
        <w:tc>
          <w:tcPr>
            <w:tcW w:w="917" w:type="dxa"/>
            <w:vAlign w:val="top"/>
            <w:tcBorders>
              <w:right w:val="nil"/>
            </w:tcBorders>
          </w:tcPr>
          <w:p>
            <w:pPr>
              <w:ind w:left="360"/>
              <w:spacing w:before="247"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63</w:t>
            </w:r>
          </w:p>
        </w:tc>
      </w:tr>
      <w:tr>
        <w:trPr>
          <w:trHeight w:val="623" w:hRule="atLeast"/>
        </w:trPr>
        <w:tc>
          <w:tcPr>
            <w:tcW w:w="624" w:type="dxa"/>
            <w:vAlign w:val="top"/>
            <w:tcBorders>
              <w:left w:val="nil"/>
            </w:tcBorders>
          </w:tcPr>
          <w:p>
            <w:pPr>
              <w:ind w:left="270"/>
              <w:spacing w:before="253"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09" w:type="dxa"/>
            <w:vAlign w:val="top"/>
          </w:tcPr>
          <w:p>
            <w:pPr>
              <w:pStyle w:val="TableText"/>
              <w:ind w:left="453" w:right="132" w:hanging="281"/>
              <w:spacing w:before="64" w:line="241" w:lineRule="auto"/>
              <w:rPr/>
            </w:pPr>
            <w:r>
              <w:rPr>
                <w:spacing w:val="-11"/>
              </w:rPr>
              <w:t>自卸翻斗</w:t>
            </w:r>
            <w:r>
              <w:rPr/>
              <w:t>车</w:t>
            </w:r>
          </w:p>
        </w:tc>
        <w:tc>
          <w:tcPr>
            <w:tcW w:w="883" w:type="dxa"/>
            <w:vAlign w:val="top"/>
          </w:tcPr>
          <w:p>
            <w:pPr>
              <w:ind w:left="391"/>
              <w:spacing w:before="253"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32" w:type="dxa"/>
            <w:vAlign w:val="top"/>
          </w:tcPr>
          <w:p>
            <w:pPr>
              <w:ind w:left="514"/>
              <w:spacing w:before="25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75</w:t>
            </w:r>
          </w:p>
        </w:tc>
        <w:tc>
          <w:tcPr>
            <w:tcW w:w="1485" w:type="dxa"/>
            <w:vAlign w:val="top"/>
          </w:tcPr>
          <w:p>
            <w:pPr>
              <w:pStyle w:val="TableText"/>
              <w:ind w:left="434" w:right="107" w:hanging="316"/>
              <w:spacing w:before="64" w:line="241" w:lineRule="auto"/>
              <w:rPr/>
            </w:pPr>
            <w:r>
              <w:rPr>
                <w:spacing w:val="-1"/>
              </w:rPr>
              <w:t>减速慢行，定</w:t>
            </w:r>
            <w:r>
              <w:rPr>
                <w:spacing w:val="-2"/>
              </w:rPr>
              <w:t>期维护</w:t>
            </w:r>
          </w:p>
        </w:tc>
        <w:tc>
          <w:tcPr>
            <w:tcW w:w="1563" w:type="dxa"/>
            <w:vAlign w:val="top"/>
          </w:tcPr>
          <w:p>
            <w:pPr>
              <w:ind w:left="682"/>
              <w:spacing w:before="25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65</w:t>
            </w:r>
          </w:p>
        </w:tc>
        <w:tc>
          <w:tcPr>
            <w:tcW w:w="917" w:type="dxa"/>
            <w:vAlign w:val="top"/>
          </w:tcPr>
          <w:p>
            <w:pPr>
              <w:pStyle w:val="TableText"/>
              <w:ind w:left="270"/>
              <w:spacing w:before="220" w:line="221" w:lineRule="auto"/>
              <w:rPr/>
            </w:pPr>
            <w:r>
              <w:rPr>
                <w:spacing w:val="-6"/>
              </w:rPr>
              <w:t>间歇</w:t>
            </w:r>
          </w:p>
        </w:tc>
        <w:tc>
          <w:tcPr>
            <w:tcW w:w="917" w:type="dxa"/>
            <w:vAlign w:val="top"/>
            <w:tcBorders>
              <w:right w:val="nil"/>
            </w:tcBorders>
          </w:tcPr>
          <w:p>
            <w:pPr>
              <w:ind w:left="360"/>
              <w:spacing w:before="25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68</w:t>
            </w:r>
          </w:p>
        </w:tc>
      </w:tr>
      <w:tr>
        <w:trPr>
          <w:trHeight w:val="649" w:hRule="atLeast"/>
        </w:trPr>
        <w:tc>
          <w:tcPr>
            <w:tcW w:w="624" w:type="dxa"/>
            <w:vAlign w:val="top"/>
            <w:tcBorders>
              <w:bottom w:val="single" w:color="000000" w:sz="10" w:space="0"/>
              <w:left w:val="nil"/>
            </w:tcBorders>
          </w:tcPr>
          <w:p>
            <w:pPr>
              <w:ind w:left="275"/>
              <w:spacing w:before="25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9" w:type="dxa"/>
            <w:vAlign w:val="top"/>
            <w:tcBorders>
              <w:bottom w:val="single" w:color="000000" w:sz="10" w:space="0"/>
            </w:tcBorders>
          </w:tcPr>
          <w:p>
            <w:pPr>
              <w:pStyle w:val="TableText"/>
              <w:ind w:left="347" w:right="132" w:hanging="209"/>
              <w:spacing w:before="70" w:line="250" w:lineRule="auto"/>
              <w:rPr/>
            </w:pPr>
            <w:r>
              <w:rPr>
                <w:spacing w:val="-2"/>
              </w:rPr>
              <w:t>移动式消</w:t>
            </w:r>
            <w:r>
              <w:rPr>
                <w:spacing w:val="-2"/>
              </w:rPr>
              <w:t>毒车</w:t>
            </w:r>
          </w:p>
        </w:tc>
        <w:tc>
          <w:tcPr>
            <w:tcW w:w="883" w:type="dxa"/>
            <w:vAlign w:val="top"/>
            <w:tcBorders>
              <w:bottom w:val="single" w:color="000000" w:sz="10" w:space="0"/>
            </w:tcBorders>
          </w:tcPr>
          <w:p>
            <w:pPr>
              <w:ind w:left="411"/>
              <w:spacing w:before="258" w:line="23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32" w:type="dxa"/>
            <w:vAlign w:val="top"/>
            <w:tcBorders>
              <w:bottom w:val="single" w:color="000000" w:sz="10" w:space="0"/>
            </w:tcBorders>
          </w:tcPr>
          <w:p>
            <w:pPr>
              <w:ind w:left="519"/>
              <w:spacing w:before="25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80</w:t>
            </w:r>
          </w:p>
        </w:tc>
        <w:tc>
          <w:tcPr>
            <w:tcW w:w="1485" w:type="dxa"/>
            <w:vAlign w:val="top"/>
            <w:tcBorders>
              <w:bottom w:val="single" w:color="000000" w:sz="10" w:space="0"/>
            </w:tcBorders>
          </w:tcPr>
          <w:p>
            <w:pPr>
              <w:pStyle w:val="TableText"/>
              <w:ind w:left="434" w:right="107" w:hanging="316"/>
              <w:spacing w:before="70" w:line="250" w:lineRule="auto"/>
              <w:rPr/>
            </w:pPr>
            <w:r>
              <w:rPr>
                <w:spacing w:val="-1"/>
              </w:rPr>
              <w:t>减速慢行，定</w:t>
            </w:r>
            <w:r>
              <w:rPr>
                <w:spacing w:val="-2"/>
              </w:rPr>
              <w:t>期维护</w:t>
            </w:r>
          </w:p>
        </w:tc>
        <w:tc>
          <w:tcPr>
            <w:tcW w:w="1563" w:type="dxa"/>
            <w:vAlign w:val="top"/>
            <w:tcBorders>
              <w:bottom w:val="single" w:color="000000" w:sz="10" w:space="0"/>
            </w:tcBorders>
          </w:tcPr>
          <w:p>
            <w:pPr>
              <w:ind w:left="681"/>
              <w:spacing w:before="25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917" w:type="dxa"/>
            <w:vAlign w:val="top"/>
            <w:tcBorders>
              <w:bottom w:val="single" w:color="000000" w:sz="10" w:space="0"/>
            </w:tcBorders>
          </w:tcPr>
          <w:p>
            <w:pPr>
              <w:pStyle w:val="TableText"/>
              <w:ind w:left="270"/>
              <w:spacing w:before="225" w:line="221" w:lineRule="auto"/>
              <w:rPr/>
            </w:pPr>
            <w:r>
              <w:rPr>
                <w:spacing w:val="-6"/>
              </w:rPr>
              <w:t>间歇</w:t>
            </w:r>
          </w:p>
        </w:tc>
        <w:tc>
          <w:tcPr>
            <w:tcW w:w="917" w:type="dxa"/>
            <w:vAlign w:val="top"/>
            <w:tcBorders>
              <w:bottom w:val="single" w:color="000000" w:sz="10" w:space="0"/>
              <w:right w:val="nil"/>
            </w:tcBorders>
          </w:tcPr>
          <w:p>
            <w:pPr>
              <w:ind w:left="359"/>
              <w:spacing w:before="25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r>
    </w:tbl>
    <w:p>
      <w:pPr>
        <w:ind w:left="615"/>
        <w:spacing w:before="34" w:line="234"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）预测点</w:t>
      </w:r>
    </w:p>
    <w:p>
      <w:pPr>
        <w:ind w:left="133" w:right="115" w:firstLine="478"/>
        <w:spacing w:before="161" w:line="359" w:lineRule="auto"/>
        <w:rPr>
          <w:rFonts w:ascii="SimSun" w:hAnsi="SimSun" w:eastAsia="SimSun" w:cs="SimSun"/>
          <w:sz w:val="24"/>
          <w:szCs w:val="24"/>
        </w:rPr>
      </w:pPr>
      <w:r>
        <w:rPr>
          <w:rFonts w:ascii="SimSun" w:hAnsi="SimSun" w:eastAsia="SimSun" w:cs="SimSun"/>
          <w:sz w:val="24"/>
          <w:szCs w:val="24"/>
          <w:spacing w:val="2"/>
        </w:rPr>
        <w:t>为便于比较噪声水平变化情况，影响预测的各受声点选择在现状监测点的同</w:t>
      </w:r>
      <w:r>
        <w:rPr>
          <w:rFonts w:ascii="SimSun" w:hAnsi="SimSun" w:eastAsia="SimSun" w:cs="SimSun"/>
          <w:sz w:val="24"/>
          <w:szCs w:val="24"/>
          <w:spacing w:val="-6"/>
        </w:rPr>
        <w:t>一位置，即场界</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1m</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6"/>
        </w:rPr>
        <w:t>处。</w:t>
      </w:r>
    </w:p>
    <w:p>
      <w:pPr>
        <w:ind w:left="615"/>
        <w:spacing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）预测模式</w:t>
      </w:r>
    </w:p>
    <w:p>
      <w:pPr>
        <w:ind w:left="129" w:right="112" w:firstLine="491"/>
        <w:spacing w:before="167" w:line="358" w:lineRule="auto"/>
        <w:rPr>
          <w:rFonts w:ascii="SimSun" w:hAnsi="SimSun" w:eastAsia="SimSun" w:cs="SimSun"/>
          <w:sz w:val="24"/>
          <w:szCs w:val="24"/>
        </w:rPr>
      </w:pPr>
      <w:r>
        <w:rPr>
          <w:rFonts w:ascii="SimSun" w:hAnsi="SimSun" w:eastAsia="SimSun" w:cs="SimSun"/>
          <w:sz w:val="24"/>
          <w:szCs w:val="24"/>
        </w:rPr>
        <w:t>噪声预测方法采用《环境影响评价技术导则-声环境》（</w:t>
      </w:r>
      <w:r>
        <w:rPr>
          <w:rFonts w:ascii="Times New Roman" w:hAnsi="Times New Roman" w:eastAsia="Times New Roman" w:cs="Times New Roman"/>
          <w:sz w:val="24"/>
          <w:szCs w:val="24"/>
        </w:rPr>
        <w:t>HJ2.4-2021</w:t>
      </w:r>
      <w:r>
        <w:rPr>
          <w:rFonts w:ascii="SimSun" w:hAnsi="SimSun" w:eastAsia="SimSun" w:cs="SimSun"/>
          <w:sz w:val="24"/>
          <w:szCs w:val="24"/>
        </w:rPr>
        <w:t>）推荐的</w:t>
      </w:r>
      <w:r>
        <w:rPr>
          <w:rFonts w:ascii="SimSun" w:hAnsi="SimSun" w:eastAsia="SimSun" w:cs="SimSun"/>
          <w:sz w:val="24"/>
          <w:szCs w:val="24"/>
          <w:spacing w:val="2"/>
        </w:rPr>
        <w:t>噪声衰减和叠加模式，先用衰减模式分别计算出各噪声源单独作用在预测点时产</w:t>
      </w:r>
      <w:r>
        <w:rPr>
          <w:rFonts w:ascii="SimSun" w:hAnsi="SimSun" w:eastAsia="SimSun" w:cs="SimSun"/>
          <w:sz w:val="24"/>
          <w:szCs w:val="24"/>
          <w:spacing w:val="2"/>
        </w:rPr>
        <w:t>生的声压级，然后再叠加，即得到该建设项目声源在预测点产生的等效声级贡献</w:t>
      </w:r>
      <w:r>
        <w:rPr>
          <w:rFonts w:ascii="SimSun" w:hAnsi="SimSun" w:eastAsia="SimSun" w:cs="SimSun"/>
          <w:sz w:val="24"/>
          <w:szCs w:val="24"/>
          <w:spacing w:val="-7"/>
        </w:rPr>
        <w:t>值。预测公式如下：</w:t>
      </w:r>
    </w:p>
    <w:p>
      <w:pPr>
        <w:ind w:left="608"/>
        <w:spacing w:before="4" w:line="217" w:lineRule="auto"/>
        <w:rPr>
          <w:rFonts w:ascii="SimSun" w:hAnsi="SimSun" w:eastAsia="SimSun" w:cs="SimSun"/>
          <w:sz w:val="24"/>
          <w:szCs w:val="24"/>
        </w:rPr>
      </w:pPr>
      <w:r>
        <w:rPr>
          <w:rFonts w:ascii="SimSun" w:hAnsi="SimSun" w:eastAsia="SimSun" w:cs="SimSun"/>
          <w:sz w:val="24"/>
          <w:szCs w:val="24"/>
          <w:spacing w:val="-6"/>
        </w:rPr>
        <w:t>①点源传播衰减模式：</w:t>
      </w:r>
    </w:p>
    <w:p>
      <w:pPr>
        <w:pStyle w:val="BodyText"/>
        <w:ind w:left="2436"/>
        <w:spacing w:before="225" w:line="227" w:lineRule="auto"/>
        <w:rPr>
          <w:rFonts w:ascii="Times New Roman" w:hAnsi="Times New Roman" w:eastAsia="Times New Roman" w:cs="Times New Roman"/>
          <w:sz w:val="23"/>
          <w:szCs w:val="23"/>
        </w:rPr>
      </w:pPr>
      <w:r>
        <w:rPr>
          <w:rFonts w:ascii="Times New Roman" w:hAnsi="Times New Roman" w:eastAsia="Times New Roman" w:cs="Times New Roman"/>
          <w:sz w:val="23"/>
          <w:szCs w:val="23"/>
          <w:i/>
          <w:iCs/>
        </w:rPr>
        <w:t>L</w:t>
      </w:r>
      <w:r>
        <w:rPr>
          <w:rFonts w:ascii="Times New Roman" w:hAnsi="Times New Roman" w:eastAsia="Times New Roman" w:cs="Times New Roman"/>
          <w:sz w:val="13"/>
          <w:szCs w:val="13"/>
          <w:i/>
          <w:iCs/>
          <w:position w:val="-5"/>
        </w:rPr>
        <w:t>r</w:t>
      </w:r>
      <w:r>
        <w:rPr>
          <w:rFonts w:ascii="Times New Roman" w:hAnsi="Times New Roman" w:eastAsia="Times New Roman" w:cs="Times New Roman"/>
          <w:sz w:val="13"/>
          <w:szCs w:val="13"/>
          <w:i/>
          <w:iCs/>
          <w:spacing w:val="15"/>
          <w:position w:val="-5"/>
        </w:rPr>
        <w:t xml:space="preserve">  </w:t>
      </w:r>
      <w:r>
        <w:rPr>
          <w:sz w:val="23"/>
          <w:szCs w:val="23"/>
          <w:spacing w:val="4"/>
        </w:rPr>
        <w:t>= </w:t>
      </w:r>
      <w:r>
        <w:rPr>
          <w:rFonts w:ascii="Times New Roman" w:hAnsi="Times New Roman" w:eastAsia="Times New Roman" w:cs="Times New Roman"/>
          <w:sz w:val="23"/>
          <w:szCs w:val="23"/>
          <w:i/>
          <w:iCs/>
        </w:rPr>
        <w:t>L</w:t>
      </w:r>
      <w:r>
        <w:rPr>
          <w:rFonts w:ascii="Times New Roman" w:hAnsi="Times New Roman" w:eastAsia="Times New Roman" w:cs="Times New Roman"/>
          <w:sz w:val="13"/>
          <w:szCs w:val="13"/>
          <w:i/>
          <w:iCs/>
          <w:position w:val="-5"/>
        </w:rPr>
        <w:t>r</w:t>
      </w:r>
      <w:r>
        <w:rPr>
          <w:rFonts w:ascii="Times New Roman" w:hAnsi="Times New Roman" w:eastAsia="Times New Roman" w:cs="Times New Roman"/>
          <w:sz w:val="9"/>
          <w:szCs w:val="9"/>
          <w:spacing w:val="4"/>
          <w:position w:val="-8"/>
        </w:rPr>
        <w:t>0   </w:t>
      </w:r>
      <w:r>
        <w:rPr>
          <w:sz w:val="23"/>
          <w:szCs w:val="23"/>
          <w:spacing w:val="-14"/>
          <w:w w:val="62"/>
        </w:rPr>
        <w:t>—</w:t>
      </w:r>
      <w:r>
        <w:rPr>
          <w:sz w:val="23"/>
          <w:szCs w:val="23"/>
          <w:spacing w:val="-17"/>
        </w:rPr>
        <w:t xml:space="preserve"> </w:t>
      </w:r>
      <w:r>
        <w:rPr>
          <w:rFonts w:ascii="Times New Roman" w:hAnsi="Times New Roman" w:eastAsia="Times New Roman" w:cs="Times New Roman"/>
          <w:sz w:val="23"/>
          <w:szCs w:val="23"/>
          <w:spacing w:val="4"/>
        </w:rPr>
        <w:t>20</w:t>
      </w:r>
      <w:r>
        <w:rPr>
          <w:rFonts w:ascii="Times New Roman" w:hAnsi="Times New Roman" w:eastAsia="Times New Roman" w:cs="Times New Roman"/>
          <w:sz w:val="23"/>
          <w:szCs w:val="23"/>
          <w:spacing w:val="-14"/>
        </w:rPr>
        <w:t xml:space="preserve"> </w:t>
      </w:r>
      <w:r>
        <w:rPr>
          <w:sz w:val="23"/>
          <w:szCs w:val="23"/>
          <w:spacing w:val="4"/>
        </w:rPr>
        <w:t>.</w:t>
      </w:r>
      <w:r>
        <w:rPr>
          <w:sz w:val="23"/>
          <w:szCs w:val="23"/>
          <w:spacing w:val="-31"/>
        </w:rPr>
        <w:t xml:space="preserve"> </w:t>
      </w:r>
      <w:r>
        <w:rPr>
          <w:rFonts w:ascii="Times New Roman" w:hAnsi="Times New Roman" w:eastAsia="Times New Roman" w:cs="Times New Roman"/>
          <w:sz w:val="23"/>
          <w:szCs w:val="23"/>
          <w:i/>
          <w:iCs/>
        </w:rPr>
        <w:t>Lg</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i/>
          <w:iCs/>
          <w:spacing w:val="4"/>
        </w:rPr>
        <w:t>r</w:t>
      </w:r>
      <w:r>
        <w:rPr>
          <w:rFonts w:ascii="Times New Roman" w:hAnsi="Times New Roman" w:eastAsia="Times New Roman" w:cs="Times New Roman"/>
          <w:sz w:val="23"/>
          <w:szCs w:val="23"/>
          <w:spacing w:val="4"/>
        </w:rPr>
        <w:t>/</w:t>
      </w:r>
      <w:r>
        <w:rPr>
          <w:rFonts w:ascii="Times New Roman" w:hAnsi="Times New Roman" w:eastAsia="Times New Roman" w:cs="Times New Roman"/>
          <w:sz w:val="23"/>
          <w:szCs w:val="23"/>
          <w:spacing w:val="-14"/>
        </w:rPr>
        <w:t xml:space="preserve"> </w:t>
      </w:r>
      <w:r>
        <w:rPr>
          <w:rFonts w:ascii="Times New Roman" w:hAnsi="Times New Roman" w:eastAsia="Times New Roman" w:cs="Times New Roman"/>
          <w:sz w:val="23"/>
          <w:szCs w:val="23"/>
          <w:i/>
          <w:iCs/>
          <w:spacing w:val="4"/>
        </w:rPr>
        <w:t>r</w:t>
      </w:r>
      <w:r>
        <w:rPr>
          <w:rFonts w:ascii="Times New Roman" w:hAnsi="Times New Roman" w:eastAsia="Times New Roman" w:cs="Times New Roman"/>
          <w:sz w:val="13"/>
          <w:szCs w:val="13"/>
          <w:spacing w:val="4"/>
          <w:position w:val="-5"/>
        </w:rPr>
        <w:t>0</w:t>
      </w:r>
      <w:r>
        <w:rPr>
          <w:rFonts w:ascii="Times New Roman" w:hAnsi="Times New Roman" w:eastAsia="Times New Roman" w:cs="Times New Roman"/>
          <w:sz w:val="13"/>
          <w:szCs w:val="13"/>
          <w:spacing w:val="-5"/>
          <w:position w:val="-5"/>
        </w:rPr>
        <w:t xml:space="preserve"> </w:t>
      </w:r>
      <w:r>
        <w:rPr>
          <w:rFonts w:ascii="Times New Roman" w:hAnsi="Times New Roman" w:eastAsia="Times New Roman" w:cs="Times New Roman"/>
          <w:sz w:val="23"/>
          <w:szCs w:val="23"/>
          <w:spacing w:val="4"/>
        </w:rPr>
        <w:t>)</w:t>
      </w:r>
    </w:p>
    <w:p>
      <w:pPr>
        <w:ind w:left="614"/>
        <w:spacing w:before="195" w:line="220" w:lineRule="auto"/>
        <w:rPr>
          <w:rFonts w:ascii="SimSun" w:hAnsi="SimSun" w:eastAsia="SimSun" w:cs="SimSun"/>
          <w:sz w:val="24"/>
          <w:szCs w:val="24"/>
        </w:rPr>
      </w:pPr>
      <w:r>
        <w:rPr>
          <w:rFonts w:ascii="SimSun" w:hAnsi="SimSun" w:eastAsia="SimSun" w:cs="SimSun"/>
          <w:sz w:val="24"/>
          <w:szCs w:val="24"/>
          <w:spacing w:val="-1"/>
        </w:rPr>
        <w:t>式中：Lr ─预测点处声压级，dB；</w:t>
      </w:r>
    </w:p>
    <w:p>
      <w:pPr>
        <w:ind w:left="1327"/>
        <w:spacing w:before="179" w:line="222" w:lineRule="auto"/>
        <w:rPr>
          <w:rFonts w:ascii="SimSun" w:hAnsi="SimSun" w:eastAsia="SimSun" w:cs="SimSun"/>
          <w:sz w:val="24"/>
          <w:szCs w:val="24"/>
        </w:rPr>
      </w:pPr>
      <w:r>
        <w:rPr>
          <w:rFonts w:ascii="SimSun" w:hAnsi="SimSun" w:eastAsia="SimSun" w:cs="SimSun"/>
          <w:sz w:val="24"/>
          <w:szCs w:val="24"/>
          <w:spacing w:val="-2"/>
        </w:rPr>
        <w:t>Lr</w:t>
      </w:r>
      <w:r>
        <w:rPr>
          <w:rFonts w:ascii="SimSun" w:hAnsi="SimSun" w:eastAsia="SimSun" w:cs="SimSun"/>
          <w:sz w:val="12"/>
          <w:szCs w:val="12"/>
          <w:spacing w:val="-2"/>
          <w:position w:val="-1"/>
        </w:rPr>
        <w:t>o</w:t>
      </w:r>
      <w:r>
        <w:rPr>
          <w:rFonts w:ascii="SimSun" w:hAnsi="SimSun" w:eastAsia="SimSun" w:cs="SimSun"/>
          <w:sz w:val="24"/>
          <w:szCs w:val="24"/>
          <w:spacing w:val="-2"/>
        </w:rPr>
        <w:t>─参照位置</w:t>
      </w:r>
      <w:r>
        <w:rPr>
          <w:rFonts w:ascii="SimSun" w:hAnsi="SimSun" w:eastAsia="SimSun" w:cs="SimSun"/>
          <w:sz w:val="24"/>
          <w:szCs w:val="24"/>
          <w:spacing w:val="-44"/>
        </w:rPr>
        <w:t xml:space="preserve"> </w:t>
      </w:r>
      <w:r>
        <w:rPr>
          <w:rFonts w:ascii="SimSun" w:hAnsi="SimSun" w:eastAsia="SimSun" w:cs="SimSun"/>
          <w:sz w:val="24"/>
          <w:szCs w:val="24"/>
          <w:spacing w:val="-2"/>
        </w:rPr>
        <w:t>r</w:t>
      </w:r>
      <w:r>
        <w:rPr>
          <w:rFonts w:ascii="SimSun" w:hAnsi="SimSun" w:eastAsia="SimSun" w:cs="SimSun"/>
          <w:sz w:val="12"/>
          <w:szCs w:val="12"/>
          <w:spacing w:val="-2"/>
          <w:position w:val="-1"/>
        </w:rPr>
        <w:t>o</w:t>
      </w:r>
      <w:r>
        <w:rPr>
          <w:rFonts w:ascii="SimSun" w:hAnsi="SimSun" w:eastAsia="SimSun" w:cs="SimSun"/>
          <w:sz w:val="12"/>
          <w:szCs w:val="12"/>
          <w:spacing w:val="-15"/>
          <w:position w:val="-1"/>
        </w:rPr>
        <w:t xml:space="preserve"> </w:t>
      </w:r>
      <w:r>
        <w:rPr>
          <w:rFonts w:ascii="SimSun" w:hAnsi="SimSun" w:eastAsia="SimSun" w:cs="SimSun"/>
          <w:sz w:val="24"/>
          <w:szCs w:val="24"/>
          <w:spacing w:val="-2"/>
        </w:rPr>
        <w:t>处的声压级，dB；</w:t>
      </w:r>
    </w:p>
    <w:p>
      <w:pPr>
        <w:ind w:left="1321"/>
        <w:spacing w:before="180" w:line="234" w:lineRule="auto"/>
        <w:rPr>
          <w:rFonts w:ascii="SimSun" w:hAnsi="SimSun" w:eastAsia="SimSun" w:cs="SimSun"/>
          <w:sz w:val="24"/>
          <w:szCs w:val="24"/>
        </w:rPr>
      </w:pPr>
      <w:r>
        <w:rPr>
          <w:rFonts w:ascii="Times New Roman" w:hAnsi="Times New Roman" w:eastAsia="Times New Roman" w:cs="Times New Roman"/>
          <w:sz w:val="24"/>
          <w:szCs w:val="24"/>
          <w:spacing w:val="-1"/>
        </w:rPr>
        <w:t>r ─</w:t>
      </w:r>
      <w:r>
        <w:rPr>
          <w:rFonts w:ascii="SimSun" w:hAnsi="SimSun" w:eastAsia="SimSun" w:cs="SimSun"/>
          <w:sz w:val="24"/>
          <w:szCs w:val="24"/>
          <w:spacing w:val="-1"/>
        </w:rPr>
        <w:t>预测点距声源的距离，</w:t>
      </w:r>
      <w:r>
        <w:rPr>
          <w:rFonts w:ascii="Times New Roman" w:hAnsi="Times New Roman" w:eastAsia="Times New Roman" w:cs="Times New Roman"/>
          <w:sz w:val="24"/>
          <w:szCs w:val="24"/>
          <w:spacing w:val="-1"/>
        </w:rPr>
        <w:t>m</w:t>
      </w:r>
      <w:r>
        <w:rPr>
          <w:rFonts w:ascii="SimSun" w:hAnsi="SimSun" w:eastAsia="SimSun" w:cs="SimSun"/>
          <w:sz w:val="24"/>
          <w:szCs w:val="24"/>
          <w:spacing w:val="-1"/>
        </w:rPr>
        <w:t>；</w:t>
      </w:r>
    </w:p>
    <w:p>
      <w:pPr>
        <w:ind w:left="1321"/>
        <w:spacing w:before="162" w:line="238" w:lineRule="auto"/>
        <w:rPr>
          <w:rFonts w:ascii="SimSun" w:hAnsi="SimSun" w:eastAsia="SimSun" w:cs="SimSun"/>
          <w:sz w:val="24"/>
          <w:szCs w:val="24"/>
        </w:rPr>
      </w:pPr>
      <w:r>
        <w:rPr>
          <w:rFonts w:ascii="Times New Roman" w:hAnsi="Times New Roman" w:eastAsia="Times New Roman" w:cs="Times New Roman"/>
          <w:sz w:val="24"/>
          <w:szCs w:val="24"/>
        </w:rPr>
        <w:t>r</w:t>
      </w:r>
      <w:r>
        <w:rPr>
          <w:rFonts w:ascii="Times New Roman" w:hAnsi="Times New Roman" w:eastAsia="Times New Roman" w:cs="Times New Roman"/>
          <w:sz w:val="16"/>
          <w:szCs w:val="16"/>
          <w:position w:val="-3"/>
        </w:rPr>
        <w:t>o</w:t>
      </w:r>
      <w:r>
        <w:rPr>
          <w:rFonts w:ascii="Times New Roman" w:hAnsi="Times New Roman" w:eastAsia="Times New Roman" w:cs="Times New Roman"/>
          <w:sz w:val="24"/>
          <w:szCs w:val="24"/>
        </w:rPr>
        <w:t>─</w:t>
      </w:r>
      <w:r>
        <w:rPr>
          <w:rFonts w:ascii="SimSun" w:hAnsi="SimSun" w:eastAsia="SimSun" w:cs="SimSun"/>
          <w:sz w:val="24"/>
          <w:szCs w:val="24"/>
        </w:rPr>
        <w:t>参考位置距声源的距离，</w:t>
      </w:r>
      <w:r>
        <w:rPr>
          <w:rFonts w:ascii="Times New Roman" w:hAnsi="Times New Roman" w:eastAsia="Times New Roman" w:cs="Times New Roman"/>
          <w:sz w:val="24"/>
          <w:szCs w:val="24"/>
        </w:rPr>
        <w:t>m</w:t>
      </w:r>
      <w:r>
        <w:rPr>
          <w:rFonts w:ascii="SimSun" w:hAnsi="SimSun" w:eastAsia="SimSun" w:cs="SimSun"/>
          <w:sz w:val="24"/>
          <w:szCs w:val="24"/>
        </w:rPr>
        <w:t>。</w:t>
      </w:r>
    </w:p>
    <w:p>
      <w:pPr>
        <w:ind w:left="149" w:right="106" w:firstLine="458"/>
        <w:spacing w:before="202" w:line="343" w:lineRule="auto"/>
        <w:rPr>
          <w:rFonts w:ascii="SimSun" w:hAnsi="SimSun" w:eastAsia="SimSun" w:cs="SimSun"/>
          <w:sz w:val="24"/>
          <w:szCs w:val="24"/>
        </w:rPr>
      </w:pPr>
      <w:r>
        <w:rPr>
          <w:rFonts w:ascii="SimSun" w:hAnsi="SimSun" w:eastAsia="SimSun" w:cs="SimSun"/>
          <w:sz w:val="24"/>
          <w:szCs w:val="24"/>
          <w:spacing w:val="-1"/>
        </w:rPr>
        <w:t>②建设项目声源在预测点产生的等效声级贡献值（</w:t>
      </w:r>
      <w:r>
        <w:rPr>
          <w:rFonts w:ascii="Times New Roman" w:hAnsi="Times New Roman" w:eastAsia="Times New Roman" w:cs="Times New Roman"/>
          <w:sz w:val="23"/>
          <w:szCs w:val="23"/>
          <w:i/>
          <w:iCs/>
          <w:spacing w:val="-1"/>
          <w:position w:val="13"/>
        </w:rPr>
        <w:t>L</w:t>
      </w:r>
      <w:r>
        <w:rPr>
          <w:rFonts w:ascii="Times New Roman" w:hAnsi="Times New Roman" w:eastAsia="Times New Roman" w:cs="Times New Roman"/>
          <w:sz w:val="13"/>
          <w:szCs w:val="13"/>
          <w:spacing w:val="-1"/>
          <w:position w:val="7"/>
        </w:rPr>
        <w:t>eqg</w:t>
      </w:r>
      <w:r>
        <w:rPr>
          <w:rFonts w:ascii="Times New Roman" w:hAnsi="Times New Roman" w:eastAsia="Times New Roman" w:cs="Times New Roman"/>
          <w:sz w:val="13"/>
          <w:szCs w:val="13"/>
          <w:spacing w:val="24"/>
          <w:position w:val="7"/>
        </w:rPr>
        <w:t xml:space="preserve"> </w:t>
      </w:r>
      <w:r>
        <w:rPr>
          <w:rFonts w:ascii="SimSun" w:hAnsi="SimSun" w:eastAsia="SimSun" w:cs="SimSun"/>
          <w:sz w:val="24"/>
          <w:szCs w:val="24"/>
          <w:spacing w:val="-1"/>
        </w:rPr>
        <w:t>）采用多声源在某一点</w:t>
      </w:r>
      <w:r>
        <w:rPr>
          <w:rFonts w:ascii="SimSun" w:hAnsi="SimSun" w:eastAsia="SimSun" w:cs="SimSun"/>
          <w:sz w:val="24"/>
          <w:szCs w:val="24"/>
          <w:spacing w:val="-10"/>
        </w:rPr>
        <w:t>的影响叠加模式：</w:t>
      </w:r>
    </w:p>
    <w:p>
      <w:pPr>
        <w:ind w:left="2557"/>
        <w:spacing w:before="52" w:line="594" w:lineRule="exact"/>
        <w:rPr/>
      </w:pPr>
      <w:r>
        <w:rPr>
          <w:position w:val="-12"/>
        </w:rPr>
        <w:drawing>
          <wp:inline distT="0" distB="0" distL="0" distR="0">
            <wp:extent cx="1702388" cy="377574"/>
            <wp:effectExtent l="0" t="0" r="0" b="0"/>
            <wp:docPr id="26" name="IM 26"/>
            <wp:cNvGraphicFramePr/>
            <a:graphic>
              <a:graphicData uri="http://schemas.openxmlformats.org/drawingml/2006/picture">
                <pic:pic>
                  <pic:nvPicPr>
                    <pic:cNvPr id="26" name="IM 26"/>
                    <pic:cNvPicPr/>
                  </pic:nvPicPr>
                  <pic:blipFill>
                    <a:blip r:embed="rId161"/>
                    <a:stretch>
                      <a:fillRect/>
                    </a:stretch>
                  </pic:blipFill>
                  <pic:spPr>
                    <a:xfrm rot="0">
                      <a:off x="0" y="0"/>
                      <a:ext cx="1702388" cy="377574"/>
                    </a:xfrm>
                    <a:prstGeom prst="rect">
                      <a:avLst/>
                    </a:prstGeom>
                  </pic:spPr>
                </pic:pic>
              </a:graphicData>
            </a:graphic>
          </wp:inline>
        </w:drawing>
      </w:r>
    </w:p>
    <w:p>
      <w:pPr>
        <w:ind w:left="614"/>
        <w:spacing w:before="239" w:line="209" w:lineRule="auto"/>
        <w:rPr>
          <w:rFonts w:ascii="SimSun" w:hAnsi="SimSun" w:eastAsia="SimSun" w:cs="SimSun"/>
          <w:sz w:val="24"/>
          <w:szCs w:val="24"/>
        </w:rPr>
      </w:pPr>
      <w:r>
        <w:rPr>
          <w:rFonts w:ascii="SimSun" w:hAnsi="SimSun" w:eastAsia="SimSun" w:cs="SimSun"/>
          <w:sz w:val="24"/>
          <w:szCs w:val="24"/>
          <w:spacing w:val="2"/>
        </w:rPr>
        <w:t>式中：</w:t>
      </w:r>
      <w:r>
        <w:rPr>
          <w:rFonts w:ascii="Times New Roman" w:hAnsi="Times New Roman" w:eastAsia="Times New Roman" w:cs="Times New Roman"/>
          <w:sz w:val="23"/>
          <w:szCs w:val="23"/>
          <w:i/>
          <w:iCs/>
          <w:position w:val="13"/>
        </w:rPr>
        <w:t>L</w:t>
      </w:r>
      <w:r>
        <w:rPr>
          <w:rFonts w:ascii="Times New Roman" w:hAnsi="Times New Roman" w:eastAsia="Times New Roman" w:cs="Times New Roman"/>
          <w:sz w:val="13"/>
          <w:szCs w:val="13"/>
          <w:position w:val="7"/>
        </w:rPr>
        <w:t>eqg</w:t>
      </w:r>
      <w:r>
        <w:rPr>
          <w:rFonts w:ascii="Times New Roman" w:hAnsi="Times New Roman" w:eastAsia="Times New Roman" w:cs="Times New Roman"/>
          <w:sz w:val="13"/>
          <w:szCs w:val="13"/>
          <w:spacing w:val="2"/>
          <w:position w:val="7"/>
        </w:rPr>
        <w:t xml:space="preserve"> </w:t>
      </w:r>
      <w:r>
        <w:rPr>
          <w:rFonts w:ascii="Times New Roman" w:hAnsi="Times New Roman" w:eastAsia="Times New Roman" w:cs="Times New Roman"/>
          <w:sz w:val="24"/>
          <w:szCs w:val="24"/>
          <w:spacing w:val="2"/>
        </w:rPr>
        <w:t>—</w:t>
      </w:r>
      <w:r>
        <w:rPr>
          <w:rFonts w:ascii="SimSun" w:hAnsi="SimSun" w:eastAsia="SimSun" w:cs="SimSun"/>
          <w:sz w:val="24"/>
          <w:szCs w:val="24"/>
          <w:spacing w:val="2"/>
        </w:rPr>
        <w:t>建设项目声源在预测点的等效声级贡献值，</w:t>
      </w:r>
      <w:r>
        <w:rPr>
          <w:rFonts w:ascii="Times New Roman" w:hAnsi="Times New Roman" w:eastAsia="Times New Roman" w:cs="Times New Roman"/>
          <w:sz w:val="24"/>
          <w:szCs w:val="24"/>
        </w:rPr>
        <w:t>dB</w:t>
      </w:r>
      <w:r>
        <w:rPr>
          <w:rFonts w:ascii="SimSun" w:hAnsi="SimSun" w:eastAsia="SimSun" w:cs="SimSun"/>
          <w:sz w:val="24"/>
          <w:szCs w:val="24"/>
          <w:spacing w:val="2"/>
        </w:rPr>
        <w:t>；</w:t>
      </w:r>
    </w:p>
    <w:p>
      <w:pPr>
        <w:ind w:left="1357"/>
        <w:spacing w:before="228" w:line="222" w:lineRule="auto"/>
        <w:rPr>
          <w:rFonts w:ascii="SimSun" w:hAnsi="SimSun" w:eastAsia="SimSun" w:cs="SimSun"/>
          <w:sz w:val="24"/>
          <w:szCs w:val="24"/>
        </w:rPr>
      </w:pPr>
      <w:r>
        <w:rPr>
          <w:rFonts w:ascii="Times New Roman" w:hAnsi="Times New Roman" w:eastAsia="Times New Roman" w:cs="Times New Roman"/>
          <w:sz w:val="24"/>
          <w:szCs w:val="24"/>
          <w:i/>
          <w:iCs/>
          <w:position w:val="9"/>
        </w:rPr>
        <w:t>L</w:t>
      </w:r>
      <w:r>
        <w:rPr>
          <w:rFonts w:ascii="Times New Roman" w:hAnsi="Times New Roman" w:eastAsia="Times New Roman" w:cs="Times New Roman"/>
          <w:sz w:val="14"/>
          <w:szCs w:val="14"/>
          <w:position w:val="3"/>
        </w:rPr>
        <w:t>Ai </w:t>
      </w:r>
      <w:r>
        <w:rPr>
          <w:rFonts w:ascii="Times New Roman" w:hAnsi="Times New Roman" w:eastAsia="Times New Roman" w:cs="Times New Roman"/>
          <w:sz w:val="24"/>
          <w:szCs w:val="24"/>
        </w:rPr>
        <w:t>—i </w:t>
      </w:r>
      <w:r>
        <w:rPr>
          <w:rFonts w:ascii="SimSun" w:hAnsi="SimSun" w:eastAsia="SimSun" w:cs="SimSun"/>
          <w:sz w:val="24"/>
          <w:szCs w:val="24"/>
        </w:rPr>
        <w:t>声源在预测点产生的</w:t>
      </w:r>
      <w:r>
        <w:rPr>
          <w:rFonts w:ascii="SimSun" w:hAnsi="SimSun" w:eastAsia="SimSun" w:cs="SimSun"/>
          <w:sz w:val="24"/>
          <w:szCs w:val="24"/>
          <w:spacing w:val="-46"/>
        </w:rPr>
        <w:t xml:space="preserve"> </w:t>
      </w:r>
      <w:r>
        <w:rPr>
          <w:rFonts w:ascii="Times New Roman" w:hAnsi="Times New Roman" w:eastAsia="Times New Roman" w:cs="Times New Roman"/>
          <w:sz w:val="24"/>
          <w:szCs w:val="24"/>
        </w:rPr>
        <w:t>A </w:t>
      </w:r>
      <w:r>
        <w:rPr>
          <w:rFonts w:ascii="SimSun" w:hAnsi="SimSun" w:eastAsia="SimSun" w:cs="SimSun"/>
          <w:sz w:val="24"/>
          <w:szCs w:val="24"/>
        </w:rPr>
        <w:t>声级，</w:t>
      </w:r>
      <w:r>
        <w:rPr>
          <w:rFonts w:ascii="Times New Roman" w:hAnsi="Times New Roman" w:eastAsia="Times New Roman" w:cs="Times New Roman"/>
          <w:sz w:val="24"/>
          <w:szCs w:val="24"/>
        </w:rPr>
        <w:t>dB</w:t>
      </w:r>
      <w:r>
        <w:rPr>
          <w:rFonts w:ascii="SimSun" w:hAnsi="SimSun" w:eastAsia="SimSun" w:cs="SimSun"/>
          <w:sz w:val="24"/>
          <w:szCs w:val="24"/>
        </w:rPr>
        <w:t>；</w:t>
      </w:r>
    </w:p>
    <w:p>
      <w:pPr>
        <w:ind w:left="1362"/>
        <w:spacing w:before="180" w:line="231" w:lineRule="auto"/>
        <w:rPr>
          <w:rFonts w:ascii="SimSun" w:hAnsi="SimSun" w:eastAsia="SimSun" w:cs="SimSun"/>
          <w:sz w:val="24"/>
          <w:szCs w:val="24"/>
        </w:rPr>
      </w:pPr>
      <w:r>
        <w:rPr>
          <w:rFonts w:ascii="Times New Roman" w:hAnsi="Times New Roman" w:eastAsia="Times New Roman" w:cs="Times New Roman"/>
          <w:sz w:val="23"/>
          <w:szCs w:val="23"/>
          <w:position w:val="3"/>
        </w:rPr>
        <w:t>T</w:t>
      </w:r>
      <w:r>
        <w:rPr>
          <w:rFonts w:ascii="Times New Roman" w:hAnsi="Times New Roman" w:eastAsia="Times New Roman" w:cs="Times New Roman"/>
          <w:sz w:val="23"/>
          <w:szCs w:val="23"/>
          <w:spacing w:val="-15"/>
          <w:position w:val="3"/>
        </w:rPr>
        <w:t xml:space="preserve"> </w:t>
      </w:r>
      <w:r>
        <w:rPr>
          <w:rFonts w:ascii="Times New Roman" w:hAnsi="Times New Roman" w:eastAsia="Times New Roman" w:cs="Times New Roman"/>
          <w:sz w:val="24"/>
          <w:szCs w:val="24"/>
        </w:rPr>
        <w:t>—</w:t>
      </w:r>
      <w:r>
        <w:rPr>
          <w:rFonts w:ascii="SimSun" w:hAnsi="SimSun" w:eastAsia="SimSun" w:cs="SimSun"/>
          <w:sz w:val="24"/>
          <w:szCs w:val="24"/>
        </w:rPr>
        <w:t>预测计算的时间段，</w:t>
      </w:r>
      <w:r>
        <w:rPr>
          <w:rFonts w:ascii="Times New Roman" w:hAnsi="Times New Roman" w:eastAsia="Times New Roman" w:cs="Times New Roman"/>
          <w:sz w:val="24"/>
          <w:szCs w:val="24"/>
        </w:rPr>
        <w:t>s</w:t>
      </w:r>
      <w:r>
        <w:rPr>
          <w:rFonts w:ascii="SimSun" w:hAnsi="SimSun" w:eastAsia="SimSun" w:cs="SimSun"/>
          <w:sz w:val="24"/>
          <w:szCs w:val="24"/>
        </w:rPr>
        <w:t>。</w:t>
      </w:r>
    </w:p>
    <w:p>
      <w:pPr>
        <w:spacing w:line="231" w:lineRule="auto"/>
        <w:sectPr>
          <w:headerReference w:type="default" r:id="rId159"/>
          <w:footerReference w:type="default" r:id="rId160"/>
          <w:pgSz w:w="11907" w:h="16839"/>
          <w:pgMar w:top="1442" w:right="1593" w:bottom="1235" w:left="1582" w:header="1064" w:footer="992" w:gutter="0"/>
        </w:sectPr>
        <w:rPr>
          <w:rFonts w:ascii="SimSun" w:hAnsi="SimSun" w:eastAsia="SimSun" w:cs="SimSun"/>
          <w:sz w:val="24"/>
          <w:szCs w:val="24"/>
        </w:rPr>
      </w:pPr>
    </w:p>
    <w:p>
      <w:pPr>
        <w:ind w:left="1228"/>
        <w:spacing w:before="293" w:line="233" w:lineRule="auto"/>
        <w:rPr>
          <w:rFonts w:ascii="SimSun" w:hAnsi="SimSun" w:eastAsia="SimSun" w:cs="SimSun"/>
          <w:sz w:val="24"/>
          <w:szCs w:val="24"/>
        </w:rPr>
      </w:pPr>
      <w:r>
        <w:rPr>
          <w:rFonts w:ascii="Times New Roman" w:hAnsi="Times New Roman" w:eastAsia="Times New Roman" w:cs="Times New Roman"/>
          <w:sz w:val="24"/>
          <w:szCs w:val="24"/>
          <w:spacing w:val="-3"/>
        </w:rPr>
        <w:t>ti——i</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声源在</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3"/>
        </w:rPr>
        <w:t>T</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3"/>
        </w:rPr>
        <w:t>时段内的运行时间，</w:t>
      </w:r>
      <w:r>
        <w:rPr>
          <w:rFonts w:ascii="Times New Roman" w:hAnsi="Times New Roman" w:eastAsia="Times New Roman" w:cs="Times New Roman"/>
          <w:sz w:val="24"/>
          <w:szCs w:val="24"/>
          <w:spacing w:val="-3"/>
        </w:rPr>
        <w:t>s</w:t>
      </w:r>
      <w:r>
        <w:rPr>
          <w:rFonts w:ascii="SimSun" w:hAnsi="SimSun" w:eastAsia="SimSun" w:cs="SimSun"/>
          <w:sz w:val="24"/>
          <w:szCs w:val="24"/>
          <w:spacing w:val="-3"/>
        </w:rPr>
        <w:t>。</w:t>
      </w:r>
    </w:p>
    <w:p>
      <w:pPr>
        <w:ind w:left="620"/>
        <w:spacing w:before="162"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）预测结果及评价</w:t>
      </w:r>
    </w:p>
    <w:p>
      <w:pPr>
        <w:ind w:left="129" w:right="104" w:firstLine="481"/>
        <w:spacing w:before="166" w:line="359" w:lineRule="auto"/>
        <w:rPr>
          <w:rFonts w:ascii="SimSun" w:hAnsi="SimSun" w:eastAsia="SimSun" w:cs="SimSun"/>
          <w:sz w:val="24"/>
          <w:szCs w:val="24"/>
        </w:rPr>
      </w:pPr>
      <w:r>
        <w:rPr>
          <w:rFonts w:ascii="SimSun" w:hAnsi="SimSun" w:eastAsia="SimSun" w:cs="SimSun"/>
          <w:sz w:val="24"/>
          <w:szCs w:val="24"/>
          <w:spacing w:val="3"/>
        </w:rPr>
        <w:t>根据噪声源源强及厂区内的布局情况，采取预测模式对场区边</w:t>
      </w:r>
      <w:r>
        <w:rPr>
          <w:rFonts w:ascii="SimSun" w:hAnsi="SimSun" w:eastAsia="SimSun" w:cs="SimSun"/>
          <w:sz w:val="24"/>
          <w:szCs w:val="24"/>
          <w:spacing w:val="2"/>
        </w:rPr>
        <w:t>界四周声环境</w:t>
      </w:r>
      <w:r>
        <w:rPr>
          <w:rFonts w:ascii="SimSun" w:hAnsi="SimSun" w:eastAsia="SimSun" w:cs="SimSun"/>
          <w:sz w:val="24"/>
          <w:szCs w:val="24"/>
          <w:spacing w:val="-1"/>
        </w:rPr>
        <w:t>进行预测，厂界噪声预测结果详见表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5-16</w:t>
      </w:r>
      <w:r>
        <w:rPr>
          <w:rFonts w:ascii="SimSun" w:hAnsi="SimSun" w:eastAsia="SimSun" w:cs="SimSun"/>
          <w:sz w:val="24"/>
          <w:szCs w:val="24"/>
          <w:spacing w:val="-1"/>
        </w:rPr>
        <w:t>。</w:t>
      </w:r>
    </w:p>
    <w:p>
      <w:pPr>
        <w:ind w:left="2212"/>
        <w:spacing w:before="1" w:line="21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5-16    </w:t>
      </w:r>
      <w:r>
        <w:rPr>
          <w:rFonts w:ascii="SimSun" w:hAnsi="SimSun" w:eastAsia="SimSun" w:cs="SimSun"/>
          <w:sz w:val="24"/>
          <w:szCs w:val="24"/>
          <w:b/>
          <w:bCs/>
          <w:spacing w:val="-2"/>
        </w:rPr>
        <w:t>噪声预测值</w:t>
      </w:r>
      <w:r>
        <w:rPr>
          <w:rFonts w:ascii="SimSun" w:hAnsi="SimSun" w:eastAsia="SimSun" w:cs="SimSun"/>
          <w:sz w:val="24"/>
          <w:szCs w:val="24"/>
          <w:spacing w:val="3"/>
        </w:rPr>
        <w:t xml:space="preserve">    </w:t>
      </w:r>
      <w:r>
        <w:rPr>
          <w:rFonts w:ascii="SimSun" w:hAnsi="SimSun" w:eastAsia="SimSun" w:cs="SimSun"/>
          <w:sz w:val="24"/>
          <w:szCs w:val="24"/>
          <w:b/>
          <w:bCs/>
          <w:spacing w:val="-2"/>
        </w:rPr>
        <w:t>单位：</w:t>
      </w:r>
      <w:r>
        <w:rPr>
          <w:rFonts w:ascii="Times New Roman" w:hAnsi="Times New Roman" w:eastAsia="Times New Roman" w:cs="Times New Roman"/>
          <w:sz w:val="24"/>
          <w:szCs w:val="24"/>
          <w:b/>
          <w:bCs/>
          <w:spacing w:val="-2"/>
        </w:rPr>
        <w:t>dB</w:t>
      </w:r>
      <w:r>
        <w:rPr>
          <w:rFonts w:ascii="SimSun" w:hAnsi="SimSun" w:eastAsia="SimSun" w:cs="SimSun"/>
          <w:sz w:val="24"/>
          <w:szCs w:val="24"/>
          <w:b/>
          <w:bCs/>
          <w:spacing w:val="-2"/>
        </w:rPr>
        <w:t>（</w:t>
      </w:r>
      <w:r>
        <w:rPr>
          <w:rFonts w:ascii="Times New Roman" w:hAnsi="Times New Roman" w:eastAsia="Times New Roman" w:cs="Times New Roman"/>
          <w:sz w:val="24"/>
          <w:szCs w:val="24"/>
          <w:b/>
          <w:bCs/>
          <w:spacing w:val="-3"/>
        </w:rPr>
        <w:t>A</w:t>
      </w:r>
      <w:r>
        <w:rPr>
          <w:rFonts w:ascii="SimSun" w:hAnsi="SimSun" w:eastAsia="SimSun" w:cs="SimSun"/>
          <w:sz w:val="24"/>
          <w:szCs w:val="24"/>
          <w:b/>
          <w:bCs/>
          <w:spacing w:val="-3"/>
        </w:rPr>
        <w:t>）</w:t>
      </w:r>
    </w:p>
    <w:tbl>
      <w:tblPr>
        <w:tblStyle w:val="TableNormal"/>
        <w:tblW w:w="8730"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07"/>
        <w:gridCol w:w="737"/>
        <w:gridCol w:w="674"/>
        <w:gridCol w:w="816"/>
        <w:gridCol w:w="924"/>
        <w:gridCol w:w="967"/>
        <w:gridCol w:w="968"/>
        <w:gridCol w:w="967"/>
        <w:gridCol w:w="970"/>
      </w:tblGrid>
      <w:tr>
        <w:trPr>
          <w:trHeight w:val="318" w:hRule="atLeast"/>
        </w:trPr>
        <w:tc>
          <w:tcPr>
            <w:tcW w:w="1707" w:type="dxa"/>
            <w:vAlign w:val="top"/>
            <w:tcBorders>
              <w:left w:val="nil"/>
              <w:top w:val="single" w:color="000000" w:sz="10" w:space="0"/>
            </w:tcBorders>
          </w:tcPr>
          <w:p>
            <w:pPr>
              <w:pStyle w:val="TableText"/>
              <w:ind w:left="560"/>
              <w:spacing w:before="55" w:line="221" w:lineRule="auto"/>
              <w:rPr/>
            </w:pPr>
            <w:r>
              <w:rPr>
                <w:b/>
                <w:bCs/>
                <w:spacing w:val="-6"/>
              </w:rPr>
              <w:t>噪声源</w:t>
            </w:r>
          </w:p>
        </w:tc>
        <w:tc>
          <w:tcPr>
            <w:tcW w:w="1411" w:type="dxa"/>
            <w:vAlign w:val="top"/>
            <w:gridSpan w:val="2"/>
            <w:tcBorders>
              <w:top w:val="single" w:color="000000" w:sz="10" w:space="0"/>
            </w:tcBorders>
          </w:tcPr>
          <w:p>
            <w:pPr>
              <w:pStyle w:val="TableText"/>
              <w:ind w:left="401"/>
              <w:spacing w:before="54" w:line="221" w:lineRule="auto"/>
              <w:rPr/>
            </w:pPr>
            <w:r>
              <w:rPr>
                <w:b/>
                <w:bCs/>
                <w:spacing w:val="-5"/>
              </w:rPr>
              <w:t>东厂界</w:t>
            </w:r>
          </w:p>
        </w:tc>
        <w:tc>
          <w:tcPr>
            <w:tcW w:w="1740" w:type="dxa"/>
            <w:vAlign w:val="top"/>
            <w:gridSpan w:val="2"/>
            <w:tcBorders>
              <w:top w:val="single" w:color="000000" w:sz="10" w:space="0"/>
            </w:tcBorders>
          </w:tcPr>
          <w:p>
            <w:pPr>
              <w:pStyle w:val="TableText"/>
              <w:ind w:left="560"/>
              <w:spacing w:before="55" w:line="221" w:lineRule="auto"/>
              <w:rPr/>
            </w:pPr>
            <w:r>
              <w:rPr>
                <w:b/>
                <w:bCs/>
                <w:spacing w:val="-4"/>
              </w:rPr>
              <w:t>南厂界</w:t>
            </w:r>
          </w:p>
        </w:tc>
        <w:tc>
          <w:tcPr>
            <w:tcW w:w="1935" w:type="dxa"/>
            <w:vAlign w:val="top"/>
            <w:gridSpan w:val="2"/>
            <w:tcBorders>
              <w:top w:val="single" w:color="000000" w:sz="10" w:space="0"/>
            </w:tcBorders>
          </w:tcPr>
          <w:p>
            <w:pPr>
              <w:pStyle w:val="TableText"/>
              <w:ind w:left="659"/>
              <w:spacing w:before="55" w:line="221" w:lineRule="auto"/>
              <w:rPr/>
            </w:pPr>
            <w:r>
              <w:rPr>
                <w:b/>
                <w:bCs/>
                <w:spacing w:val="-5"/>
              </w:rPr>
              <w:t>西厂界</w:t>
            </w:r>
          </w:p>
        </w:tc>
        <w:tc>
          <w:tcPr>
            <w:tcW w:w="1937" w:type="dxa"/>
            <w:vAlign w:val="top"/>
            <w:gridSpan w:val="2"/>
            <w:tcBorders>
              <w:right w:val="nil"/>
              <w:top w:val="single" w:color="000000" w:sz="10" w:space="0"/>
            </w:tcBorders>
          </w:tcPr>
          <w:p>
            <w:pPr>
              <w:pStyle w:val="TableText"/>
              <w:ind w:left="660"/>
              <w:spacing w:before="55" w:line="221" w:lineRule="auto"/>
              <w:rPr/>
            </w:pPr>
            <w:r>
              <w:rPr>
                <w:b/>
                <w:bCs/>
                <w:spacing w:val="-4"/>
              </w:rPr>
              <w:t>北厂界</w:t>
            </w:r>
          </w:p>
        </w:tc>
      </w:tr>
      <w:tr>
        <w:trPr>
          <w:trHeight w:val="322" w:hRule="atLeast"/>
        </w:trPr>
        <w:tc>
          <w:tcPr>
            <w:tcW w:w="1707" w:type="dxa"/>
            <w:vAlign w:val="top"/>
            <w:tcBorders>
              <w:left w:val="nil"/>
            </w:tcBorders>
          </w:tcPr>
          <w:p>
            <w:pPr>
              <w:pStyle w:val="TableText"/>
              <w:ind w:left="340"/>
              <w:spacing w:before="58" w:line="221" w:lineRule="auto"/>
              <w:rPr/>
            </w:pPr>
            <w:r>
              <w:rPr>
                <w:spacing w:val="-1"/>
              </w:rPr>
              <w:t>饲养区水泵</w:t>
            </w:r>
          </w:p>
        </w:tc>
        <w:tc>
          <w:tcPr>
            <w:tcW w:w="1411" w:type="dxa"/>
            <w:vAlign w:val="top"/>
            <w:gridSpan w:val="2"/>
          </w:tcPr>
          <w:p>
            <w:pPr>
              <w:ind w:left="490"/>
              <w:spacing w:before="91"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15.42</w:t>
            </w:r>
          </w:p>
        </w:tc>
        <w:tc>
          <w:tcPr>
            <w:tcW w:w="1740" w:type="dxa"/>
            <w:vAlign w:val="top"/>
            <w:gridSpan w:val="2"/>
          </w:tcPr>
          <w:p>
            <w:pPr>
              <w:ind w:left="635"/>
              <w:spacing w:before="91"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23.58</w:t>
            </w:r>
          </w:p>
        </w:tc>
        <w:tc>
          <w:tcPr>
            <w:tcW w:w="1935" w:type="dxa"/>
            <w:vAlign w:val="top"/>
            <w:gridSpan w:val="2"/>
          </w:tcPr>
          <w:p>
            <w:pPr>
              <w:ind w:left="736"/>
              <w:spacing w:before="91"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30.70</w:t>
            </w:r>
          </w:p>
        </w:tc>
        <w:tc>
          <w:tcPr>
            <w:tcW w:w="1937" w:type="dxa"/>
            <w:vAlign w:val="top"/>
            <w:gridSpan w:val="2"/>
            <w:tcBorders>
              <w:right w:val="nil"/>
            </w:tcBorders>
          </w:tcPr>
          <w:p>
            <w:pPr>
              <w:ind w:left="736"/>
              <w:spacing w:before="91"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31.15</w:t>
            </w:r>
          </w:p>
        </w:tc>
      </w:tr>
      <w:tr>
        <w:trPr>
          <w:trHeight w:val="315" w:hRule="atLeast"/>
        </w:trPr>
        <w:tc>
          <w:tcPr>
            <w:tcW w:w="1707" w:type="dxa"/>
            <w:vAlign w:val="top"/>
            <w:tcBorders>
              <w:left w:val="nil"/>
            </w:tcBorders>
          </w:tcPr>
          <w:p>
            <w:pPr>
              <w:pStyle w:val="TableText"/>
              <w:ind w:left="659"/>
              <w:spacing w:before="55" w:line="219" w:lineRule="auto"/>
              <w:rPr/>
            </w:pPr>
            <w:r>
              <w:rPr>
                <w:spacing w:val="-2"/>
              </w:rPr>
              <w:t>风机</w:t>
            </w:r>
          </w:p>
        </w:tc>
        <w:tc>
          <w:tcPr>
            <w:tcW w:w="1411" w:type="dxa"/>
            <w:vAlign w:val="top"/>
            <w:gridSpan w:val="2"/>
          </w:tcPr>
          <w:p>
            <w:pPr>
              <w:ind w:left="490"/>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18.80</w:t>
            </w:r>
          </w:p>
        </w:tc>
        <w:tc>
          <w:tcPr>
            <w:tcW w:w="1740" w:type="dxa"/>
            <w:vAlign w:val="top"/>
            <w:gridSpan w:val="2"/>
          </w:tcPr>
          <w:p>
            <w:pPr>
              <w:ind w:left="655"/>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15.03</w:t>
            </w:r>
          </w:p>
        </w:tc>
        <w:tc>
          <w:tcPr>
            <w:tcW w:w="1935" w:type="dxa"/>
            <w:vAlign w:val="top"/>
            <w:gridSpan w:val="2"/>
          </w:tcPr>
          <w:p>
            <w:pPr>
              <w:ind w:left="752"/>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19.22</w:t>
            </w:r>
          </w:p>
        </w:tc>
        <w:tc>
          <w:tcPr>
            <w:tcW w:w="1937" w:type="dxa"/>
            <w:vAlign w:val="top"/>
            <w:gridSpan w:val="2"/>
            <w:tcBorders>
              <w:right w:val="nil"/>
            </w:tcBorders>
          </w:tcPr>
          <w:p>
            <w:pPr>
              <w:ind w:left="732"/>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22.53</w:t>
            </w:r>
          </w:p>
        </w:tc>
      </w:tr>
      <w:tr>
        <w:trPr>
          <w:trHeight w:val="315" w:hRule="atLeast"/>
        </w:trPr>
        <w:tc>
          <w:tcPr>
            <w:tcW w:w="1707" w:type="dxa"/>
            <w:vAlign w:val="top"/>
            <w:tcBorders>
              <w:left w:val="nil"/>
            </w:tcBorders>
          </w:tcPr>
          <w:p>
            <w:pPr>
              <w:pStyle w:val="TableText"/>
              <w:ind w:left="133"/>
              <w:spacing w:before="57" w:line="218" w:lineRule="auto"/>
              <w:rPr/>
            </w:pPr>
            <w:r>
              <w:rPr>
                <w:spacing w:val="-1"/>
              </w:rPr>
              <w:t>滑移轮式装载机</w:t>
            </w:r>
          </w:p>
        </w:tc>
        <w:tc>
          <w:tcPr>
            <w:tcW w:w="1411" w:type="dxa"/>
            <w:vAlign w:val="top"/>
            <w:gridSpan w:val="2"/>
          </w:tcPr>
          <w:p>
            <w:pPr>
              <w:ind w:left="490"/>
              <w:spacing w:before="89"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12.40</w:t>
            </w:r>
          </w:p>
        </w:tc>
        <w:tc>
          <w:tcPr>
            <w:tcW w:w="1740" w:type="dxa"/>
            <w:vAlign w:val="top"/>
            <w:gridSpan w:val="2"/>
          </w:tcPr>
          <w:p>
            <w:pPr>
              <w:ind w:left="635"/>
              <w:spacing w:before="89"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20.41</w:t>
            </w:r>
          </w:p>
        </w:tc>
        <w:tc>
          <w:tcPr>
            <w:tcW w:w="1935" w:type="dxa"/>
            <w:vAlign w:val="top"/>
            <w:gridSpan w:val="2"/>
          </w:tcPr>
          <w:p>
            <w:pPr>
              <w:ind w:left="736"/>
              <w:spacing w:before="89"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32.70</w:t>
            </w:r>
          </w:p>
        </w:tc>
        <w:tc>
          <w:tcPr>
            <w:tcW w:w="1937" w:type="dxa"/>
            <w:vAlign w:val="top"/>
            <w:gridSpan w:val="2"/>
            <w:tcBorders>
              <w:right w:val="nil"/>
            </w:tcBorders>
          </w:tcPr>
          <w:p>
            <w:pPr>
              <w:ind w:left="736"/>
              <w:spacing w:before="89" w:line="21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31.17</w:t>
            </w:r>
          </w:p>
        </w:tc>
      </w:tr>
      <w:tr>
        <w:trPr>
          <w:trHeight w:val="315" w:hRule="atLeast"/>
        </w:trPr>
        <w:tc>
          <w:tcPr>
            <w:tcW w:w="1707" w:type="dxa"/>
            <w:vAlign w:val="top"/>
            <w:tcBorders>
              <w:left w:val="nil"/>
            </w:tcBorders>
          </w:tcPr>
          <w:p>
            <w:pPr>
              <w:pStyle w:val="TableText"/>
              <w:ind w:left="552"/>
              <w:spacing w:before="59" w:line="216" w:lineRule="auto"/>
              <w:rPr/>
            </w:pPr>
            <w:r>
              <w:rPr>
                <w:spacing w:val="-1"/>
              </w:rPr>
              <w:t>输送机</w:t>
            </w:r>
          </w:p>
        </w:tc>
        <w:tc>
          <w:tcPr>
            <w:tcW w:w="1411" w:type="dxa"/>
            <w:vAlign w:val="top"/>
            <w:gridSpan w:val="2"/>
          </w:tcPr>
          <w:p>
            <w:pPr>
              <w:ind w:left="469"/>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21.59</w:t>
            </w:r>
          </w:p>
        </w:tc>
        <w:tc>
          <w:tcPr>
            <w:tcW w:w="1740" w:type="dxa"/>
            <w:vAlign w:val="top"/>
            <w:gridSpan w:val="2"/>
          </w:tcPr>
          <w:p>
            <w:pPr>
              <w:ind w:left="635"/>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29.41</w:t>
            </w:r>
          </w:p>
        </w:tc>
        <w:tc>
          <w:tcPr>
            <w:tcW w:w="1935" w:type="dxa"/>
            <w:vAlign w:val="top"/>
            <w:gridSpan w:val="2"/>
          </w:tcPr>
          <w:p>
            <w:pPr>
              <w:ind w:left="730"/>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41.70</w:t>
            </w:r>
          </w:p>
        </w:tc>
        <w:tc>
          <w:tcPr>
            <w:tcW w:w="1937" w:type="dxa"/>
            <w:vAlign w:val="top"/>
            <w:gridSpan w:val="2"/>
            <w:tcBorders>
              <w:right w:val="nil"/>
            </w:tcBorders>
          </w:tcPr>
          <w:p>
            <w:pPr>
              <w:ind w:left="730"/>
              <w:spacing w:before="91" w:line="21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40.17</w:t>
            </w:r>
          </w:p>
        </w:tc>
      </w:tr>
      <w:tr>
        <w:trPr>
          <w:trHeight w:val="315" w:hRule="atLeast"/>
        </w:trPr>
        <w:tc>
          <w:tcPr>
            <w:tcW w:w="1707" w:type="dxa"/>
            <w:vAlign w:val="top"/>
            <w:tcBorders>
              <w:left w:val="nil"/>
            </w:tcBorders>
          </w:tcPr>
          <w:p>
            <w:pPr>
              <w:pStyle w:val="TableText"/>
              <w:ind w:left="552"/>
              <w:spacing w:before="60" w:line="215" w:lineRule="auto"/>
              <w:rPr/>
            </w:pPr>
            <w:r>
              <w:rPr>
                <w:spacing w:val="-2"/>
              </w:rPr>
              <w:t>撒料机</w:t>
            </w:r>
          </w:p>
        </w:tc>
        <w:tc>
          <w:tcPr>
            <w:tcW w:w="1411" w:type="dxa"/>
            <w:vAlign w:val="top"/>
            <w:gridSpan w:val="2"/>
          </w:tcPr>
          <w:p>
            <w:pPr>
              <w:ind w:left="469"/>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22.69</w:t>
            </w:r>
          </w:p>
        </w:tc>
        <w:tc>
          <w:tcPr>
            <w:tcW w:w="1740" w:type="dxa"/>
            <w:vAlign w:val="top"/>
            <w:gridSpan w:val="2"/>
          </w:tcPr>
          <w:p>
            <w:pPr>
              <w:ind w:left="688"/>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2.41</w:t>
            </w:r>
          </w:p>
        </w:tc>
        <w:tc>
          <w:tcPr>
            <w:tcW w:w="1935" w:type="dxa"/>
            <w:vAlign w:val="top"/>
            <w:gridSpan w:val="2"/>
          </w:tcPr>
          <w:p>
            <w:pPr>
              <w:ind w:left="752"/>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14.70</w:t>
            </w:r>
          </w:p>
        </w:tc>
        <w:tc>
          <w:tcPr>
            <w:tcW w:w="1937" w:type="dxa"/>
            <w:vAlign w:val="top"/>
            <w:gridSpan w:val="2"/>
            <w:tcBorders>
              <w:right w:val="nil"/>
            </w:tcBorders>
          </w:tcPr>
          <w:p>
            <w:pPr>
              <w:ind w:left="732"/>
              <w:spacing w:before="93" w:line="21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23.17</w:t>
            </w:r>
          </w:p>
        </w:tc>
      </w:tr>
      <w:tr>
        <w:trPr>
          <w:trHeight w:val="315" w:hRule="atLeast"/>
        </w:trPr>
        <w:tc>
          <w:tcPr>
            <w:tcW w:w="1707" w:type="dxa"/>
            <w:vAlign w:val="top"/>
            <w:tcBorders>
              <w:left w:val="nil"/>
            </w:tcBorders>
          </w:tcPr>
          <w:p>
            <w:pPr>
              <w:pStyle w:val="TableText"/>
              <w:ind w:left="240"/>
              <w:spacing w:before="62" w:line="213" w:lineRule="auto"/>
              <w:rPr/>
            </w:pPr>
            <w:r>
              <w:rPr>
                <w:spacing w:val="-2"/>
              </w:rPr>
              <w:t>辅助设施水泵</w:t>
            </w:r>
          </w:p>
        </w:tc>
        <w:tc>
          <w:tcPr>
            <w:tcW w:w="1411" w:type="dxa"/>
            <w:vAlign w:val="top"/>
            <w:gridSpan w:val="2"/>
          </w:tcPr>
          <w:p>
            <w:pPr>
              <w:ind w:left="490"/>
              <w:spacing w:before="9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14.70</w:t>
            </w:r>
          </w:p>
        </w:tc>
        <w:tc>
          <w:tcPr>
            <w:tcW w:w="1740" w:type="dxa"/>
            <w:vAlign w:val="top"/>
            <w:gridSpan w:val="2"/>
          </w:tcPr>
          <w:p>
            <w:pPr>
              <w:ind w:left="655"/>
              <w:spacing w:before="9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12.41</w:t>
            </w:r>
          </w:p>
        </w:tc>
        <w:tc>
          <w:tcPr>
            <w:tcW w:w="1935" w:type="dxa"/>
            <w:vAlign w:val="top"/>
            <w:gridSpan w:val="2"/>
          </w:tcPr>
          <w:p>
            <w:pPr>
              <w:ind w:left="732"/>
              <w:spacing w:before="9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24.70</w:t>
            </w:r>
          </w:p>
        </w:tc>
        <w:tc>
          <w:tcPr>
            <w:tcW w:w="1937" w:type="dxa"/>
            <w:vAlign w:val="top"/>
            <w:gridSpan w:val="2"/>
            <w:tcBorders>
              <w:right w:val="nil"/>
            </w:tcBorders>
          </w:tcPr>
          <w:p>
            <w:pPr>
              <w:ind w:left="732"/>
              <w:spacing w:before="9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23.17</w:t>
            </w:r>
          </w:p>
        </w:tc>
      </w:tr>
      <w:tr>
        <w:trPr>
          <w:trHeight w:val="317" w:hRule="atLeast"/>
        </w:trPr>
        <w:tc>
          <w:tcPr>
            <w:tcW w:w="1707" w:type="dxa"/>
            <w:vAlign w:val="top"/>
            <w:tcBorders>
              <w:left w:val="nil"/>
            </w:tcBorders>
          </w:tcPr>
          <w:p>
            <w:pPr>
              <w:pStyle w:val="TableText"/>
              <w:ind w:left="552"/>
              <w:spacing w:before="66" w:line="211" w:lineRule="auto"/>
              <w:rPr/>
            </w:pPr>
            <w:r>
              <w:rPr>
                <w:spacing w:val="-2"/>
              </w:rPr>
              <w:t>运牛车</w:t>
            </w:r>
          </w:p>
        </w:tc>
        <w:tc>
          <w:tcPr>
            <w:tcW w:w="1411" w:type="dxa"/>
            <w:vAlign w:val="top"/>
            <w:gridSpan w:val="2"/>
          </w:tcPr>
          <w:p>
            <w:pPr>
              <w:ind w:left="474"/>
              <w:spacing w:before="9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20.11</w:t>
            </w:r>
          </w:p>
        </w:tc>
        <w:tc>
          <w:tcPr>
            <w:tcW w:w="1740" w:type="dxa"/>
            <w:vAlign w:val="top"/>
            <w:gridSpan w:val="2"/>
          </w:tcPr>
          <w:p>
            <w:pPr>
              <w:ind w:left="655"/>
              <w:spacing w:before="9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12.66</w:t>
            </w:r>
          </w:p>
        </w:tc>
        <w:tc>
          <w:tcPr>
            <w:tcW w:w="1935" w:type="dxa"/>
            <w:vAlign w:val="top"/>
            <w:gridSpan w:val="2"/>
          </w:tcPr>
          <w:p>
            <w:pPr>
              <w:ind w:left="752"/>
              <w:spacing w:before="9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12.92</w:t>
            </w:r>
          </w:p>
        </w:tc>
        <w:tc>
          <w:tcPr>
            <w:tcW w:w="1937" w:type="dxa"/>
            <w:vAlign w:val="top"/>
            <w:gridSpan w:val="2"/>
            <w:tcBorders>
              <w:right w:val="nil"/>
            </w:tcBorders>
          </w:tcPr>
          <w:p>
            <w:pPr>
              <w:ind w:left="752"/>
              <w:spacing w:before="99"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15.34</w:t>
            </w:r>
          </w:p>
        </w:tc>
      </w:tr>
      <w:tr>
        <w:trPr>
          <w:trHeight w:val="315" w:hRule="atLeast"/>
        </w:trPr>
        <w:tc>
          <w:tcPr>
            <w:tcW w:w="1707" w:type="dxa"/>
            <w:vAlign w:val="top"/>
            <w:tcBorders>
              <w:left w:val="nil"/>
            </w:tcBorders>
          </w:tcPr>
          <w:p>
            <w:pPr>
              <w:pStyle w:val="TableText"/>
              <w:ind w:left="376"/>
              <w:spacing w:before="66" w:line="210" w:lineRule="auto"/>
              <w:rPr/>
            </w:pPr>
            <w:r>
              <w:rPr>
                <w:spacing w:val="-8"/>
              </w:rPr>
              <w:t>自卸翻斗车</w:t>
            </w:r>
          </w:p>
        </w:tc>
        <w:tc>
          <w:tcPr>
            <w:tcW w:w="1411" w:type="dxa"/>
            <w:vAlign w:val="top"/>
            <w:gridSpan w:val="2"/>
          </w:tcPr>
          <w:p>
            <w:pPr>
              <w:ind w:left="490"/>
              <w:spacing w:before="9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14.70</w:t>
            </w:r>
          </w:p>
        </w:tc>
        <w:tc>
          <w:tcPr>
            <w:tcW w:w="1740" w:type="dxa"/>
            <w:vAlign w:val="top"/>
            <w:gridSpan w:val="2"/>
          </w:tcPr>
          <w:p>
            <w:pPr>
              <w:ind w:left="635"/>
              <w:spacing w:before="9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22.41</w:t>
            </w:r>
          </w:p>
        </w:tc>
        <w:tc>
          <w:tcPr>
            <w:tcW w:w="1935" w:type="dxa"/>
            <w:vAlign w:val="top"/>
            <w:gridSpan w:val="2"/>
          </w:tcPr>
          <w:p>
            <w:pPr>
              <w:ind w:left="736"/>
              <w:spacing w:before="9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34.70</w:t>
            </w:r>
          </w:p>
        </w:tc>
        <w:tc>
          <w:tcPr>
            <w:tcW w:w="1937" w:type="dxa"/>
            <w:vAlign w:val="top"/>
            <w:gridSpan w:val="2"/>
            <w:tcBorders>
              <w:right w:val="nil"/>
            </w:tcBorders>
          </w:tcPr>
          <w:p>
            <w:pPr>
              <w:ind w:left="736"/>
              <w:spacing w:before="9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33.17</w:t>
            </w:r>
          </w:p>
        </w:tc>
      </w:tr>
      <w:tr>
        <w:trPr>
          <w:trHeight w:val="315" w:hRule="atLeast"/>
        </w:trPr>
        <w:tc>
          <w:tcPr>
            <w:tcW w:w="1707" w:type="dxa"/>
            <w:vAlign w:val="top"/>
            <w:tcBorders>
              <w:left w:val="nil"/>
            </w:tcBorders>
          </w:tcPr>
          <w:p>
            <w:pPr>
              <w:pStyle w:val="TableText"/>
              <w:ind w:left="239"/>
              <w:spacing w:before="67" w:line="209" w:lineRule="auto"/>
              <w:rPr/>
            </w:pPr>
            <w:r>
              <w:rPr>
                <w:spacing w:val="-1"/>
              </w:rPr>
              <w:t>移动式消毒车</w:t>
            </w:r>
          </w:p>
        </w:tc>
        <w:tc>
          <w:tcPr>
            <w:tcW w:w="1411" w:type="dxa"/>
            <w:vAlign w:val="top"/>
            <w:gridSpan w:val="2"/>
          </w:tcPr>
          <w:p>
            <w:pPr>
              <w:ind w:left="490"/>
              <w:spacing w:before="10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18.98</w:t>
            </w:r>
          </w:p>
        </w:tc>
        <w:tc>
          <w:tcPr>
            <w:tcW w:w="1740" w:type="dxa"/>
            <w:vAlign w:val="top"/>
            <w:gridSpan w:val="2"/>
          </w:tcPr>
          <w:p>
            <w:pPr>
              <w:ind w:left="635"/>
              <w:spacing w:before="10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22.89</w:t>
            </w:r>
          </w:p>
        </w:tc>
        <w:tc>
          <w:tcPr>
            <w:tcW w:w="1935" w:type="dxa"/>
            <w:vAlign w:val="top"/>
            <w:gridSpan w:val="2"/>
          </w:tcPr>
          <w:p>
            <w:pPr>
              <w:ind w:left="752"/>
              <w:spacing w:before="10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14.70</w:t>
            </w:r>
          </w:p>
        </w:tc>
        <w:tc>
          <w:tcPr>
            <w:tcW w:w="1937" w:type="dxa"/>
            <w:vAlign w:val="top"/>
            <w:gridSpan w:val="2"/>
            <w:tcBorders>
              <w:right w:val="nil"/>
            </w:tcBorders>
          </w:tcPr>
          <w:p>
            <w:pPr>
              <w:ind w:left="732"/>
              <w:spacing w:before="10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23.17</w:t>
            </w:r>
          </w:p>
        </w:tc>
      </w:tr>
      <w:tr>
        <w:trPr>
          <w:trHeight w:val="315" w:hRule="atLeast"/>
        </w:trPr>
        <w:tc>
          <w:tcPr>
            <w:tcW w:w="1707" w:type="dxa"/>
            <w:vAlign w:val="top"/>
            <w:tcBorders>
              <w:left w:val="nil"/>
            </w:tcBorders>
          </w:tcPr>
          <w:p>
            <w:pPr>
              <w:pStyle w:val="TableText"/>
              <w:ind w:left="555"/>
              <w:spacing w:before="69" w:line="207" w:lineRule="auto"/>
              <w:rPr/>
            </w:pPr>
            <w:r>
              <w:rPr>
                <w:spacing w:val="-2"/>
              </w:rPr>
              <w:t>贡献值</w:t>
            </w:r>
          </w:p>
        </w:tc>
        <w:tc>
          <w:tcPr>
            <w:tcW w:w="1411" w:type="dxa"/>
            <w:vAlign w:val="top"/>
            <w:gridSpan w:val="2"/>
          </w:tcPr>
          <w:p>
            <w:pPr>
              <w:ind w:left="469"/>
              <w:spacing w:before="10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23.59</w:t>
            </w:r>
          </w:p>
        </w:tc>
        <w:tc>
          <w:tcPr>
            <w:tcW w:w="1740" w:type="dxa"/>
            <w:vAlign w:val="top"/>
            <w:gridSpan w:val="2"/>
          </w:tcPr>
          <w:p>
            <w:pPr>
              <w:ind w:left="639"/>
              <w:spacing w:before="10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32.77</w:t>
            </w:r>
          </w:p>
        </w:tc>
        <w:tc>
          <w:tcPr>
            <w:tcW w:w="1935" w:type="dxa"/>
            <w:vAlign w:val="top"/>
            <w:gridSpan w:val="2"/>
          </w:tcPr>
          <w:p>
            <w:pPr>
              <w:ind w:left="730"/>
              <w:spacing w:before="10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40.52</w:t>
            </w:r>
          </w:p>
        </w:tc>
        <w:tc>
          <w:tcPr>
            <w:tcW w:w="1937" w:type="dxa"/>
            <w:vAlign w:val="top"/>
            <w:gridSpan w:val="2"/>
            <w:tcBorders>
              <w:right w:val="nil"/>
            </w:tcBorders>
          </w:tcPr>
          <w:p>
            <w:pPr>
              <w:ind w:left="736"/>
              <w:spacing w:before="101" w:line="20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39.20</w:t>
            </w:r>
          </w:p>
        </w:tc>
      </w:tr>
      <w:tr>
        <w:trPr>
          <w:trHeight w:val="315" w:hRule="atLeast"/>
        </w:trPr>
        <w:tc>
          <w:tcPr>
            <w:tcW w:w="1707" w:type="dxa"/>
            <w:vAlign w:val="top"/>
            <w:vMerge w:val="restart"/>
            <w:tcBorders>
              <w:left w:val="nil"/>
              <w:bottom w:val="nil"/>
            </w:tcBorders>
          </w:tcPr>
          <w:p>
            <w:pPr>
              <w:pStyle w:val="TableText"/>
              <w:ind w:left="553"/>
              <w:spacing w:before="231" w:line="221" w:lineRule="auto"/>
              <w:rPr/>
            </w:pPr>
            <w:r>
              <w:rPr>
                <w:spacing w:val="-2"/>
              </w:rPr>
              <w:t>标准值</w:t>
            </w:r>
          </w:p>
        </w:tc>
        <w:tc>
          <w:tcPr>
            <w:tcW w:w="737" w:type="dxa"/>
            <w:vAlign w:val="top"/>
          </w:tcPr>
          <w:p>
            <w:pPr>
              <w:pStyle w:val="TableText"/>
              <w:ind w:left="163"/>
              <w:spacing w:before="70" w:line="206" w:lineRule="auto"/>
              <w:rPr/>
            </w:pPr>
            <w:r>
              <w:rPr>
                <w:spacing w:val="-2"/>
              </w:rPr>
              <w:t>昼间</w:t>
            </w:r>
          </w:p>
        </w:tc>
        <w:tc>
          <w:tcPr>
            <w:tcW w:w="674" w:type="dxa"/>
            <w:vAlign w:val="top"/>
          </w:tcPr>
          <w:p>
            <w:pPr>
              <w:pStyle w:val="TableText"/>
              <w:ind w:left="136"/>
              <w:spacing w:before="70" w:line="206" w:lineRule="auto"/>
              <w:rPr/>
            </w:pPr>
            <w:r>
              <w:rPr>
                <w:spacing w:val="-3"/>
              </w:rPr>
              <w:t>夜间</w:t>
            </w:r>
          </w:p>
        </w:tc>
        <w:tc>
          <w:tcPr>
            <w:tcW w:w="816" w:type="dxa"/>
            <w:vAlign w:val="top"/>
          </w:tcPr>
          <w:p>
            <w:pPr>
              <w:pStyle w:val="TableText"/>
              <w:ind w:left="201"/>
              <w:spacing w:before="70" w:line="206" w:lineRule="auto"/>
              <w:rPr/>
            </w:pPr>
            <w:r>
              <w:rPr>
                <w:spacing w:val="-2"/>
              </w:rPr>
              <w:t>昼间</w:t>
            </w:r>
          </w:p>
        </w:tc>
        <w:tc>
          <w:tcPr>
            <w:tcW w:w="924" w:type="dxa"/>
            <w:vAlign w:val="top"/>
          </w:tcPr>
          <w:p>
            <w:pPr>
              <w:pStyle w:val="TableText"/>
              <w:ind w:left="259"/>
              <w:spacing w:before="70" w:line="206" w:lineRule="auto"/>
              <w:rPr/>
            </w:pPr>
            <w:r>
              <w:rPr>
                <w:spacing w:val="-3"/>
              </w:rPr>
              <w:t>夜间</w:t>
            </w:r>
          </w:p>
        </w:tc>
        <w:tc>
          <w:tcPr>
            <w:tcW w:w="967" w:type="dxa"/>
            <w:vAlign w:val="top"/>
          </w:tcPr>
          <w:p>
            <w:pPr>
              <w:pStyle w:val="TableText"/>
              <w:ind w:left="279"/>
              <w:spacing w:before="70" w:line="206" w:lineRule="auto"/>
              <w:rPr/>
            </w:pPr>
            <w:r>
              <w:rPr>
                <w:spacing w:val="-2"/>
              </w:rPr>
              <w:t>昼间</w:t>
            </w:r>
          </w:p>
        </w:tc>
        <w:tc>
          <w:tcPr>
            <w:tcW w:w="968" w:type="dxa"/>
            <w:vAlign w:val="top"/>
          </w:tcPr>
          <w:p>
            <w:pPr>
              <w:pStyle w:val="TableText"/>
              <w:ind w:left="284"/>
              <w:spacing w:before="70" w:line="206" w:lineRule="auto"/>
              <w:rPr/>
            </w:pPr>
            <w:r>
              <w:rPr>
                <w:spacing w:val="-3"/>
              </w:rPr>
              <w:t>夜间</w:t>
            </w:r>
          </w:p>
        </w:tc>
        <w:tc>
          <w:tcPr>
            <w:tcW w:w="967" w:type="dxa"/>
            <w:vAlign w:val="top"/>
          </w:tcPr>
          <w:p>
            <w:pPr>
              <w:pStyle w:val="TableText"/>
              <w:ind w:left="276"/>
              <w:spacing w:before="70" w:line="206" w:lineRule="auto"/>
              <w:rPr/>
            </w:pPr>
            <w:r>
              <w:rPr>
                <w:spacing w:val="-2"/>
              </w:rPr>
              <w:t>昼间</w:t>
            </w:r>
          </w:p>
        </w:tc>
        <w:tc>
          <w:tcPr>
            <w:tcW w:w="970" w:type="dxa"/>
            <w:vAlign w:val="top"/>
            <w:tcBorders>
              <w:right w:val="nil"/>
            </w:tcBorders>
          </w:tcPr>
          <w:p>
            <w:pPr>
              <w:pStyle w:val="TableText"/>
              <w:ind w:left="283"/>
              <w:spacing w:before="70" w:line="206" w:lineRule="auto"/>
              <w:rPr/>
            </w:pPr>
            <w:r>
              <w:rPr>
                <w:spacing w:val="-3"/>
              </w:rPr>
              <w:t>夜间</w:t>
            </w:r>
          </w:p>
        </w:tc>
      </w:tr>
      <w:tr>
        <w:trPr>
          <w:trHeight w:val="315" w:hRule="atLeast"/>
        </w:trPr>
        <w:tc>
          <w:tcPr>
            <w:tcW w:w="1707" w:type="dxa"/>
            <w:vAlign w:val="top"/>
            <w:vMerge w:val="continue"/>
            <w:tcBorders>
              <w:left w:val="nil"/>
              <w:top w:val="nil"/>
            </w:tcBorders>
          </w:tcPr>
          <w:p>
            <w:pPr>
              <w:rPr>
                <w:rFonts w:ascii="Arial"/>
                <w:sz w:val="21"/>
              </w:rPr>
            </w:pPr>
            <w:r/>
          </w:p>
        </w:tc>
        <w:tc>
          <w:tcPr>
            <w:tcW w:w="737" w:type="dxa"/>
            <w:vAlign w:val="top"/>
          </w:tcPr>
          <w:p>
            <w:pPr>
              <w:ind w:left="269"/>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674" w:type="dxa"/>
            <w:vAlign w:val="top"/>
          </w:tcPr>
          <w:p>
            <w:pPr>
              <w:ind w:left="230"/>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816" w:type="dxa"/>
            <w:vAlign w:val="top"/>
          </w:tcPr>
          <w:p>
            <w:pPr>
              <w:ind w:left="307"/>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924" w:type="dxa"/>
            <w:vAlign w:val="top"/>
          </w:tcPr>
          <w:p>
            <w:pPr>
              <w:ind w:left="356"/>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c>
          <w:tcPr>
            <w:tcW w:w="967" w:type="dxa"/>
            <w:vAlign w:val="top"/>
          </w:tcPr>
          <w:p>
            <w:pPr>
              <w:ind w:left="382"/>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968" w:type="dxa"/>
            <w:vAlign w:val="top"/>
          </w:tcPr>
          <w:p>
            <w:pPr>
              <w:ind w:left="385"/>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967" w:type="dxa"/>
            <w:vAlign w:val="top"/>
          </w:tcPr>
          <w:p>
            <w:pPr>
              <w:ind w:left="382"/>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970" w:type="dxa"/>
            <w:vAlign w:val="top"/>
            <w:tcBorders>
              <w:right w:val="nil"/>
            </w:tcBorders>
          </w:tcPr>
          <w:p>
            <w:pPr>
              <w:ind w:left="378"/>
              <w:spacing w:before="104" w:line="19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r>
      <w:tr>
        <w:trPr>
          <w:trHeight w:val="341" w:hRule="atLeast"/>
        </w:trPr>
        <w:tc>
          <w:tcPr>
            <w:tcW w:w="1707" w:type="dxa"/>
            <w:vAlign w:val="top"/>
            <w:tcBorders>
              <w:left w:val="nil"/>
              <w:bottom w:val="single" w:color="000000" w:sz="10" w:space="0"/>
            </w:tcBorders>
          </w:tcPr>
          <w:p>
            <w:pPr>
              <w:pStyle w:val="TableText"/>
              <w:ind w:left="552"/>
              <w:spacing w:before="76" w:line="221" w:lineRule="auto"/>
              <w:rPr/>
            </w:pPr>
            <w:r>
              <w:rPr>
                <w:spacing w:val="-1"/>
              </w:rPr>
              <w:t>达标性</w:t>
            </w:r>
          </w:p>
        </w:tc>
        <w:tc>
          <w:tcPr>
            <w:tcW w:w="1411" w:type="dxa"/>
            <w:vAlign w:val="top"/>
            <w:gridSpan w:val="2"/>
            <w:tcBorders>
              <w:bottom w:val="single" w:color="000000" w:sz="10" w:space="0"/>
            </w:tcBorders>
          </w:tcPr>
          <w:p>
            <w:pPr>
              <w:pStyle w:val="TableText"/>
              <w:ind w:left="499"/>
              <w:spacing w:before="76" w:line="221" w:lineRule="auto"/>
              <w:rPr/>
            </w:pPr>
            <w:r>
              <w:rPr>
                <w:spacing w:val="-2"/>
              </w:rPr>
              <w:t>达标</w:t>
            </w:r>
          </w:p>
        </w:tc>
        <w:tc>
          <w:tcPr>
            <w:tcW w:w="1740" w:type="dxa"/>
            <w:vAlign w:val="top"/>
            <w:gridSpan w:val="2"/>
            <w:tcBorders>
              <w:bottom w:val="single" w:color="000000" w:sz="10" w:space="0"/>
            </w:tcBorders>
          </w:tcPr>
          <w:p>
            <w:pPr>
              <w:pStyle w:val="TableText"/>
              <w:ind w:left="665"/>
              <w:spacing w:before="76" w:line="221" w:lineRule="auto"/>
              <w:rPr/>
            </w:pPr>
            <w:r>
              <w:rPr>
                <w:spacing w:val="-2"/>
              </w:rPr>
              <w:t>达标</w:t>
            </w:r>
          </w:p>
        </w:tc>
        <w:tc>
          <w:tcPr>
            <w:tcW w:w="1935" w:type="dxa"/>
            <w:vAlign w:val="top"/>
            <w:gridSpan w:val="2"/>
            <w:tcBorders>
              <w:bottom w:val="single" w:color="000000" w:sz="10" w:space="0"/>
            </w:tcBorders>
          </w:tcPr>
          <w:p>
            <w:pPr>
              <w:pStyle w:val="TableText"/>
              <w:ind w:left="761"/>
              <w:spacing w:before="76" w:line="221" w:lineRule="auto"/>
              <w:rPr/>
            </w:pPr>
            <w:r>
              <w:rPr>
                <w:spacing w:val="-2"/>
              </w:rPr>
              <w:t>达标</w:t>
            </w:r>
          </w:p>
        </w:tc>
        <w:tc>
          <w:tcPr>
            <w:tcW w:w="1937" w:type="dxa"/>
            <w:vAlign w:val="top"/>
            <w:gridSpan w:val="2"/>
            <w:tcBorders>
              <w:right w:val="nil"/>
              <w:bottom w:val="single" w:color="000000" w:sz="10" w:space="0"/>
            </w:tcBorders>
          </w:tcPr>
          <w:p>
            <w:pPr>
              <w:pStyle w:val="TableText"/>
              <w:ind w:left="761"/>
              <w:spacing w:before="76" w:line="221" w:lineRule="auto"/>
              <w:rPr/>
            </w:pPr>
            <w:r>
              <w:rPr>
                <w:spacing w:val="-2"/>
              </w:rPr>
              <w:t>达标</w:t>
            </w:r>
          </w:p>
        </w:tc>
      </w:tr>
    </w:tbl>
    <w:p>
      <w:pPr>
        <w:ind w:left="134" w:right="101" w:firstLine="506"/>
        <w:spacing w:before="34" w:line="361" w:lineRule="auto"/>
        <w:rPr>
          <w:rFonts w:ascii="SimSun" w:hAnsi="SimSun" w:eastAsia="SimSun" w:cs="SimSun"/>
          <w:sz w:val="24"/>
          <w:szCs w:val="24"/>
        </w:rPr>
      </w:pPr>
      <w:r>
        <w:rPr>
          <w:rFonts w:ascii="SimSun" w:hAnsi="SimSun" w:eastAsia="SimSun" w:cs="SimSun"/>
          <w:sz w:val="24"/>
          <w:szCs w:val="24"/>
          <w:spacing w:val="-4"/>
        </w:rPr>
        <w:t>由表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5-16</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的预测结果，项目场界噪声贡献值能达到</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4"/>
        </w:rPr>
        <w:t>GB1234</w:t>
      </w:r>
      <w:r>
        <w:rPr>
          <w:rFonts w:ascii="Times New Roman" w:hAnsi="Times New Roman" w:eastAsia="Times New Roman" w:cs="Times New Roman"/>
          <w:sz w:val="24"/>
          <w:szCs w:val="24"/>
          <w:spacing w:val="-5"/>
        </w:rPr>
        <w:t>8-2008</w:t>
      </w:r>
      <w:r>
        <w:rPr>
          <w:rFonts w:ascii="SimSun" w:hAnsi="SimSun" w:eastAsia="SimSun" w:cs="SimSun"/>
          <w:sz w:val="24"/>
          <w:szCs w:val="24"/>
          <w:spacing w:val="-5"/>
        </w:rPr>
        <w:t>《工业企业</w:t>
      </w:r>
      <w:r>
        <w:rPr>
          <w:rFonts w:ascii="SimSun" w:hAnsi="SimSun" w:eastAsia="SimSun" w:cs="SimSun"/>
          <w:sz w:val="24"/>
          <w:szCs w:val="24"/>
          <w:spacing w:val="-2"/>
        </w:rPr>
        <w:t>厂界环境噪声排放标准》中</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类区及</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4 </w:t>
      </w:r>
      <w:r>
        <w:rPr>
          <w:rFonts w:ascii="SimSun" w:hAnsi="SimSun" w:eastAsia="SimSun" w:cs="SimSun"/>
          <w:sz w:val="24"/>
          <w:szCs w:val="24"/>
          <w:spacing w:val="-2"/>
        </w:rPr>
        <w:t>类区标准要求。</w:t>
      </w:r>
    </w:p>
    <w:p>
      <w:pPr>
        <w:pStyle w:val="BodyText"/>
        <w:spacing w:line="256" w:lineRule="auto"/>
        <w:rPr/>
      </w:pPr>
      <w:r/>
    </w:p>
    <w:p>
      <w:pPr>
        <w:ind w:left="130"/>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3"/>
        </w:rPr>
        <w:t>5.2.5</w:t>
      </w:r>
      <w:r>
        <w:rPr>
          <w:rFonts w:ascii="Times New Roman" w:hAnsi="Times New Roman" w:eastAsia="Times New Roman" w:cs="Times New Roman"/>
          <w:sz w:val="24"/>
          <w:szCs w:val="24"/>
          <w:b/>
          <w:bCs/>
          <w:spacing w:val="21"/>
          <w:w w:val="101"/>
        </w:rPr>
        <w:t xml:space="preserve"> </w:t>
      </w:r>
      <w:r>
        <w:rPr>
          <w:rFonts w:ascii="SimSun" w:hAnsi="SimSun" w:eastAsia="SimSun" w:cs="SimSun"/>
          <w:sz w:val="24"/>
          <w:szCs w:val="24"/>
          <w:b/>
          <w:bCs/>
          <w:spacing w:val="-3"/>
        </w:rPr>
        <w:t>营运期固体废物影响分析</w:t>
      </w:r>
    </w:p>
    <w:p>
      <w:pPr>
        <w:pStyle w:val="BodyText"/>
        <w:spacing w:line="264" w:lineRule="auto"/>
        <w:rPr/>
      </w:pPr>
      <w:r/>
    </w:p>
    <w:p>
      <w:pPr>
        <w:ind w:left="618"/>
        <w:spacing w:before="78"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）固体废物情况</w:t>
      </w:r>
    </w:p>
    <w:p>
      <w:pPr>
        <w:ind w:left="131" w:right="109" w:firstLine="480"/>
        <w:spacing w:before="162" w:line="359" w:lineRule="auto"/>
        <w:rPr>
          <w:rFonts w:ascii="SimSun" w:hAnsi="SimSun" w:eastAsia="SimSun" w:cs="SimSun"/>
          <w:sz w:val="24"/>
          <w:szCs w:val="24"/>
        </w:rPr>
      </w:pPr>
      <w:r>
        <w:rPr>
          <w:rFonts w:ascii="SimSun" w:hAnsi="SimSun" w:eastAsia="SimSun" w:cs="SimSun"/>
          <w:sz w:val="24"/>
          <w:szCs w:val="24"/>
          <w:spacing w:val="3"/>
        </w:rPr>
        <w:t>养殖场固废物主要来自废垫料、防疫废物、病死</w:t>
      </w:r>
      <w:r>
        <w:rPr>
          <w:rFonts w:ascii="SimSun" w:hAnsi="SimSun" w:eastAsia="SimSun" w:cs="SimSun"/>
          <w:sz w:val="24"/>
          <w:szCs w:val="24"/>
          <w:spacing w:val="2"/>
        </w:rPr>
        <w:t>牛、餐厨垃圾、消毒剂废包</w:t>
      </w:r>
      <w:r>
        <w:rPr>
          <w:rFonts w:ascii="SimSun" w:hAnsi="SimSun" w:eastAsia="SimSun" w:cs="SimSun"/>
          <w:sz w:val="24"/>
          <w:szCs w:val="24"/>
          <w:spacing w:val="-2"/>
        </w:rPr>
        <w:t>装袋及废垫料。</w:t>
      </w:r>
    </w:p>
    <w:p>
      <w:pPr>
        <w:ind w:left="131" w:right="98" w:firstLine="479"/>
        <w:spacing w:before="3" w:line="360" w:lineRule="auto"/>
        <w:jc w:val="both"/>
        <w:rPr>
          <w:rFonts w:ascii="SimSun" w:hAnsi="SimSun" w:eastAsia="SimSun" w:cs="SimSun"/>
          <w:sz w:val="24"/>
          <w:szCs w:val="24"/>
        </w:rPr>
      </w:pPr>
      <w:r>
        <w:rPr>
          <w:rFonts w:ascii="SimSun" w:hAnsi="SimSun" w:eastAsia="SimSun" w:cs="SimSun"/>
          <w:sz w:val="24"/>
          <w:szCs w:val="24"/>
        </w:rPr>
        <w:t>废垫料产生量约为 </w:t>
      </w:r>
      <w:r>
        <w:rPr>
          <w:rFonts w:ascii="Times New Roman" w:hAnsi="Times New Roman" w:eastAsia="Times New Roman" w:cs="Times New Roman"/>
          <w:sz w:val="24"/>
          <w:szCs w:val="24"/>
        </w:rPr>
        <w:t>7169.975t/a</w:t>
      </w:r>
      <w:r>
        <w:rPr>
          <w:rFonts w:ascii="Times New Roman" w:hAnsi="Times New Roman" w:eastAsia="Times New Roman" w:cs="Times New Roman"/>
          <w:sz w:val="24"/>
          <w:szCs w:val="24"/>
          <w:spacing w:val="-20"/>
        </w:rPr>
        <w:t xml:space="preserve"> </w:t>
      </w:r>
      <w:r>
        <w:rPr>
          <w:rFonts w:ascii="SimSun" w:hAnsi="SimSun" w:eastAsia="SimSun" w:cs="SimSun"/>
          <w:sz w:val="24"/>
          <w:szCs w:val="24"/>
        </w:rPr>
        <w:t>，定期清运至储粪库暂存，外售给相关单位生</w:t>
      </w:r>
      <w:r>
        <w:rPr>
          <w:rFonts w:ascii="SimSun" w:hAnsi="SimSun" w:eastAsia="SimSun" w:cs="SimSun"/>
          <w:sz w:val="24"/>
          <w:szCs w:val="24"/>
          <w:spacing w:val="-1"/>
        </w:rPr>
        <w:t>产有机肥；防疫体系兽用废物产生量为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0.5</w:t>
      </w:r>
      <w:r>
        <w:rPr>
          <w:rFonts w:ascii="Times New Roman" w:hAnsi="Times New Roman" w:eastAsia="Times New Roman" w:cs="Times New Roman"/>
          <w:sz w:val="24"/>
          <w:szCs w:val="24"/>
          <w:spacing w:val="-2"/>
        </w:rPr>
        <w:t>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，属于危险废物，暂存于危废间内，</w:t>
      </w:r>
      <w:r>
        <w:rPr>
          <w:rFonts w:ascii="SimSun" w:hAnsi="SimSun" w:eastAsia="SimSun" w:cs="SimSun"/>
          <w:sz w:val="24"/>
          <w:szCs w:val="24"/>
          <w:spacing w:val="-3"/>
        </w:rPr>
        <w:t>定期委托有资质部门处理；本项目病死牛尸体产生量为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6t/a</w:t>
      </w:r>
      <w:r>
        <w:rPr>
          <w:rFonts w:ascii="SimSun" w:hAnsi="SimSun" w:eastAsia="SimSun" w:cs="SimSun"/>
          <w:sz w:val="24"/>
          <w:szCs w:val="24"/>
          <w:spacing w:val="-3"/>
        </w:rPr>
        <w:t>，委托相关单位进行无</w:t>
      </w:r>
      <w:r>
        <w:rPr>
          <w:rFonts w:ascii="SimSun" w:hAnsi="SimSun" w:eastAsia="SimSun" w:cs="SimSun"/>
          <w:sz w:val="24"/>
          <w:szCs w:val="24"/>
          <w:spacing w:val="-2"/>
        </w:rPr>
        <w:t>害化处置；职工生活垃圾产生量为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1.825t/a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，集中堆放，定期交由环卫部门进行统</w:t>
      </w:r>
      <w:r>
        <w:rPr>
          <w:rFonts w:ascii="SimSun" w:hAnsi="SimSun" w:eastAsia="SimSun" w:cs="SimSun"/>
          <w:sz w:val="24"/>
          <w:szCs w:val="24"/>
          <w:spacing w:val="-1"/>
        </w:rPr>
        <w:t>一处理；本项目消毒剂为高锰酸钾，袋装，故产生废包</w:t>
      </w:r>
      <w:r>
        <w:rPr>
          <w:rFonts w:ascii="SimSun" w:hAnsi="SimSun" w:eastAsia="SimSun" w:cs="SimSun"/>
          <w:sz w:val="24"/>
          <w:szCs w:val="24"/>
          <w:spacing w:val="-2"/>
        </w:rPr>
        <w:t>装袋，产生量约</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0.1t/a</w:t>
      </w:r>
      <w:r>
        <w:rPr>
          <w:rFonts w:ascii="SimSun" w:hAnsi="SimSun" w:eastAsia="SimSun" w:cs="SimSun"/>
          <w:sz w:val="24"/>
          <w:szCs w:val="24"/>
          <w:spacing w:val="-2"/>
        </w:rPr>
        <w:t>，属</w:t>
      </w:r>
      <w:r>
        <w:rPr>
          <w:rFonts w:ascii="SimSun" w:hAnsi="SimSun" w:eastAsia="SimSun" w:cs="SimSun"/>
          <w:sz w:val="24"/>
          <w:szCs w:val="24"/>
          <w:spacing w:val="10"/>
        </w:rPr>
        <w:t>于危险废物，暂存于危废间内，定期委托有资质部门处</w:t>
      </w:r>
      <w:r>
        <w:rPr>
          <w:rFonts w:ascii="SimSun" w:hAnsi="SimSun" w:eastAsia="SimSun" w:cs="SimSun"/>
          <w:sz w:val="24"/>
          <w:szCs w:val="24"/>
          <w:spacing w:val="9"/>
        </w:rPr>
        <w:t>理；餐厨垃圾产生量为</w:t>
      </w:r>
      <w:r>
        <w:rPr>
          <w:rFonts w:ascii="Times New Roman" w:hAnsi="Times New Roman" w:eastAsia="Times New Roman" w:cs="Times New Roman"/>
          <w:sz w:val="24"/>
          <w:szCs w:val="24"/>
        </w:rPr>
        <w:t>0.73t/a</w:t>
      </w:r>
      <w:r>
        <w:rPr>
          <w:rFonts w:ascii="SimSun" w:hAnsi="SimSun" w:eastAsia="SimSun" w:cs="SimSun"/>
          <w:sz w:val="24"/>
          <w:szCs w:val="24"/>
        </w:rPr>
        <w:t>，每日使用加盖塑料桶进行收集，定期交由环</w:t>
      </w:r>
      <w:r>
        <w:rPr>
          <w:rFonts w:ascii="SimSun" w:hAnsi="SimSun" w:eastAsia="SimSun" w:cs="SimSun"/>
          <w:sz w:val="24"/>
          <w:szCs w:val="24"/>
          <w:spacing w:val="-1"/>
        </w:rPr>
        <w:t>卫部门进行统一处理。</w:t>
      </w:r>
    </w:p>
    <w:p>
      <w:pPr>
        <w:spacing w:line="360" w:lineRule="auto"/>
        <w:sectPr>
          <w:headerReference w:type="default" r:id="rId162"/>
          <w:footerReference w:type="default" r:id="rId163"/>
          <w:pgSz w:w="11907" w:h="16839"/>
          <w:pgMar w:top="1442" w:right="1595" w:bottom="1235" w:left="1579" w:header="1064" w:footer="992" w:gutter="0"/>
        </w:sectPr>
        <w:rPr>
          <w:rFonts w:ascii="SimSun" w:hAnsi="SimSun" w:eastAsia="SimSun" w:cs="SimSun"/>
          <w:sz w:val="24"/>
          <w:szCs w:val="24"/>
        </w:rPr>
      </w:pPr>
    </w:p>
    <w:p>
      <w:pPr>
        <w:pStyle w:val="BodyText"/>
        <w:spacing w:line="292" w:lineRule="auto"/>
        <w:rPr/>
      </w:pPr>
      <w:r/>
    </w:p>
    <w:p>
      <w:pPr>
        <w:ind w:left="588"/>
        <w:spacing w:before="78" w:line="233" w:lineRule="auto"/>
        <w:rPr>
          <w:rFonts w:ascii="SimSun" w:hAnsi="SimSun" w:eastAsia="SimSun" w:cs="SimSun"/>
          <w:sz w:val="24"/>
          <w:szCs w:val="24"/>
        </w:rPr>
      </w:pPr>
      <w:r>
        <w:rPr>
          <w:rFonts w:ascii="SimSun" w:hAnsi="SimSun" w:eastAsia="SimSun" w:cs="SimSun"/>
          <w:sz w:val="24"/>
          <w:szCs w:val="24"/>
          <w:spacing w:val="-2"/>
        </w:rPr>
        <w:t>综上，产生的各项固废均得到合理处理</w:t>
      </w:r>
      <w:r>
        <w:rPr>
          <w:rFonts w:ascii="Times New Roman" w:hAnsi="Times New Roman" w:eastAsia="Times New Roman" w:cs="Times New Roman"/>
          <w:sz w:val="24"/>
          <w:szCs w:val="24"/>
          <w:spacing w:val="-2"/>
        </w:rPr>
        <w:t>/</w:t>
      </w:r>
      <w:r>
        <w:rPr>
          <w:rFonts w:ascii="SimSun" w:hAnsi="SimSun" w:eastAsia="SimSun" w:cs="SimSun"/>
          <w:sz w:val="24"/>
          <w:szCs w:val="24"/>
          <w:spacing w:val="-2"/>
        </w:rPr>
        <w:t>处置，不会产生二次污染。</w:t>
      </w:r>
    </w:p>
    <w:p>
      <w:pPr>
        <w:ind w:left="531"/>
        <w:spacing w:before="166"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）储存环境影响</w:t>
      </w:r>
    </w:p>
    <w:p>
      <w:pPr>
        <w:ind w:left="584"/>
        <w:spacing w:before="165" w:line="217" w:lineRule="auto"/>
        <w:rPr>
          <w:rFonts w:ascii="SimSun" w:hAnsi="SimSun" w:eastAsia="SimSun" w:cs="SimSun"/>
          <w:sz w:val="24"/>
          <w:szCs w:val="24"/>
        </w:rPr>
      </w:pPr>
      <w:r>
        <w:rPr>
          <w:rFonts w:ascii="SimSun" w:hAnsi="SimSun" w:eastAsia="SimSun" w:cs="SimSun"/>
          <w:sz w:val="24"/>
          <w:szCs w:val="24"/>
          <w:spacing w:val="-2"/>
        </w:rPr>
        <w:t>①一般固体废物</w:t>
      </w:r>
    </w:p>
    <w:p>
      <w:pPr>
        <w:ind w:left="104" w:firstLine="480"/>
        <w:spacing w:before="186" w:line="360" w:lineRule="auto"/>
        <w:jc w:val="both"/>
        <w:rPr>
          <w:rFonts w:ascii="SimSun" w:hAnsi="SimSun" w:eastAsia="SimSun" w:cs="SimSun"/>
          <w:sz w:val="24"/>
          <w:szCs w:val="24"/>
        </w:rPr>
      </w:pPr>
      <w:r>
        <w:rPr>
          <w:rFonts w:ascii="SimSun" w:hAnsi="SimSun" w:eastAsia="SimSun" w:cs="SimSun"/>
          <w:sz w:val="24"/>
          <w:szCs w:val="24"/>
          <w:spacing w:val="3"/>
        </w:rPr>
        <w:t>根据《中华人民共和国固体废物污染环境防治法》及相关</w:t>
      </w:r>
      <w:r>
        <w:rPr>
          <w:rFonts w:ascii="SimSun" w:hAnsi="SimSun" w:eastAsia="SimSun" w:cs="SimSun"/>
          <w:sz w:val="24"/>
          <w:szCs w:val="24"/>
          <w:spacing w:val="2"/>
        </w:rPr>
        <w:t>环境管理要求，一</w:t>
      </w:r>
      <w:r>
        <w:rPr>
          <w:rFonts w:ascii="SimSun" w:hAnsi="SimSun" w:eastAsia="SimSun" w:cs="SimSun"/>
          <w:sz w:val="24"/>
          <w:szCs w:val="24"/>
          <w:spacing w:val="2"/>
        </w:rPr>
        <w:t>般固体废物的堆积、贮存必须采取防扬撒、防流失、防渗漏等污染防治措施，厂</w:t>
      </w:r>
      <w:r>
        <w:rPr>
          <w:rFonts w:ascii="SimSun" w:hAnsi="SimSun" w:eastAsia="SimSun" w:cs="SimSun"/>
          <w:sz w:val="24"/>
          <w:szCs w:val="24"/>
          <w:spacing w:val="-2"/>
        </w:rPr>
        <w:t>区地面采取地面硬化措施，本项目生活垃圾暂存于垃圾箱，对周围环境影响较小，</w:t>
      </w:r>
      <w:r>
        <w:rPr>
          <w:rFonts w:ascii="SimSun" w:hAnsi="SimSun" w:eastAsia="SimSun" w:cs="SimSun"/>
          <w:sz w:val="24"/>
          <w:szCs w:val="24"/>
          <w:spacing w:val="3"/>
        </w:rPr>
        <w:t>废垫料贮存于储粪库内，储粪库进行重点防渗处理</w:t>
      </w:r>
      <w:r>
        <w:rPr>
          <w:rFonts w:ascii="SimSun" w:hAnsi="SimSun" w:eastAsia="SimSun" w:cs="SimSun"/>
          <w:sz w:val="24"/>
          <w:szCs w:val="24"/>
          <w:spacing w:val="2"/>
        </w:rPr>
        <w:t>，可有效的防止下渗影响，并</w:t>
      </w:r>
      <w:r>
        <w:rPr>
          <w:rFonts w:ascii="SimSun" w:hAnsi="SimSun" w:eastAsia="SimSun" w:cs="SimSun"/>
          <w:sz w:val="24"/>
          <w:szCs w:val="24"/>
          <w:spacing w:val="3"/>
        </w:rPr>
        <w:t>且定期喷洒除臭剂，可有效的抑制恶臭气体的产生，病死</w:t>
      </w:r>
      <w:r>
        <w:rPr>
          <w:rFonts w:ascii="SimSun" w:hAnsi="SimSun" w:eastAsia="SimSun" w:cs="SimSun"/>
          <w:sz w:val="24"/>
          <w:szCs w:val="24"/>
          <w:spacing w:val="2"/>
        </w:rPr>
        <w:t>牛不在场区贮存，为了</w:t>
      </w:r>
      <w:r>
        <w:rPr>
          <w:rFonts w:ascii="SimSun" w:hAnsi="SimSun" w:eastAsia="SimSun" w:cs="SimSun"/>
          <w:sz w:val="24"/>
          <w:szCs w:val="24"/>
          <w:spacing w:val="2"/>
        </w:rPr>
        <w:t>防止疫病的影响，病死牛委托相关单位进行无害化处置，不在场区内暂存，餐厨</w:t>
      </w:r>
      <w:r>
        <w:rPr>
          <w:rFonts w:ascii="SimSun" w:hAnsi="SimSun" w:eastAsia="SimSun" w:cs="SimSun"/>
          <w:sz w:val="24"/>
          <w:szCs w:val="24"/>
          <w:spacing w:val="2"/>
        </w:rPr>
        <w:t>垃圾使用带盖桶，暂存于食堂内，暂存区域均采取硬化措施，一般固废物暂存场</w:t>
      </w:r>
      <w:r>
        <w:rPr>
          <w:rFonts w:ascii="SimSun" w:hAnsi="SimSun" w:eastAsia="SimSun" w:cs="SimSun"/>
          <w:sz w:val="24"/>
          <w:szCs w:val="24"/>
          <w:spacing w:val="-3"/>
        </w:rPr>
        <w:t>所符合《一般工业固体废物贮存和填埋污染控制标准》（</w:t>
      </w:r>
      <w:r>
        <w:rPr>
          <w:rFonts w:ascii="Times New Roman" w:hAnsi="Times New Roman" w:eastAsia="Times New Roman" w:cs="Times New Roman"/>
          <w:sz w:val="24"/>
          <w:szCs w:val="24"/>
          <w:spacing w:val="-3"/>
        </w:rPr>
        <w:t>GB18599-2020</w:t>
      </w:r>
      <w:r>
        <w:rPr>
          <w:rFonts w:ascii="SimSun" w:hAnsi="SimSun" w:eastAsia="SimSun" w:cs="SimSun"/>
          <w:sz w:val="24"/>
          <w:szCs w:val="24"/>
          <w:spacing w:val="-3"/>
        </w:rPr>
        <w:t>）的要求。</w:t>
      </w:r>
    </w:p>
    <w:p>
      <w:pPr>
        <w:ind w:left="583"/>
        <w:spacing w:line="217" w:lineRule="auto"/>
        <w:rPr>
          <w:rFonts w:ascii="SimSun" w:hAnsi="SimSun" w:eastAsia="SimSun" w:cs="SimSun"/>
          <w:sz w:val="24"/>
          <w:szCs w:val="24"/>
        </w:rPr>
      </w:pPr>
      <w:r>
        <w:rPr>
          <w:rFonts w:ascii="SimSun" w:hAnsi="SimSun" w:eastAsia="SimSun" w:cs="SimSun"/>
          <w:sz w:val="24"/>
          <w:szCs w:val="24"/>
          <w:spacing w:val="-1"/>
        </w:rPr>
        <w:t>②危险废物处置要求</w:t>
      </w:r>
    </w:p>
    <w:p>
      <w:pPr>
        <w:ind w:left="105" w:right="22" w:firstLine="480"/>
        <w:spacing w:before="188" w:line="357" w:lineRule="auto"/>
        <w:rPr>
          <w:rFonts w:ascii="SimSun" w:hAnsi="SimSun" w:eastAsia="SimSun" w:cs="SimSun"/>
          <w:sz w:val="24"/>
          <w:szCs w:val="24"/>
        </w:rPr>
      </w:pPr>
      <w:r>
        <w:rPr>
          <w:rFonts w:ascii="SimSun" w:hAnsi="SimSun" w:eastAsia="SimSun" w:cs="SimSun"/>
          <w:sz w:val="24"/>
          <w:szCs w:val="24"/>
          <w:spacing w:val="-2"/>
        </w:rPr>
        <w:t>本项目危险废物为防疫废物及消毒剂废包装袋</w:t>
      </w:r>
      <w:r>
        <w:rPr>
          <w:rFonts w:ascii="SimSun" w:hAnsi="SimSun" w:eastAsia="SimSun" w:cs="SimSun"/>
          <w:sz w:val="24"/>
          <w:szCs w:val="24"/>
          <w:spacing w:val="-3"/>
        </w:rPr>
        <w:t>，分区暂存于危险废物暂存间，</w:t>
      </w:r>
      <w:r>
        <w:rPr>
          <w:rFonts w:ascii="SimSun" w:hAnsi="SimSun" w:eastAsia="SimSun" w:cs="SimSun"/>
          <w:sz w:val="24"/>
          <w:szCs w:val="24"/>
          <w:spacing w:val="-1"/>
        </w:rPr>
        <w:t>定期委托有资质单位处置。项目拟建设危险废物暂</w:t>
      </w:r>
      <w:r>
        <w:rPr>
          <w:rFonts w:ascii="SimSun" w:hAnsi="SimSun" w:eastAsia="SimSun" w:cs="SimSun"/>
          <w:sz w:val="24"/>
          <w:szCs w:val="24"/>
          <w:spacing w:val="-2"/>
        </w:rPr>
        <w:t>存间面积为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10m</w:t>
      </w:r>
      <w:r>
        <w:rPr>
          <w:rFonts w:ascii="Times New Roman" w:hAnsi="Times New Roman" w:eastAsia="Times New Roman" w:cs="Times New Roman"/>
          <w:sz w:val="16"/>
          <w:szCs w:val="16"/>
          <w:spacing w:val="-2"/>
          <w:position w:val="10"/>
        </w:rPr>
        <w:t>2</w:t>
      </w:r>
      <w:r>
        <w:rPr>
          <w:rFonts w:ascii="SimSun" w:hAnsi="SimSun" w:eastAsia="SimSun" w:cs="SimSun"/>
          <w:sz w:val="24"/>
          <w:szCs w:val="24"/>
          <w:spacing w:val="-2"/>
        </w:rPr>
        <w:t>，地面采取防</w:t>
      </w:r>
      <w:r>
        <w:rPr>
          <w:rFonts w:ascii="SimSun" w:hAnsi="SimSun" w:eastAsia="SimSun" w:cs="SimSun"/>
          <w:sz w:val="24"/>
          <w:szCs w:val="24"/>
        </w:rPr>
        <w:t>腐、防渗工程措施等措施，暂存过程中注明主要成份、</w:t>
      </w:r>
      <w:r>
        <w:rPr>
          <w:rFonts w:ascii="SimSun" w:hAnsi="SimSun" w:eastAsia="SimSun" w:cs="SimSun"/>
          <w:sz w:val="24"/>
          <w:szCs w:val="24"/>
          <w:spacing w:val="-1"/>
        </w:rPr>
        <w:t>化学名称、危险类别、危</w:t>
      </w:r>
      <w:r>
        <w:rPr>
          <w:rFonts w:ascii="SimSun" w:hAnsi="SimSun" w:eastAsia="SimSun" w:cs="SimSun"/>
          <w:sz w:val="24"/>
          <w:szCs w:val="24"/>
          <w:spacing w:val="-1"/>
        </w:rPr>
        <w:t>险情况、安全措施等，暂存期不超过</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1"/>
        </w:rPr>
        <w:t>5 </w:t>
      </w:r>
      <w:r>
        <w:rPr>
          <w:rFonts w:ascii="SimSun" w:hAnsi="SimSun" w:eastAsia="SimSun" w:cs="SimSun"/>
          <w:sz w:val="24"/>
          <w:szCs w:val="24"/>
          <w:spacing w:val="-1"/>
        </w:rPr>
        <w:t>个月，并按规范要求进行转移并委托有资</w:t>
      </w:r>
      <w:r>
        <w:rPr>
          <w:rFonts w:ascii="SimSun" w:hAnsi="SimSun" w:eastAsia="SimSun" w:cs="SimSun"/>
          <w:sz w:val="24"/>
          <w:szCs w:val="24"/>
        </w:rPr>
        <w:t>质单位进行处置，本项目在危险废物的产生、贮存、运输、</w:t>
      </w:r>
      <w:r>
        <w:rPr>
          <w:rFonts w:ascii="SimSun" w:hAnsi="SimSun" w:eastAsia="SimSun" w:cs="SimSun"/>
          <w:sz w:val="24"/>
          <w:szCs w:val="24"/>
          <w:spacing w:val="-1"/>
        </w:rPr>
        <w:t>处置、利用过程中拟</w:t>
      </w:r>
      <w:r>
        <w:rPr>
          <w:rFonts w:ascii="SimSun" w:hAnsi="SimSun" w:eastAsia="SimSun" w:cs="SimSun"/>
          <w:sz w:val="24"/>
          <w:szCs w:val="24"/>
          <w:spacing w:val="-1"/>
        </w:rPr>
        <w:t>制定严格的管理制度和操作规程，严格按照《危险废物贮存污染控制标准》</w:t>
      </w:r>
    </w:p>
    <w:p>
      <w:pPr>
        <w:ind w:left="106" w:right="152" w:firstLine="5"/>
        <w:spacing w:before="12" w:line="35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GB18597-2023</w:t>
      </w:r>
      <w:r>
        <w:rPr>
          <w:rFonts w:ascii="SimSun" w:hAnsi="SimSun" w:eastAsia="SimSun" w:cs="SimSun"/>
          <w:sz w:val="24"/>
          <w:szCs w:val="24"/>
          <w:spacing w:val="-1"/>
        </w:rPr>
        <w:t>）、《危险废物收集、贮存、运输技术规范》、《危险废物转移</w:t>
      </w:r>
      <w:r>
        <w:rPr>
          <w:rFonts w:ascii="SimSun" w:hAnsi="SimSun" w:eastAsia="SimSun" w:cs="SimSun"/>
          <w:sz w:val="24"/>
          <w:szCs w:val="24"/>
          <w:spacing w:val="-1"/>
        </w:rPr>
        <w:t>联单管理办法》、《危险废物规范化管理指标体系》等要</w:t>
      </w:r>
      <w:r>
        <w:rPr>
          <w:rFonts w:ascii="SimSun" w:hAnsi="SimSun" w:eastAsia="SimSun" w:cs="SimSun"/>
          <w:sz w:val="24"/>
          <w:szCs w:val="24"/>
          <w:spacing w:val="-2"/>
        </w:rPr>
        <w:t>求规范化建设和运行。</w:t>
      </w:r>
    </w:p>
    <w:p>
      <w:pPr>
        <w:ind w:left="104"/>
        <w:spacing w:before="284"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5.2.6 </w:t>
      </w:r>
      <w:r>
        <w:rPr>
          <w:rFonts w:ascii="SimSun" w:hAnsi="SimSun" w:eastAsia="SimSun" w:cs="SimSun"/>
          <w:sz w:val="24"/>
          <w:szCs w:val="24"/>
          <w:b/>
          <w:bCs/>
          <w:spacing w:val="-2"/>
        </w:rPr>
        <w:t>运输环境影响分析</w:t>
      </w:r>
    </w:p>
    <w:p>
      <w:pPr>
        <w:pStyle w:val="BodyText"/>
        <w:spacing w:line="263" w:lineRule="auto"/>
        <w:rPr/>
      </w:pPr>
      <w:r/>
    </w:p>
    <w:p>
      <w:pPr>
        <w:ind w:left="104" w:right="90" w:firstLine="481"/>
        <w:spacing w:before="78" w:line="359" w:lineRule="auto"/>
        <w:jc w:val="both"/>
        <w:rPr>
          <w:rFonts w:ascii="SimSun" w:hAnsi="SimSun" w:eastAsia="SimSun" w:cs="SimSun"/>
          <w:sz w:val="24"/>
          <w:szCs w:val="24"/>
        </w:rPr>
      </w:pPr>
      <w:r>
        <w:rPr>
          <w:rFonts w:ascii="SimSun" w:hAnsi="SimSun" w:eastAsia="SimSun" w:cs="SimSun"/>
          <w:sz w:val="24"/>
          <w:szCs w:val="24"/>
          <w:spacing w:val="3"/>
        </w:rPr>
        <w:t>本项目废垫料运输车辆为密闭式车辆，运输</w:t>
      </w:r>
      <w:r>
        <w:rPr>
          <w:rFonts w:ascii="SimSun" w:hAnsi="SimSun" w:eastAsia="SimSun" w:cs="SimSun"/>
          <w:sz w:val="24"/>
          <w:szCs w:val="24"/>
          <w:spacing w:val="2"/>
        </w:rPr>
        <w:t>由购买方负责，危险废物由有资</w:t>
      </w:r>
      <w:r>
        <w:rPr>
          <w:rFonts w:ascii="SimSun" w:hAnsi="SimSun" w:eastAsia="SimSun" w:cs="SimSun"/>
          <w:sz w:val="24"/>
          <w:szCs w:val="24"/>
          <w:spacing w:val="3"/>
        </w:rPr>
        <w:t>质单位运输，生活垃圾及餐厨垃圾由环卫部门运输</w:t>
      </w:r>
      <w:r>
        <w:rPr>
          <w:rFonts w:ascii="SimSun" w:hAnsi="SimSun" w:eastAsia="SimSun" w:cs="SimSun"/>
          <w:sz w:val="24"/>
          <w:szCs w:val="24"/>
          <w:spacing w:val="2"/>
        </w:rPr>
        <w:t>，病死牛委托相关单位进行无</w:t>
      </w:r>
      <w:r>
        <w:rPr>
          <w:rFonts w:ascii="SimSun" w:hAnsi="SimSun" w:eastAsia="SimSun" w:cs="SimSun"/>
          <w:sz w:val="24"/>
          <w:szCs w:val="24"/>
          <w:spacing w:val="2"/>
        </w:rPr>
        <w:t>害化运输处置，通过加强车辆维修管理，确保车辆密闭不渗漏的情况下，运输过</w:t>
      </w:r>
      <w:r>
        <w:rPr>
          <w:rFonts w:ascii="SimSun" w:hAnsi="SimSun" w:eastAsia="SimSun" w:cs="SimSun"/>
          <w:sz w:val="24"/>
          <w:szCs w:val="24"/>
          <w:spacing w:val="-2"/>
        </w:rPr>
        <w:t>程中不会散落，故对周围环境影响较小。建议企业运输过程中采取以下措施：</w:t>
      </w:r>
    </w:p>
    <w:p>
      <w:pPr>
        <w:ind w:left="108" w:right="89" w:firstLine="483"/>
        <w:spacing w:before="2" w:line="351"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1</w:t>
      </w:r>
      <w:r>
        <w:rPr>
          <w:rFonts w:ascii="SimSun" w:hAnsi="SimSun" w:eastAsia="SimSun" w:cs="SimSun"/>
          <w:sz w:val="24"/>
          <w:szCs w:val="24"/>
          <w:spacing w:val="-6"/>
        </w:rPr>
        <w:t>）合理规划、选择运输线路，</w:t>
      </w:r>
      <w:r>
        <w:rPr>
          <w:rFonts w:ascii="SimSun" w:hAnsi="SimSun" w:eastAsia="SimSun" w:cs="SimSun"/>
          <w:sz w:val="24"/>
          <w:szCs w:val="24"/>
          <w:spacing w:val="59"/>
        </w:rPr>
        <w:t xml:space="preserve"> </w:t>
      </w:r>
      <w:r>
        <w:rPr>
          <w:rFonts w:ascii="SimSun" w:hAnsi="SimSun" w:eastAsia="SimSun" w:cs="SimSun"/>
          <w:sz w:val="24"/>
          <w:szCs w:val="24"/>
          <w:spacing w:val="-6"/>
        </w:rPr>
        <w:t>尽量避免运输车辆途径</w:t>
      </w:r>
      <w:r>
        <w:rPr>
          <w:rFonts w:ascii="SimSun" w:hAnsi="SimSun" w:eastAsia="SimSun" w:cs="SimSun"/>
          <w:sz w:val="24"/>
          <w:szCs w:val="24"/>
          <w:spacing w:val="-7"/>
        </w:rPr>
        <w:t>村屯、学校、医院等</w:t>
      </w:r>
      <w:r>
        <w:rPr>
          <w:rFonts w:ascii="SimSun" w:hAnsi="SimSun" w:eastAsia="SimSun" w:cs="SimSun"/>
          <w:sz w:val="24"/>
          <w:szCs w:val="24"/>
          <w:spacing w:val="-11"/>
        </w:rPr>
        <w:t>线路。</w:t>
      </w:r>
    </w:p>
    <w:p>
      <w:pPr>
        <w:spacing w:line="351" w:lineRule="auto"/>
        <w:sectPr>
          <w:headerReference w:type="default" r:id="rId164"/>
          <w:footerReference w:type="default" r:id="rId165"/>
          <w:pgSz w:w="11907" w:h="16839"/>
          <w:pgMar w:top="1442" w:right="1612" w:bottom="1235" w:left="1606" w:header="1064" w:footer="992" w:gutter="0"/>
        </w:sectPr>
        <w:rPr>
          <w:rFonts w:ascii="SimSun" w:hAnsi="SimSun" w:eastAsia="SimSun" w:cs="SimSun"/>
          <w:sz w:val="24"/>
          <w:szCs w:val="24"/>
        </w:rPr>
      </w:pPr>
    </w:p>
    <w:p>
      <w:pPr>
        <w:ind w:left="110" w:right="104" w:firstLine="481"/>
        <w:spacing w:before="293"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）运输车辆应按指定运输路线行驶，经村屯敏感点时应减速行驶，避免因</w:t>
      </w:r>
      <w:r>
        <w:rPr>
          <w:rFonts w:ascii="SimSun" w:hAnsi="SimSun" w:eastAsia="SimSun" w:cs="SimSun"/>
          <w:sz w:val="24"/>
          <w:szCs w:val="24"/>
          <w:spacing w:val="-5"/>
        </w:rPr>
        <w:t>交通事故引发环境风险。</w:t>
      </w:r>
    </w:p>
    <w:p>
      <w:pPr>
        <w:ind w:left="109" w:right="40" w:firstLine="482"/>
        <w:spacing w:before="179" w:line="313"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3</w:t>
      </w:r>
      <w:r>
        <w:rPr>
          <w:rFonts w:ascii="SimSun" w:hAnsi="SimSun" w:eastAsia="SimSun" w:cs="SimSun"/>
          <w:sz w:val="24"/>
          <w:szCs w:val="24"/>
          <w:spacing w:val="-6"/>
        </w:rPr>
        <w:t>）运输前要检查运输车辆，确保无渗漏点，同时车上应配备铁锹、沙袋等，</w:t>
      </w:r>
      <w:r>
        <w:rPr>
          <w:rFonts w:ascii="SimSun" w:hAnsi="SimSun" w:eastAsia="SimSun" w:cs="SimSun"/>
          <w:sz w:val="24"/>
          <w:szCs w:val="24"/>
          <w:spacing w:val="2"/>
        </w:rPr>
        <w:t>如发生泄漏事故，应将车辆停在远离地表水水体处，同时对泄漏物采用临时围堰</w:t>
      </w:r>
      <w:r>
        <w:rPr>
          <w:rFonts w:ascii="SimSun" w:hAnsi="SimSun" w:eastAsia="SimSun" w:cs="SimSun"/>
          <w:sz w:val="24"/>
          <w:szCs w:val="24"/>
          <w:spacing w:val="-3"/>
        </w:rPr>
        <w:t>围挡，禁止散排，及时将泄漏物收集。</w:t>
      </w:r>
    </w:p>
    <w:p>
      <w:pPr>
        <w:ind w:left="587"/>
        <w:spacing w:before="179" w:line="219" w:lineRule="auto"/>
        <w:rPr>
          <w:rFonts w:ascii="SimSun" w:hAnsi="SimSun" w:eastAsia="SimSun" w:cs="SimSun"/>
          <w:sz w:val="24"/>
          <w:szCs w:val="24"/>
        </w:rPr>
      </w:pPr>
      <w:r>
        <w:rPr>
          <w:rFonts w:ascii="SimSun" w:hAnsi="SimSun" w:eastAsia="SimSun" w:cs="SimSun"/>
          <w:sz w:val="24"/>
          <w:szCs w:val="24"/>
          <w:spacing w:val="-2"/>
        </w:rPr>
        <w:t>经采取以上措施，项目运输过程对沿线周边环境影响不大。</w:t>
      </w:r>
    </w:p>
    <w:p>
      <w:pPr>
        <w:pStyle w:val="BodyText"/>
        <w:spacing w:line="443" w:lineRule="auto"/>
        <w:rPr/>
      </w:pPr>
      <w:r/>
    </w:p>
    <w:p>
      <w:pPr>
        <w:ind w:left="104"/>
        <w:spacing w:before="79" w:line="234" w:lineRule="auto"/>
        <w:rPr>
          <w:rFonts w:ascii="SimSun" w:hAnsi="SimSun" w:eastAsia="SimSun" w:cs="SimSun"/>
          <w:sz w:val="24"/>
          <w:szCs w:val="24"/>
        </w:rPr>
      </w:pPr>
      <w:r>
        <w:rPr>
          <w:rFonts w:ascii="Times New Roman" w:hAnsi="Times New Roman" w:eastAsia="Times New Roman" w:cs="Times New Roman"/>
          <w:sz w:val="24"/>
          <w:szCs w:val="24"/>
          <w:b/>
          <w:bCs/>
          <w:spacing w:val="-3"/>
        </w:rPr>
        <w:t>5.2.7</w:t>
      </w:r>
      <w:r>
        <w:rPr>
          <w:rFonts w:ascii="Times New Roman" w:hAnsi="Times New Roman" w:eastAsia="Times New Roman" w:cs="Times New Roman"/>
          <w:sz w:val="24"/>
          <w:szCs w:val="24"/>
          <w:b/>
          <w:bCs/>
          <w:spacing w:val="23"/>
        </w:rPr>
        <w:t xml:space="preserve"> </w:t>
      </w:r>
      <w:r>
        <w:rPr>
          <w:rFonts w:ascii="SimSun" w:hAnsi="SimSun" w:eastAsia="SimSun" w:cs="SimSun"/>
          <w:sz w:val="24"/>
          <w:szCs w:val="24"/>
          <w:b/>
          <w:bCs/>
          <w:spacing w:val="-3"/>
        </w:rPr>
        <w:t>营运期土壤环境影响分析</w:t>
      </w:r>
    </w:p>
    <w:p>
      <w:pPr>
        <w:pStyle w:val="BodyText"/>
        <w:spacing w:line="263" w:lineRule="auto"/>
        <w:rPr/>
      </w:pPr>
      <w:r/>
    </w:p>
    <w:p>
      <w:pPr>
        <w:ind w:left="104" w:firstLine="481"/>
        <w:spacing w:before="79" w:line="359" w:lineRule="auto"/>
        <w:jc w:val="both"/>
        <w:rPr>
          <w:rFonts w:ascii="SimSun" w:hAnsi="SimSun" w:eastAsia="SimSun" w:cs="SimSun"/>
          <w:sz w:val="24"/>
          <w:szCs w:val="24"/>
        </w:rPr>
      </w:pPr>
      <w:r>
        <w:rPr>
          <w:rFonts w:ascii="SimSun" w:hAnsi="SimSun" w:eastAsia="SimSun" w:cs="SimSun"/>
          <w:sz w:val="24"/>
          <w:szCs w:val="24"/>
          <w:spacing w:val="2"/>
        </w:rPr>
        <w:t>本项目属于三级评价，可采用定性描述进行影响分析。土壤污染与大气、水</w:t>
      </w:r>
      <w:r>
        <w:rPr>
          <w:rFonts w:ascii="SimSun" w:hAnsi="SimSun" w:eastAsia="SimSun" w:cs="SimSun"/>
          <w:sz w:val="24"/>
          <w:szCs w:val="24"/>
          <w:spacing w:val="2"/>
        </w:rPr>
        <w:t>体污染有所不同，大气、水体污染比较直观，严重时通过人的感官即能发现，而</w:t>
      </w:r>
      <w:r>
        <w:rPr>
          <w:rFonts w:ascii="SimSun" w:hAnsi="SimSun" w:eastAsia="SimSun" w:cs="SimSun"/>
          <w:sz w:val="24"/>
          <w:szCs w:val="24"/>
          <w:spacing w:val="-1"/>
        </w:rPr>
        <w:t>土壤污染往往是以食物链方式通过粮食、蔬菜、水果及草食性动物（如家</w:t>
      </w:r>
      <w:r>
        <w:rPr>
          <w:rFonts w:ascii="SimSun" w:hAnsi="SimSun" w:eastAsia="SimSun" w:cs="SimSun"/>
          <w:sz w:val="24"/>
          <w:szCs w:val="24"/>
          <w:spacing w:val="-2"/>
        </w:rPr>
        <w:t>禽家畜）</w:t>
      </w:r>
      <w:r>
        <w:rPr>
          <w:rFonts w:ascii="SimSun" w:hAnsi="SimSun" w:eastAsia="SimSun" w:cs="SimSun"/>
          <w:sz w:val="24"/>
          <w:szCs w:val="24"/>
          <w:spacing w:val="2"/>
        </w:rPr>
        <w:t>乃至肉食性动物等最后进入人体而影响人群健康。因此，这是一个逐步累积的过</w:t>
      </w:r>
      <w:r>
        <w:rPr>
          <w:rFonts w:ascii="SimSun" w:hAnsi="SimSun" w:eastAsia="SimSun" w:cs="SimSun"/>
          <w:sz w:val="24"/>
          <w:szCs w:val="24"/>
          <w:spacing w:val="-4"/>
        </w:rPr>
        <w:t>程，具有隐蔽性和潜伏性。</w:t>
      </w:r>
    </w:p>
    <w:p>
      <w:pPr>
        <w:ind w:left="587"/>
        <w:spacing w:before="1" w:line="233" w:lineRule="auto"/>
        <w:rPr>
          <w:rFonts w:ascii="SimSun" w:hAnsi="SimSun" w:eastAsia="SimSun" w:cs="SimSun"/>
          <w:sz w:val="24"/>
          <w:szCs w:val="24"/>
        </w:rPr>
      </w:pPr>
      <w:r>
        <w:rPr>
          <w:rFonts w:ascii="Times New Roman" w:hAnsi="Times New Roman" w:eastAsia="Times New Roman" w:cs="Times New Roman"/>
          <w:sz w:val="24"/>
          <w:szCs w:val="24"/>
          <w:spacing w:val="-1"/>
        </w:rPr>
        <w:t>5.2.7.1 </w:t>
      </w:r>
      <w:r>
        <w:rPr>
          <w:rFonts w:ascii="SimSun" w:hAnsi="SimSun" w:eastAsia="SimSun" w:cs="SimSun"/>
          <w:sz w:val="24"/>
          <w:szCs w:val="24"/>
          <w:spacing w:val="-1"/>
        </w:rPr>
        <w:t>项目周边土地类型调查</w:t>
      </w:r>
    </w:p>
    <w:p>
      <w:pPr>
        <w:ind w:left="106" w:right="105" w:firstLine="478"/>
        <w:spacing w:before="164" w:line="359" w:lineRule="auto"/>
        <w:rPr>
          <w:rFonts w:ascii="SimSun" w:hAnsi="SimSun" w:eastAsia="SimSun" w:cs="SimSun"/>
          <w:sz w:val="24"/>
          <w:szCs w:val="24"/>
        </w:rPr>
      </w:pPr>
      <w:r>
        <w:rPr>
          <w:rFonts w:ascii="SimSun" w:hAnsi="SimSun" w:eastAsia="SimSun" w:cs="SimSun"/>
          <w:sz w:val="24"/>
          <w:szCs w:val="24"/>
          <w:spacing w:val="3"/>
        </w:rPr>
        <w:t>根据国家土壤信息服务平台（</w:t>
      </w:r>
      <w:hyperlink w:history="true" r:id="rId168">
        <w:r>
          <w:rPr>
            <w:rFonts w:ascii="Times New Roman" w:hAnsi="Times New Roman" w:eastAsia="Times New Roman" w:cs="Times New Roman"/>
            <w:sz w:val="24"/>
            <w:szCs w:val="24"/>
          </w:rPr>
          <w:t>http</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www</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soilinfo</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cn</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MAP</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index</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aspx</w:t>
        </w:r>
      </w:hyperlink>
      <w:r>
        <w:rPr>
          <w:rFonts w:ascii="SimSun" w:hAnsi="SimSun" w:eastAsia="SimSun" w:cs="SimSun"/>
          <w:sz w:val="24"/>
          <w:szCs w:val="24"/>
          <w:spacing w:val="3"/>
        </w:rPr>
        <w:t>）查询及</w:t>
      </w:r>
      <w:r>
        <w:rPr>
          <w:rFonts w:ascii="SimSun" w:hAnsi="SimSun" w:eastAsia="SimSun" w:cs="SimSun"/>
          <w:sz w:val="24"/>
          <w:szCs w:val="24"/>
          <w:spacing w:val="3"/>
        </w:rPr>
        <w:t>现场调查，确定项目周边土壤类型。项目周边土壤</w:t>
      </w:r>
      <w:r>
        <w:rPr>
          <w:rFonts w:ascii="SimSun" w:hAnsi="SimSun" w:eastAsia="SimSun" w:cs="SimSun"/>
          <w:sz w:val="24"/>
          <w:szCs w:val="24"/>
          <w:spacing w:val="2"/>
        </w:rPr>
        <w:t>类型为暗栗钙土，土壤敏感目</w:t>
      </w:r>
      <w:r>
        <w:rPr>
          <w:rFonts w:ascii="SimSun" w:hAnsi="SimSun" w:eastAsia="SimSun" w:cs="SimSun"/>
          <w:sz w:val="24"/>
          <w:szCs w:val="24"/>
          <w:spacing w:val="-4"/>
        </w:rPr>
        <w:t>标为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4"/>
        </w:rPr>
        <w:t>0.05km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范围内的牧草地。</w:t>
      </w:r>
    </w:p>
    <w:p>
      <w:pPr>
        <w:ind w:left="587"/>
        <w:spacing w:line="233" w:lineRule="auto"/>
        <w:rPr>
          <w:rFonts w:ascii="SimSun" w:hAnsi="SimSun" w:eastAsia="SimSun" w:cs="SimSun"/>
          <w:sz w:val="24"/>
          <w:szCs w:val="24"/>
        </w:rPr>
      </w:pPr>
      <w:r>
        <w:rPr>
          <w:rFonts w:ascii="Times New Roman" w:hAnsi="Times New Roman" w:eastAsia="Times New Roman" w:cs="Times New Roman"/>
          <w:sz w:val="24"/>
          <w:szCs w:val="24"/>
          <w:spacing w:val="-1"/>
        </w:rPr>
        <w:t>5.2.7.2 </w:t>
      </w:r>
      <w:r>
        <w:rPr>
          <w:rFonts w:ascii="SimSun" w:hAnsi="SimSun" w:eastAsia="SimSun" w:cs="SimSun"/>
          <w:sz w:val="24"/>
          <w:szCs w:val="24"/>
          <w:spacing w:val="-1"/>
        </w:rPr>
        <w:t>土壤环境影响类型</w:t>
      </w:r>
    </w:p>
    <w:p>
      <w:pPr>
        <w:ind w:left="106" w:right="114" w:firstLine="479"/>
        <w:spacing w:before="165" w:line="359" w:lineRule="auto"/>
        <w:rPr>
          <w:rFonts w:ascii="SimSun" w:hAnsi="SimSun" w:eastAsia="SimSun" w:cs="SimSun"/>
          <w:sz w:val="24"/>
          <w:szCs w:val="24"/>
        </w:rPr>
      </w:pPr>
      <w:r>
        <w:rPr>
          <w:rFonts w:ascii="SimSun" w:hAnsi="SimSun" w:eastAsia="SimSun" w:cs="SimSun"/>
          <w:sz w:val="24"/>
          <w:szCs w:val="24"/>
          <w:spacing w:val="2"/>
        </w:rPr>
        <w:t>本项目土壤环境影响主要为污染影响型，项目污染物可以通过多种途径进入</w:t>
      </w:r>
      <w:r>
        <w:rPr>
          <w:rFonts w:ascii="SimSun" w:hAnsi="SimSun" w:eastAsia="SimSun" w:cs="SimSun"/>
          <w:sz w:val="24"/>
          <w:szCs w:val="24"/>
          <w:spacing w:val="-3"/>
        </w:rPr>
        <w:t>土壤，项目土壤环境影响主要有以下几种类型：</w:t>
      </w:r>
    </w:p>
    <w:p>
      <w:pPr>
        <w:ind w:left="591"/>
        <w:spacing w:before="1"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）地面漫流：本项目粪污泄漏事故致使土壤受到污染。</w:t>
      </w:r>
    </w:p>
    <w:p>
      <w:pPr>
        <w:ind w:left="107" w:right="105" w:firstLine="484"/>
        <w:spacing w:before="165"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）垂直入渗：本项目储粪库、牛舍、危废间等物料通过扩散、降水淋洗等</w:t>
      </w:r>
      <w:r>
        <w:rPr>
          <w:rFonts w:ascii="SimSun" w:hAnsi="SimSun" w:eastAsia="SimSun" w:cs="SimSun"/>
          <w:sz w:val="24"/>
          <w:szCs w:val="24"/>
          <w:spacing w:val="-4"/>
        </w:rPr>
        <w:t>直接或间接的影响土壤。</w:t>
      </w:r>
    </w:p>
    <w:p>
      <w:pPr>
        <w:ind w:left="587"/>
        <w:spacing w:before="181" w:line="234" w:lineRule="auto"/>
        <w:rPr>
          <w:rFonts w:ascii="SimSun" w:hAnsi="SimSun" w:eastAsia="SimSun" w:cs="SimSun"/>
          <w:sz w:val="24"/>
          <w:szCs w:val="24"/>
        </w:rPr>
      </w:pPr>
      <w:r>
        <w:rPr>
          <w:rFonts w:ascii="Times New Roman" w:hAnsi="Times New Roman" w:eastAsia="Times New Roman" w:cs="Times New Roman"/>
          <w:sz w:val="24"/>
          <w:szCs w:val="24"/>
          <w:spacing w:val="-1"/>
        </w:rPr>
        <w:t>5.2.7.3 </w:t>
      </w:r>
      <w:r>
        <w:rPr>
          <w:rFonts w:ascii="SimSun" w:hAnsi="SimSun" w:eastAsia="SimSun" w:cs="SimSun"/>
          <w:sz w:val="24"/>
          <w:szCs w:val="24"/>
          <w:spacing w:val="-1"/>
        </w:rPr>
        <w:t>土壤环境影响分析</w:t>
      </w:r>
    </w:p>
    <w:p>
      <w:pPr>
        <w:ind w:left="104" w:right="104" w:firstLine="481"/>
        <w:spacing w:before="163" w:line="360" w:lineRule="auto"/>
        <w:rPr>
          <w:rFonts w:ascii="SimSun" w:hAnsi="SimSun" w:eastAsia="SimSun" w:cs="SimSun"/>
          <w:sz w:val="24"/>
          <w:szCs w:val="24"/>
        </w:rPr>
      </w:pPr>
      <w:r>
        <w:rPr>
          <w:rFonts w:ascii="SimSun" w:hAnsi="SimSun" w:eastAsia="SimSun" w:cs="SimSun"/>
          <w:sz w:val="24"/>
          <w:szCs w:val="24"/>
          <w:spacing w:val="3"/>
        </w:rPr>
        <w:t>本项目正常运营情况下，对土壤环境基本无影响，本项目对</w:t>
      </w:r>
      <w:r>
        <w:rPr>
          <w:rFonts w:ascii="SimSun" w:hAnsi="SimSun" w:eastAsia="SimSun" w:cs="SimSun"/>
          <w:sz w:val="24"/>
          <w:szCs w:val="24"/>
          <w:spacing w:val="2"/>
        </w:rPr>
        <w:t>土壤造成污染的</w:t>
      </w:r>
      <w:r>
        <w:rPr>
          <w:rFonts w:ascii="SimSun" w:hAnsi="SimSun" w:eastAsia="SimSun" w:cs="SimSun"/>
          <w:sz w:val="24"/>
          <w:szCs w:val="24"/>
          <w:spacing w:val="3"/>
        </w:rPr>
        <w:t>情况主要为牛舍、储粪库及危险废物贮存间等产污位置防</w:t>
      </w:r>
      <w:r>
        <w:rPr>
          <w:rFonts w:ascii="SimSun" w:hAnsi="SimSun" w:eastAsia="SimSun" w:cs="SimSun"/>
          <w:sz w:val="24"/>
          <w:szCs w:val="24"/>
          <w:spacing w:val="2"/>
        </w:rPr>
        <w:t>渗破损，污水下渗，可</w:t>
      </w:r>
      <w:r>
        <w:rPr>
          <w:rFonts w:ascii="SimSun" w:hAnsi="SimSun" w:eastAsia="SimSun" w:cs="SimSun"/>
          <w:sz w:val="24"/>
          <w:szCs w:val="24"/>
          <w:spacing w:val="3"/>
        </w:rPr>
        <w:t>能下渗到土壤层，从而造成周边土壤污染。本项目源头</w:t>
      </w:r>
      <w:r>
        <w:rPr>
          <w:rFonts w:ascii="SimSun" w:hAnsi="SimSun" w:eastAsia="SimSun" w:cs="SimSun"/>
          <w:sz w:val="24"/>
          <w:szCs w:val="24"/>
          <w:spacing w:val="2"/>
        </w:rPr>
        <w:t>控制主要为牛舍、储粪库</w:t>
      </w:r>
      <w:r>
        <w:rPr>
          <w:rFonts w:ascii="SimSun" w:hAnsi="SimSun" w:eastAsia="SimSun" w:cs="SimSun"/>
          <w:sz w:val="24"/>
          <w:szCs w:val="24"/>
          <w:spacing w:val="3"/>
        </w:rPr>
        <w:t>及危险废物贮存间等产污地点按照重点防渗区进行防渗</w:t>
      </w:r>
      <w:r>
        <w:rPr>
          <w:rFonts w:ascii="SimSun" w:hAnsi="SimSun" w:eastAsia="SimSun" w:cs="SimSun"/>
          <w:sz w:val="24"/>
          <w:szCs w:val="24"/>
          <w:spacing w:val="2"/>
        </w:rPr>
        <w:t>，严格按照《环境影响评</w:t>
      </w:r>
    </w:p>
    <w:p>
      <w:pPr>
        <w:spacing w:line="360" w:lineRule="auto"/>
        <w:sectPr>
          <w:headerReference w:type="default" r:id="rId166"/>
          <w:footerReference w:type="default" r:id="rId167"/>
          <w:pgSz w:w="11907" w:h="16839"/>
          <w:pgMar w:top="1442" w:right="1594" w:bottom="1235" w:left="1606" w:header="1064" w:footer="992" w:gutter="0"/>
        </w:sectPr>
        <w:rPr>
          <w:rFonts w:ascii="SimSun" w:hAnsi="SimSun" w:eastAsia="SimSun" w:cs="SimSun"/>
          <w:sz w:val="24"/>
          <w:szCs w:val="24"/>
        </w:rPr>
      </w:pPr>
    </w:p>
    <w:p>
      <w:pPr>
        <w:ind w:left="106" w:right="66"/>
        <w:spacing w:before="295" w:line="357" w:lineRule="auto"/>
        <w:jc w:val="both"/>
        <w:rPr>
          <w:rFonts w:ascii="SimSun" w:hAnsi="SimSun" w:eastAsia="SimSun" w:cs="SimSun"/>
          <w:sz w:val="24"/>
          <w:szCs w:val="24"/>
        </w:rPr>
      </w:pPr>
      <w:r>
        <w:rPr>
          <w:rFonts w:ascii="SimSun" w:hAnsi="SimSun" w:eastAsia="SimSun" w:cs="SimSun"/>
          <w:sz w:val="24"/>
          <w:szCs w:val="24"/>
          <w:spacing w:val="1"/>
        </w:rPr>
        <w:t>价技术导则</w:t>
      </w:r>
      <w:r>
        <w:rPr>
          <w:rFonts w:ascii="Times New Roman" w:hAnsi="Times New Roman" w:eastAsia="Times New Roman" w:cs="Times New Roman"/>
          <w:sz w:val="24"/>
          <w:szCs w:val="24"/>
          <w:spacing w:val="1"/>
        </w:rPr>
        <w:t>-</w:t>
      </w:r>
      <w:r>
        <w:rPr>
          <w:rFonts w:ascii="SimSun" w:hAnsi="SimSun" w:eastAsia="SimSun" w:cs="SimSun"/>
          <w:sz w:val="24"/>
          <w:szCs w:val="24"/>
          <w:spacing w:val="1"/>
        </w:rPr>
        <w:t>地下水环境》（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1"/>
        </w:rPr>
        <w:t>610-2016</w:t>
      </w:r>
      <w:r>
        <w:rPr>
          <w:rFonts w:ascii="SimSun" w:hAnsi="SimSun" w:eastAsia="SimSun" w:cs="SimSun"/>
          <w:sz w:val="24"/>
          <w:szCs w:val="24"/>
          <w:spacing w:val="1"/>
        </w:rPr>
        <w:t>）要求进行防渗</w:t>
      </w:r>
      <w:r>
        <w:rPr>
          <w:rFonts w:ascii="SimSun" w:hAnsi="SimSun" w:eastAsia="SimSun" w:cs="SimSun"/>
          <w:sz w:val="24"/>
          <w:szCs w:val="24"/>
        </w:rPr>
        <w:t>，严格按照国家要求及相</w:t>
      </w:r>
      <w:r>
        <w:rPr>
          <w:rFonts w:ascii="SimSun" w:hAnsi="SimSun" w:eastAsia="SimSun" w:cs="SimSun"/>
          <w:sz w:val="24"/>
          <w:szCs w:val="24"/>
          <w:spacing w:val="2"/>
        </w:rPr>
        <w:t>关建筑设计规范，同时采用成熟的技术从严设计、施工，场区地面进行硬化，可</w:t>
      </w:r>
      <w:r>
        <w:rPr>
          <w:rFonts w:ascii="SimSun" w:hAnsi="SimSun" w:eastAsia="SimSun" w:cs="SimSun"/>
          <w:sz w:val="24"/>
          <w:szCs w:val="24"/>
          <w:spacing w:val="-2"/>
        </w:rPr>
        <w:t>有效防治事故状态下对土壤环境的污染，对周围土壤环境影响较小。</w:t>
      </w:r>
    </w:p>
    <w:p>
      <w:pPr>
        <w:pStyle w:val="BodyText"/>
        <w:spacing w:line="266" w:lineRule="auto"/>
        <w:rPr/>
      </w:pPr>
      <w:r/>
    </w:p>
    <w:p>
      <w:pPr>
        <w:ind w:left="104"/>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3"/>
        </w:rPr>
        <w:t>5.2.8</w:t>
      </w:r>
      <w:r>
        <w:rPr>
          <w:rFonts w:ascii="Times New Roman" w:hAnsi="Times New Roman" w:eastAsia="Times New Roman" w:cs="Times New Roman"/>
          <w:sz w:val="24"/>
          <w:szCs w:val="24"/>
          <w:b/>
          <w:bCs/>
          <w:spacing w:val="23"/>
        </w:rPr>
        <w:t xml:space="preserve"> </w:t>
      </w:r>
      <w:r>
        <w:rPr>
          <w:rFonts w:ascii="SimSun" w:hAnsi="SimSun" w:eastAsia="SimSun" w:cs="SimSun"/>
          <w:sz w:val="24"/>
          <w:szCs w:val="24"/>
          <w:b/>
          <w:bCs/>
          <w:spacing w:val="-3"/>
        </w:rPr>
        <w:t>营运期生态环境影响分析</w:t>
      </w:r>
    </w:p>
    <w:p>
      <w:pPr>
        <w:pStyle w:val="BodyText"/>
        <w:spacing w:line="343" w:lineRule="auto"/>
        <w:rPr/>
      </w:pPr>
      <w:r/>
    </w:p>
    <w:p>
      <w:pPr>
        <w:ind w:left="104" w:right="77" w:firstLine="481"/>
        <w:spacing w:before="78" w:line="360" w:lineRule="auto"/>
        <w:jc w:val="both"/>
        <w:rPr>
          <w:rFonts w:ascii="SimSun" w:hAnsi="SimSun" w:eastAsia="SimSun" w:cs="SimSun"/>
          <w:sz w:val="24"/>
          <w:szCs w:val="24"/>
        </w:rPr>
      </w:pPr>
      <w:r>
        <w:rPr>
          <w:rFonts w:ascii="SimSun" w:hAnsi="SimSun" w:eastAsia="SimSun" w:cs="SimSun"/>
          <w:sz w:val="24"/>
          <w:szCs w:val="24"/>
          <w:spacing w:val="2"/>
        </w:rPr>
        <w:t>本项目所在区域长期受气候、地理、地质等自然条件与生物作用，已经形成</w:t>
      </w:r>
      <w:r>
        <w:rPr>
          <w:rFonts w:ascii="SimSun" w:hAnsi="SimSun" w:eastAsia="SimSun" w:cs="SimSun"/>
          <w:sz w:val="24"/>
          <w:szCs w:val="24"/>
          <w:spacing w:val="2"/>
        </w:rPr>
        <w:t>以草原生态系统为主的自然生态系统。系统中各个要素之间已经形成一种相对的</w:t>
      </w:r>
      <w:r>
        <w:rPr>
          <w:rFonts w:ascii="SimSun" w:hAnsi="SimSun" w:eastAsia="SimSun" w:cs="SimSun"/>
          <w:sz w:val="24"/>
          <w:szCs w:val="24"/>
          <w:spacing w:val="2"/>
        </w:rPr>
        <w:t>平衡，可以协调发展。本项目运营期工程内容单一，仅进行肉牛养殖，对生态环</w:t>
      </w:r>
      <w:r>
        <w:rPr>
          <w:rFonts w:ascii="SimSun" w:hAnsi="SimSun" w:eastAsia="SimSun" w:cs="SimSun"/>
          <w:sz w:val="24"/>
          <w:szCs w:val="24"/>
          <w:spacing w:val="-2"/>
        </w:rPr>
        <w:t>境影响较小。</w:t>
      </w:r>
    </w:p>
    <w:p>
      <w:pPr>
        <w:ind w:left="105" w:right="77" w:firstLine="480"/>
        <w:spacing w:before="5" w:line="359" w:lineRule="auto"/>
        <w:jc w:val="both"/>
        <w:rPr>
          <w:rFonts w:ascii="SimSun" w:hAnsi="SimSun" w:eastAsia="SimSun" w:cs="SimSun"/>
          <w:sz w:val="24"/>
          <w:szCs w:val="24"/>
        </w:rPr>
      </w:pPr>
      <w:r>
        <w:rPr>
          <w:rFonts w:ascii="SimSun" w:hAnsi="SimSun" w:eastAsia="SimSun" w:cs="SimSun"/>
          <w:sz w:val="24"/>
          <w:szCs w:val="24"/>
          <w:spacing w:val="2"/>
        </w:rPr>
        <w:t>本项目正常生产过程中将惊吓和驱赶周围一定范围内的野生动物，影响野生</w:t>
      </w:r>
      <w:r>
        <w:rPr>
          <w:rFonts w:ascii="SimSun" w:hAnsi="SimSun" w:eastAsia="SimSun" w:cs="SimSun"/>
          <w:sz w:val="24"/>
          <w:szCs w:val="24"/>
          <w:spacing w:val="2"/>
        </w:rPr>
        <w:t>动物的活动和栖息。由于项目区没有固定或必经的动物迁徒通道，且项目在估计</w:t>
      </w:r>
      <w:r>
        <w:rPr>
          <w:rFonts w:ascii="SimSun" w:hAnsi="SimSun" w:eastAsia="SimSun" w:cs="SimSun"/>
          <w:sz w:val="24"/>
          <w:szCs w:val="24"/>
          <w:spacing w:val="2"/>
        </w:rPr>
        <w:t>区域进行育肥，不存在阻隔这些野生动物的迁徙通道，不会对这些野生动物产生</w:t>
      </w:r>
      <w:r>
        <w:rPr>
          <w:rFonts w:ascii="SimSun" w:hAnsi="SimSun" w:eastAsia="SimSun" w:cs="SimSun"/>
          <w:sz w:val="24"/>
          <w:szCs w:val="24"/>
          <w:spacing w:val="-7"/>
        </w:rPr>
        <w:t>较大的影响。</w:t>
      </w:r>
    </w:p>
    <w:p>
      <w:pPr>
        <w:ind w:left="104" w:right="77" w:firstLine="480"/>
        <w:spacing w:line="360" w:lineRule="auto"/>
        <w:rPr>
          <w:rFonts w:ascii="SimSun" w:hAnsi="SimSun" w:eastAsia="SimSun" w:cs="SimSun"/>
          <w:sz w:val="24"/>
          <w:szCs w:val="24"/>
        </w:rPr>
      </w:pPr>
      <w:r>
        <w:rPr>
          <w:rFonts w:ascii="SimSun" w:hAnsi="SimSun" w:eastAsia="SimSun" w:cs="SimSun"/>
          <w:sz w:val="24"/>
          <w:szCs w:val="24"/>
          <w:spacing w:val="3"/>
        </w:rPr>
        <w:t>通过加强对工作人员的管理，乱捕乱猎行为</w:t>
      </w:r>
      <w:r>
        <w:rPr>
          <w:rFonts w:ascii="SimSun" w:hAnsi="SimSun" w:eastAsia="SimSun" w:cs="SimSun"/>
          <w:sz w:val="24"/>
          <w:szCs w:val="24"/>
          <w:spacing w:val="2"/>
        </w:rPr>
        <w:t>可以杜绝，项目的运行过程中不</w:t>
      </w:r>
      <w:r>
        <w:rPr>
          <w:rFonts w:ascii="SimSun" w:hAnsi="SimSun" w:eastAsia="SimSun" w:cs="SimSun"/>
          <w:sz w:val="24"/>
          <w:szCs w:val="24"/>
          <w:spacing w:val="-1"/>
        </w:rPr>
        <w:t>会使评价区野生动物物种数发生较大变化，种群数量</w:t>
      </w:r>
      <w:r>
        <w:rPr>
          <w:rFonts w:ascii="SimSun" w:hAnsi="SimSun" w:eastAsia="SimSun" w:cs="SimSun"/>
          <w:sz w:val="24"/>
          <w:szCs w:val="24"/>
          <w:spacing w:val="-2"/>
        </w:rPr>
        <w:t>也不会发生明显改变。</w:t>
      </w:r>
    </w:p>
    <w:p>
      <w:pPr>
        <w:ind w:left="106" w:right="77" w:firstLine="478"/>
        <w:spacing w:before="3" w:line="359" w:lineRule="auto"/>
        <w:jc w:val="both"/>
        <w:rPr>
          <w:rFonts w:ascii="SimSun" w:hAnsi="SimSun" w:eastAsia="SimSun" w:cs="SimSun"/>
          <w:sz w:val="24"/>
          <w:szCs w:val="24"/>
        </w:rPr>
      </w:pPr>
      <w:r>
        <w:rPr>
          <w:rFonts w:ascii="SimSun" w:hAnsi="SimSun" w:eastAsia="SimSun" w:cs="SimSun"/>
          <w:sz w:val="24"/>
          <w:szCs w:val="24"/>
          <w:spacing w:val="3"/>
        </w:rPr>
        <w:t>根据现状调查结果，本项目区域主要野生动</w:t>
      </w:r>
      <w:r>
        <w:rPr>
          <w:rFonts w:ascii="SimSun" w:hAnsi="SimSun" w:eastAsia="SimSun" w:cs="SimSun"/>
          <w:sz w:val="24"/>
          <w:szCs w:val="24"/>
          <w:spacing w:val="2"/>
        </w:rPr>
        <w:t>物为鸟类和常见动物，在项目区</w:t>
      </w:r>
      <w:r>
        <w:rPr>
          <w:rFonts w:ascii="SimSun" w:hAnsi="SimSun" w:eastAsia="SimSun" w:cs="SimSun"/>
          <w:sz w:val="24"/>
          <w:szCs w:val="24"/>
          <w:spacing w:val="2"/>
        </w:rPr>
        <w:t>没有大型野生动物，在项目区内没有国家级保护动物，也没有鸟类等野生动物保</w:t>
      </w:r>
      <w:r>
        <w:rPr>
          <w:rFonts w:ascii="SimSun" w:hAnsi="SimSun" w:eastAsia="SimSun" w:cs="SimSun"/>
          <w:sz w:val="24"/>
          <w:szCs w:val="24"/>
          <w:spacing w:val="-3"/>
        </w:rPr>
        <w:t>护区，项目运营对生物多样性影响较小。</w:t>
      </w:r>
    </w:p>
    <w:p>
      <w:pPr>
        <w:ind w:left="106" w:right="68" w:firstLine="479"/>
        <w:spacing w:before="4" w:line="359" w:lineRule="auto"/>
        <w:jc w:val="both"/>
        <w:rPr>
          <w:rFonts w:ascii="SimSun" w:hAnsi="SimSun" w:eastAsia="SimSun" w:cs="SimSun"/>
          <w:sz w:val="24"/>
          <w:szCs w:val="24"/>
        </w:rPr>
      </w:pPr>
      <w:r>
        <w:rPr>
          <w:rFonts w:ascii="SimSun" w:hAnsi="SimSun" w:eastAsia="SimSun" w:cs="SimSun"/>
          <w:sz w:val="24"/>
          <w:szCs w:val="24"/>
          <w:spacing w:val="3"/>
        </w:rPr>
        <w:t>本项目为肉牛养殖项目，位于锡林郭勒盟锡林浩特</w:t>
      </w:r>
      <w:r>
        <w:rPr>
          <w:rFonts w:ascii="SimSun" w:hAnsi="SimSun" w:eastAsia="SimSun" w:cs="SimSun"/>
          <w:sz w:val="24"/>
          <w:szCs w:val="24"/>
          <w:spacing w:val="2"/>
        </w:rPr>
        <w:t>市额尔顿街道办事处新兴</w:t>
      </w:r>
      <w:r>
        <w:rPr>
          <w:rFonts w:ascii="SimSun" w:hAnsi="SimSun" w:eastAsia="SimSun" w:cs="SimSun"/>
          <w:sz w:val="24"/>
          <w:szCs w:val="24"/>
          <w:spacing w:val="2"/>
        </w:rPr>
        <w:t>社区沃源奶牛场。根据锡林浩特市林业和草原局文件《锡林浩特市林业和草原局</w:t>
      </w:r>
      <w:r>
        <w:rPr>
          <w:rFonts w:ascii="SimSun" w:hAnsi="SimSun" w:eastAsia="SimSun" w:cs="SimSun"/>
          <w:sz w:val="24"/>
          <w:szCs w:val="24"/>
          <w:spacing w:val="2"/>
        </w:rPr>
        <w:t>关于沃原奶牛场锡林郭勒盟广汇德养殖有限责任公司、锡林郭勒盟牧林农机服务</w:t>
      </w:r>
      <w:r>
        <w:rPr>
          <w:rFonts w:ascii="SimSun" w:hAnsi="SimSun" w:eastAsia="SimSun" w:cs="SimSun"/>
          <w:sz w:val="24"/>
          <w:szCs w:val="24"/>
          <w:spacing w:val="-2"/>
        </w:rPr>
        <w:t>有限责任公司及马红、杨建军等</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2"/>
        </w:rPr>
        <w:t>13 </w:t>
      </w:r>
      <w:r>
        <w:rPr>
          <w:rFonts w:ascii="SimSun" w:hAnsi="SimSun" w:eastAsia="SimSun" w:cs="SimSun"/>
          <w:sz w:val="24"/>
          <w:szCs w:val="24"/>
          <w:spacing w:val="-2"/>
        </w:rPr>
        <w:t>户居民在草原上修建直接为草原保护和畜牧业</w:t>
      </w:r>
      <w:r>
        <w:rPr>
          <w:rFonts w:ascii="SimSun" w:hAnsi="SimSun" w:eastAsia="SimSun" w:cs="SimSun"/>
          <w:sz w:val="24"/>
          <w:szCs w:val="24"/>
          <w:spacing w:val="-1"/>
        </w:rPr>
        <w:t>生产服务工程设施的批复》（锡市林草保畜占草字</w:t>
      </w:r>
      <w:r>
        <w:rPr>
          <w:rFonts w:ascii="Times New Roman" w:hAnsi="Times New Roman" w:eastAsia="Times New Roman" w:cs="Times New Roman"/>
          <w:sz w:val="24"/>
          <w:szCs w:val="24"/>
          <w:spacing w:val="-1"/>
        </w:rPr>
        <w:t>[2025]3</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1"/>
        </w:rPr>
        <w:t>号</w:t>
      </w:r>
      <w:r>
        <w:rPr>
          <w:rFonts w:ascii="SimSun" w:hAnsi="SimSun" w:eastAsia="SimSun" w:cs="SimSun"/>
          <w:sz w:val="24"/>
          <w:szCs w:val="24"/>
          <w:spacing w:val="4"/>
        </w:rPr>
        <w:t>），</w:t>
      </w:r>
      <w:r>
        <w:rPr>
          <w:rFonts w:ascii="SimSun" w:hAnsi="SimSun" w:eastAsia="SimSun" w:cs="SimSun"/>
          <w:sz w:val="24"/>
          <w:szCs w:val="24"/>
          <w:spacing w:val="-1"/>
        </w:rPr>
        <w:t>同意锡林郭勒盟</w:t>
      </w:r>
      <w:r>
        <w:rPr>
          <w:rFonts w:ascii="SimSun" w:hAnsi="SimSun" w:eastAsia="SimSun" w:cs="SimSun"/>
          <w:sz w:val="24"/>
          <w:szCs w:val="24"/>
          <w:spacing w:val="2"/>
        </w:rPr>
        <w:t>牧林农机服务有限责任公司在草原上修建直接为草原保护和畜牧业生产服务工程</w:t>
      </w:r>
      <w:r>
        <w:rPr>
          <w:rFonts w:ascii="SimSun" w:hAnsi="SimSun" w:eastAsia="SimSun" w:cs="SimSun"/>
          <w:sz w:val="24"/>
          <w:szCs w:val="24"/>
          <w:spacing w:val="-1"/>
        </w:rPr>
        <w:t>设施，项目位于锡林浩特市沃原奶牛场，属国有未承包到户草原。</w:t>
      </w:r>
    </w:p>
    <w:p>
      <w:pPr>
        <w:ind w:left="105" w:right="77" w:firstLine="485"/>
        <w:spacing w:before="7" w:line="361" w:lineRule="auto"/>
        <w:jc w:val="both"/>
        <w:rPr>
          <w:rFonts w:ascii="SimSun" w:hAnsi="SimSun" w:eastAsia="SimSun" w:cs="SimSun"/>
          <w:sz w:val="24"/>
          <w:szCs w:val="24"/>
        </w:rPr>
      </w:pPr>
      <w:r>
        <w:rPr>
          <w:rFonts w:ascii="SimSun" w:hAnsi="SimSun" w:eastAsia="SimSun" w:cs="SimSun"/>
          <w:sz w:val="24"/>
          <w:szCs w:val="24"/>
          <w:spacing w:val="2"/>
        </w:rPr>
        <w:t>并且项目退役后，设施农用地不在使用的，必须恢复原用途，企业与额尔敦</w:t>
      </w:r>
      <w:r>
        <w:rPr>
          <w:rFonts w:ascii="SimSun" w:hAnsi="SimSun" w:eastAsia="SimSun" w:cs="SimSun"/>
          <w:sz w:val="24"/>
          <w:szCs w:val="24"/>
          <w:spacing w:val="2"/>
        </w:rPr>
        <w:t>街道办事处、锡林浩特市沃原奶牛场已经签订设施农业用地土地复垦协议，项目</w:t>
      </w:r>
      <w:r>
        <w:rPr>
          <w:rFonts w:ascii="SimSun" w:hAnsi="SimSun" w:eastAsia="SimSun" w:cs="SimSun"/>
          <w:sz w:val="24"/>
          <w:szCs w:val="24"/>
          <w:spacing w:val="2"/>
        </w:rPr>
        <w:t>退役后，恢复原用途，并且接受额尔敦街道办事处、锡林浩特市沃原奶牛场的监</w:t>
      </w:r>
    </w:p>
    <w:p>
      <w:pPr>
        <w:spacing w:line="361" w:lineRule="auto"/>
        <w:sectPr>
          <w:headerReference w:type="default" r:id="rId124"/>
          <w:footerReference w:type="default" r:id="rId169"/>
          <w:pgSz w:w="11907" w:h="16839"/>
          <w:pgMar w:top="1442" w:right="1631" w:bottom="1235" w:left="1606" w:header="1064" w:footer="992" w:gutter="0"/>
        </w:sectPr>
        <w:rPr>
          <w:rFonts w:ascii="SimSun" w:hAnsi="SimSun" w:eastAsia="SimSun" w:cs="SimSun"/>
          <w:sz w:val="24"/>
          <w:szCs w:val="24"/>
        </w:rPr>
      </w:pPr>
    </w:p>
    <w:p>
      <w:pPr>
        <w:pStyle w:val="BodyText"/>
        <w:spacing w:line="292" w:lineRule="auto"/>
        <w:rPr/>
      </w:pPr>
      <w:r/>
    </w:p>
    <w:p>
      <w:pPr>
        <w:ind w:left="110"/>
        <w:spacing w:before="78" w:line="220" w:lineRule="auto"/>
        <w:rPr>
          <w:rFonts w:ascii="SimSun" w:hAnsi="SimSun" w:eastAsia="SimSun" w:cs="SimSun"/>
          <w:sz w:val="24"/>
          <w:szCs w:val="24"/>
        </w:rPr>
      </w:pPr>
      <w:r>
        <w:rPr>
          <w:rFonts w:ascii="SimSun" w:hAnsi="SimSun" w:eastAsia="SimSun" w:cs="SimSun"/>
          <w:sz w:val="24"/>
          <w:szCs w:val="24"/>
          <w:spacing w:val="-10"/>
        </w:rPr>
        <w:t>督管理。</w:t>
      </w:r>
    </w:p>
    <w:p>
      <w:pPr>
        <w:pStyle w:val="BodyText"/>
        <w:spacing w:line="364" w:lineRule="auto"/>
        <w:rPr/>
      </w:pPr>
      <w:r/>
    </w:p>
    <w:p>
      <w:pPr>
        <w:ind w:left="104"/>
        <w:spacing w:before="78" w:line="234" w:lineRule="auto"/>
        <w:outlineLvl w:val="1"/>
        <w:rPr>
          <w:rFonts w:ascii="SimSun" w:hAnsi="SimSun" w:eastAsia="SimSun" w:cs="SimSun"/>
          <w:sz w:val="24"/>
          <w:szCs w:val="24"/>
        </w:rPr>
      </w:pPr>
      <w:bookmarkStart w:name="bookmark29" w:id="35"/>
      <w:bookmarkEnd w:id="35"/>
      <w:r>
        <w:rPr>
          <w:rFonts w:ascii="Times New Roman" w:hAnsi="Times New Roman" w:eastAsia="Times New Roman" w:cs="Times New Roman"/>
          <w:sz w:val="24"/>
          <w:szCs w:val="24"/>
          <w:b/>
          <w:bCs/>
          <w:spacing w:val="-2"/>
        </w:rPr>
        <w:t>5.3 </w:t>
      </w:r>
      <w:r>
        <w:rPr>
          <w:rFonts w:ascii="SimSun" w:hAnsi="SimSun" w:eastAsia="SimSun" w:cs="SimSun"/>
          <w:sz w:val="24"/>
          <w:szCs w:val="24"/>
          <w:b/>
          <w:bCs/>
          <w:spacing w:val="-2"/>
        </w:rPr>
        <w:t>环境风险分析</w:t>
      </w:r>
    </w:p>
    <w:p>
      <w:pPr>
        <w:pStyle w:val="BodyText"/>
        <w:spacing w:line="340" w:lineRule="auto"/>
        <w:rPr/>
      </w:pPr>
      <w:r/>
    </w:p>
    <w:p>
      <w:pPr>
        <w:ind w:left="104" w:firstLine="480"/>
        <w:spacing w:before="78" w:line="361" w:lineRule="auto"/>
        <w:jc w:val="both"/>
        <w:rPr>
          <w:rFonts w:ascii="SimSun" w:hAnsi="SimSun" w:eastAsia="SimSun" w:cs="SimSun"/>
          <w:sz w:val="24"/>
          <w:szCs w:val="24"/>
        </w:rPr>
      </w:pPr>
      <w:r>
        <w:rPr>
          <w:rFonts w:ascii="SimSun" w:hAnsi="SimSun" w:eastAsia="SimSun" w:cs="SimSun"/>
          <w:sz w:val="24"/>
          <w:szCs w:val="24"/>
          <w:spacing w:val="2"/>
        </w:rPr>
        <w:t>环境风险评价应以突发性事故导致的危险物质环境急性损害防控为目标，对</w:t>
      </w:r>
      <w:r>
        <w:rPr>
          <w:rFonts w:ascii="SimSun" w:hAnsi="SimSun" w:eastAsia="SimSun" w:cs="SimSun"/>
          <w:sz w:val="24"/>
          <w:szCs w:val="24"/>
          <w:spacing w:val="2"/>
        </w:rPr>
        <w:t>建设项目的环境风险进行分析、预测和评估，提出环境风险预防、控制、减缓措</w:t>
      </w:r>
      <w:r>
        <w:rPr>
          <w:rFonts w:ascii="SimSun" w:hAnsi="SimSun" w:eastAsia="SimSun" w:cs="SimSun"/>
          <w:sz w:val="24"/>
          <w:szCs w:val="24"/>
          <w:spacing w:val="-2"/>
        </w:rPr>
        <w:t>施，明确环境风险监控及应急建议要求，为建设项目环境风险防控提供科学依据。</w:t>
      </w:r>
    </w:p>
    <w:p>
      <w:pPr>
        <w:ind w:left="104"/>
        <w:spacing w:before="257"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5.3.1 </w:t>
      </w:r>
      <w:r>
        <w:rPr>
          <w:rFonts w:ascii="SimSun" w:hAnsi="SimSun" w:eastAsia="SimSun" w:cs="SimSun"/>
          <w:sz w:val="24"/>
          <w:szCs w:val="24"/>
          <w:b/>
          <w:bCs/>
          <w:spacing w:val="-2"/>
        </w:rPr>
        <w:t>风险调查</w:t>
      </w:r>
    </w:p>
    <w:p>
      <w:pPr>
        <w:pStyle w:val="BodyText"/>
        <w:spacing w:line="265" w:lineRule="auto"/>
        <w:rPr/>
      </w:pPr>
      <w:r/>
    </w:p>
    <w:p>
      <w:pPr>
        <w:ind w:left="106" w:right="87" w:firstLine="479"/>
        <w:spacing w:before="78" w:line="367" w:lineRule="auto"/>
        <w:jc w:val="both"/>
        <w:rPr>
          <w:rFonts w:ascii="SimSun" w:hAnsi="SimSun" w:eastAsia="SimSun" w:cs="SimSun"/>
          <w:sz w:val="24"/>
          <w:szCs w:val="24"/>
        </w:rPr>
      </w:pPr>
      <w:r>
        <w:rPr>
          <w:rFonts w:ascii="SimSun" w:hAnsi="SimSun" w:eastAsia="SimSun" w:cs="SimSun"/>
          <w:sz w:val="24"/>
          <w:szCs w:val="24"/>
          <w:spacing w:val="3"/>
        </w:rPr>
        <w:t>本项目为肉牛养殖项目，养殖车间消毒采用高锰酸钾消毒</w:t>
      </w:r>
      <w:r>
        <w:rPr>
          <w:rFonts w:ascii="SimSun" w:hAnsi="SimSun" w:eastAsia="SimSun" w:cs="SimSun"/>
          <w:sz w:val="24"/>
          <w:szCs w:val="24"/>
          <w:spacing w:val="2"/>
        </w:rPr>
        <w:t>剂，除臭采用除臭</w:t>
      </w:r>
      <w:r>
        <w:rPr>
          <w:rFonts w:ascii="SimSun" w:hAnsi="SimSun" w:eastAsia="SimSun" w:cs="SimSun"/>
          <w:sz w:val="24"/>
          <w:szCs w:val="24"/>
          <w:spacing w:val="3"/>
        </w:rPr>
        <w:t>剂，发酵使用发酵床菌种，综上所述，不涉</w:t>
      </w:r>
      <w:r>
        <w:rPr>
          <w:rFonts w:ascii="SimSun" w:hAnsi="SimSun" w:eastAsia="SimSun" w:cs="SimSun"/>
          <w:sz w:val="24"/>
          <w:szCs w:val="24"/>
          <w:spacing w:val="2"/>
        </w:rPr>
        <w:t>及根据《建设项目环境风险评价技术</w:t>
      </w:r>
      <w:r>
        <w:rPr>
          <w:rFonts w:ascii="SimSun" w:hAnsi="SimSun" w:eastAsia="SimSun" w:cs="SimSun"/>
          <w:sz w:val="24"/>
          <w:szCs w:val="24"/>
          <w:spacing w:val="-4"/>
        </w:rPr>
        <w:t>导则》（</w:t>
      </w:r>
      <w:r>
        <w:rPr>
          <w:rFonts w:ascii="Times New Roman" w:hAnsi="Times New Roman" w:eastAsia="Times New Roman" w:cs="Times New Roman"/>
          <w:sz w:val="24"/>
          <w:szCs w:val="24"/>
          <w:spacing w:val="-4"/>
        </w:rPr>
        <w:t>HJ</w:t>
      </w:r>
      <w:r>
        <w:rPr>
          <w:rFonts w:ascii="Times New Roman" w:hAnsi="Times New Roman" w:eastAsia="Times New Roman" w:cs="Times New Roman"/>
          <w:sz w:val="24"/>
          <w:szCs w:val="24"/>
          <w:spacing w:val="37"/>
          <w:w w:val="101"/>
        </w:rPr>
        <w:t xml:space="preserve"> </w:t>
      </w:r>
      <w:r>
        <w:rPr>
          <w:rFonts w:ascii="Times New Roman" w:hAnsi="Times New Roman" w:eastAsia="Times New Roman" w:cs="Times New Roman"/>
          <w:sz w:val="24"/>
          <w:szCs w:val="24"/>
          <w:spacing w:val="-4"/>
        </w:rPr>
        <w:t>169</w:t>
      </w:r>
      <w:r>
        <w:rPr>
          <w:rFonts w:ascii="SimSun" w:hAnsi="SimSun" w:eastAsia="SimSun" w:cs="SimSun"/>
          <w:sz w:val="24"/>
          <w:szCs w:val="24"/>
          <w:spacing w:val="-4"/>
        </w:rPr>
        <w:t>—</w:t>
      </w:r>
      <w:r>
        <w:rPr>
          <w:rFonts w:ascii="Times New Roman" w:hAnsi="Times New Roman" w:eastAsia="Times New Roman" w:cs="Times New Roman"/>
          <w:sz w:val="24"/>
          <w:szCs w:val="24"/>
          <w:spacing w:val="-4"/>
        </w:rPr>
        <w:t>2018</w:t>
      </w:r>
      <w:r>
        <w:rPr>
          <w:rFonts w:ascii="SimSun" w:hAnsi="SimSun" w:eastAsia="SimSun" w:cs="SimSun"/>
          <w:sz w:val="24"/>
          <w:szCs w:val="24"/>
          <w:spacing w:val="-4"/>
        </w:rPr>
        <w:t>）附录</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4"/>
        </w:rPr>
        <w:t>B</w:t>
      </w:r>
      <w:r>
        <w:rPr>
          <w:rFonts w:ascii="Times New Roman" w:hAnsi="Times New Roman" w:eastAsia="Times New Roman" w:cs="Times New Roman"/>
          <w:sz w:val="24"/>
          <w:szCs w:val="24"/>
          <w:spacing w:val="30"/>
          <w:w w:val="101"/>
        </w:rPr>
        <w:t xml:space="preserve"> </w:t>
      </w:r>
      <w:r>
        <w:rPr>
          <w:rFonts w:ascii="SimSun" w:hAnsi="SimSun" w:eastAsia="SimSun" w:cs="SimSun"/>
          <w:sz w:val="24"/>
          <w:szCs w:val="24"/>
          <w:spacing w:val="-4"/>
        </w:rPr>
        <w:t>中风险物质。</w:t>
      </w:r>
    </w:p>
    <w:p>
      <w:pPr>
        <w:ind w:left="104"/>
        <w:spacing w:before="310" w:line="232" w:lineRule="auto"/>
        <w:rPr>
          <w:rFonts w:ascii="SimSun" w:hAnsi="SimSun" w:eastAsia="SimSun" w:cs="SimSun"/>
          <w:sz w:val="24"/>
          <w:szCs w:val="24"/>
        </w:rPr>
      </w:pPr>
      <w:r>
        <w:rPr>
          <w:rFonts w:ascii="Times New Roman" w:hAnsi="Times New Roman" w:eastAsia="Times New Roman" w:cs="Times New Roman"/>
          <w:sz w:val="24"/>
          <w:szCs w:val="24"/>
          <w:b/>
          <w:bCs/>
          <w:spacing w:val="-2"/>
        </w:rPr>
        <w:t>5.3.2 </w:t>
      </w:r>
      <w:r>
        <w:rPr>
          <w:rFonts w:ascii="SimSun" w:hAnsi="SimSun" w:eastAsia="SimSun" w:cs="SimSun"/>
          <w:sz w:val="24"/>
          <w:szCs w:val="24"/>
          <w:b/>
          <w:bCs/>
          <w:spacing w:val="-2"/>
        </w:rPr>
        <w:t>环境风险评价工作等级及评价范围</w:t>
      </w:r>
    </w:p>
    <w:p>
      <w:pPr>
        <w:pStyle w:val="BodyText"/>
        <w:spacing w:line="264" w:lineRule="auto"/>
        <w:rPr/>
      </w:pPr>
      <w:r/>
    </w:p>
    <w:p>
      <w:pPr>
        <w:ind w:left="591"/>
        <w:spacing w:before="78"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）环境风险评价等级确定</w:t>
      </w:r>
    </w:p>
    <w:p>
      <w:pPr>
        <w:ind w:left="584"/>
        <w:spacing w:before="167" w:line="216" w:lineRule="auto"/>
        <w:rPr>
          <w:rFonts w:ascii="SimSun" w:hAnsi="SimSun" w:eastAsia="SimSun" w:cs="SimSun"/>
          <w:sz w:val="24"/>
          <w:szCs w:val="24"/>
        </w:rPr>
      </w:pPr>
      <w:r>
        <w:rPr>
          <w:rFonts w:ascii="SimSun" w:hAnsi="SimSun" w:eastAsia="SimSun" w:cs="SimSun"/>
          <w:sz w:val="24"/>
          <w:szCs w:val="24"/>
          <w:spacing w:val="-1"/>
        </w:rPr>
        <w:t>①计算涉及环境风险物质数量与其临界量比值（</w:t>
      </w:r>
      <w:r>
        <w:rPr>
          <w:rFonts w:ascii="Times New Roman" w:hAnsi="Times New Roman" w:eastAsia="Times New Roman" w:cs="Times New Roman"/>
          <w:sz w:val="24"/>
          <w:szCs w:val="24"/>
          <w:spacing w:val="-1"/>
        </w:rPr>
        <w:t>Q</w:t>
      </w:r>
      <w:r>
        <w:rPr>
          <w:rFonts w:ascii="SimSun" w:hAnsi="SimSun" w:eastAsia="SimSun" w:cs="SimSun"/>
          <w:sz w:val="24"/>
          <w:szCs w:val="24"/>
          <w:spacing w:val="-1"/>
        </w:rPr>
        <w:t>）</w:t>
      </w:r>
    </w:p>
    <w:p>
      <w:pPr>
        <w:ind w:left="105" w:right="95" w:firstLine="479"/>
        <w:spacing w:before="186" w:line="359" w:lineRule="auto"/>
        <w:jc w:val="both"/>
        <w:rPr>
          <w:rFonts w:ascii="SimSun" w:hAnsi="SimSun" w:eastAsia="SimSun" w:cs="SimSun"/>
          <w:sz w:val="24"/>
          <w:szCs w:val="24"/>
        </w:rPr>
      </w:pPr>
      <w:r>
        <w:rPr>
          <w:rFonts w:ascii="SimSun" w:hAnsi="SimSun" w:eastAsia="SimSun" w:cs="SimSun"/>
          <w:sz w:val="24"/>
          <w:szCs w:val="24"/>
          <w:spacing w:val="3"/>
        </w:rPr>
        <w:t>计算所涉及的每种环境风险物质在厂界内的</w:t>
      </w:r>
      <w:r>
        <w:rPr>
          <w:rFonts w:ascii="SimSun" w:hAnsi="SimSun" w:eastAsia="SimSun" w:cs="SimSun"/>
          <w:sz w:val="24"/>
          <w:szCs w:val="24"/>
          <w:spacing w:val="2"/>
        </w:rPr>
        <w:t>最大存在总量（如存在总量呈动</w:t>
      </w:r>
      <w:r>
        <w:rPr>
          <w:rFonts w:ascii="SimSun" w:hAnsi="SimSun" w:eastAsia="SimSun" w:cs="SimSun"/>
          <w:sz w:val="24"/>
          <w:szCs w:val="24"/>
          <w:spacing w:val="2"/>
        </w:rPr>
        <w:t>态变化，则按公历年度内某一天最大存在总量计算；在不同厂区的同一种物质，</w:t>
      </w:r>
      <w:r>
        <w:rPr>
          <w:rFonts w:ascii="SimSun" w:hAnsi="SimSun" w:eastAsia="SimSun" w:cs="SimSun"/>
          <w:sz w:val="24"/>
          <w:szCs w:val="24"/>
          <w:spacing w:val="-2"/>
        </w:rPr>
        <w:t>按其在厂界内的最大存在总量计算）与其在附录</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30"/>
          <w:w w:val="101"/>
        </w:rPr>
        <w:t xml:space="preserve"> </w:t>
      </w:r>
      <w:r>
        <w:rPr>
          <w:rFonts w:ascii="SimSun" w:hAnsi="SimSun" w:eastAsia="SimSun" w:cs="SimSun"/>
          <w:sz w:val="24"/>
          <w:szCs w:val="24"/>
          <w:spacing w:val="-2"/>
        </w:rPr>
        <w:t>中对应的临界量的比值</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Q</w:t>
      </w:r>
      <w:r>
        <w:rPr>
          <w:rFonts w:ascii="SimSun" w:hAnsi="SimSun" w:eastAsia="SimSun" w:cs="SimSun"/>
          <w:sz w:val="24"/>
          <w:szCs w:val="24"/>
          <w:spacing w:val="-2"/>
        </w:rPr>
        <w:t>：</w:t>
      </w:r>
    </w:p>
    <w:p>
      <w:pPr>
        <w:ind w:left="123" w:right="141" w:firstLine="477"/>
        <w:spacing w:line="359" w:lineRule="auto"/>
        <w:rPr>
          <w:rFonts w:ascii="SimSun" w:hAnsi="SimSun" w:eastAsia="SimSun" w:cs="SimSun"/>
          <w:sz w:val="24"/>
          <w:szCs w:val="24"/>
        </w:rPr>
      </w:pPr>
      <w:r>
        <w:rPr>
          <w:rFonts w:ascii="SimSun" w:hAnsi="SimSun" w:eastAsia="SimSun" w:cs="SimSun"/>
          <w:sz w:val="24"/>
          <w:szCs w:val="24"/>
          <w:spacing w:val="1"/>
        </w:rPr>
        <w:t>当企业只涉及一种环境风险物质时，计算该物质的总数</w:t>
      </w:r>
      <w:r>
        <w:rPr>
          <w:rFonts w:ascii="SimSun" w:hAnsi="SimSun" w:eastAsia="SimSun" w:cs="SimSun"/>
          <w:sz w:val="24"/>
          <w:szCs w:val="24"/>
        </w:rPr>
        <w:t>量与其临界量比值，</w:t>
      </w:r>
      <w:r>
        <w:rPr>
          <w:rFonts w:ascii="SimSun" w:hAnsi="SimSun" w:eastAsia="SimSun" w:cs="SimSun"/>
          <w:sz w:val="24"/>
          <w:szCs w:val="24"/>
          <w:spacing w:val="-9"/>
        </w:rPr>
        <w:t>即为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9"/>
        </w:rPr>
        <w:t>Q</w:t>
      </w:r>
      <w:r>
        <w:rPr>
          <w:rFonts w:ascii="SimSun" w:hAnsi="SimSun" w:eastAsia="SimSun" w:cs="SimSun"/>
          <w:sz w:val="24"/>
          <w:szCs w:val="24"/>
          <w:spacing w:val="-9"/>
        </w:rPr>
        <w:t>；</w:t>
      </w:r>
    </w:p>
    <w:p>
      <w:pPr>
        <w:ind w:left="105" w:right="95" w:firstLine="495"/>
        <w:spacing w:before="1" w:line="359" w:lineRule="auto"/>
        <w:rPr>
          <w:rFonts w:ascii="SimSun" w:hAnsi="SimSun" w:eastAsia="SimSun" w:cs="SimSun"/>
          <w:sz w:val="24"/>
          <w:szCs w:val="24"/>
        </w:rPr>
      </w:pPr>
      <w:r>
        <w:rPr>
          <w:rFonts w:ascii="SimSun" w:hAnsi="SimSun" w:eastAsia="SimSun" w:cs="SimSun"/>
          <w:sz w:val="24"/>
          <w:szCs w:val="24"/>
          <w:spacing w:val="2"/>
        </w:rPr>
        <w:t>当企业存在多种环境风险物质时，则按下面计算公式计算物质数量与其临界</w:t>
      </w:r>
      <w:r>
        <w:rPr>
          <w:rFonts w:ascii="SimSun" w:hAnsi="SimSun" w:eastAsia="SimSun" w:cs="SimSun"/>
          <w:sz w:val="24"/>
          <w:szCs w:val="24"/>
          <w:spacing w:val="-4"/>
        </w:rPr>
        <w:t>量比值（</w:t>
      </w:r>
      <w:r>
        <w:rPr>
          <w:rFonts w:ascii="Times New Roman" w:hAnsi="Times New Roman" w:eastAsia="Times New Roman" w:cs="Times New Roman"/>
          <w:sz w:val="24"/>
          <w:szCs w:val="24"/>
          <w:spacing w:val="-4"/>
        </w:rPr>
        <w:t>Q</w:t>
      </w:r>
      <w:r>
        <w:rPr>
          <w:rFonts w:ascii="SimSun" w:hAnsi="SimSun" w:eastAsia="SimSun" w:cs="SimSun"/>
          <w:sz w:val="24"/>
          <w:szCs w:val="24"/>
          <w:spacing w:val="-4"/>
        </w:rPr>
        <w:t>）。</w:t>
      </w:r>
    </w:p>
    <w:p>
      <w:pPr>
        <w:ind w:left="585"/>
        <w:spacing w:before="1" w:line="219" w:lineRule="auto"/>
        <w:rPr>
          <w:rFonts w:ascii="SimSun" w:hAnsi="SimSun" w:eastAsia="SimSun" w:cs="SimSun"/>
          <w:sz w:val="24"/>
          <w:szCs w:val="24"/>
        </w:rPr>
      </w:pPr>
      <w:r>
        <w:rPr>
          <w:rFonts w:ascii="SimSun" w:hAnsi="SimSun" w:eastAsia="SimSun" w:cs="SimSun"/>
          <w:sz w:val="24"/>
          <w:szCs w:val="24"/>
          <w:spacing w:val="-8"/>
        </w:rPr>
        <w:t>计算公式如下：</w:t>
      </w:r>
    </w:p>
    <w:p>
      <w:pPr>
        <w:ind w:left="3047"/>
        <w:spacing w:before="222" w:line="193" w:lineRule="auto"/>
        <w:rPr>
          <w:rFonts w:ascii="SimSun" w:hAnsi="SimSun" w:eastAsia="SimSun" w:cs="SimSun"/>
          <w:sz w:val="24"/>
          <w:szCs w:val="24"/>
        </w:rPr>
      </w:pPr>
      <w:r>
        <w:rPr>
          <w:rFonts w:ascii="Times New Roman" w:hAnsi="Times New Roman" w:eastAsia="Times New Roman" w:cs="Times New Roman"/>
          <w:sz w:val="24"/>
          <w:szCs w:val="24"/>
          <w:spacing w:val="-1"/>
        </w:rPr>
        <w:t>Q=q</w:t>
      </w:r>
      <w:r>
        <w:rPr>
          <w:rFonts w:ascii="Times New Roman" w:hAnsi="Times New Roman" w:eastAsia="Times New Roman" w:cs="Times New Roman"/>
          <w:sz w:val="16"/>
          <w:szCs w:val="16"/>
          <w:spacing w:val="-1"/>
          <w:position w:val="-2"/>
        </w:rPr>
        <w:t>1</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1</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2</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2</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n</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n</w:t>
      </w:r>
      <w:r>
        <w:rPr>
          <w:rFonts w:ascii="SimSun" w:hAnsi="SimSun" w:eastAsia="SimSun" w:cs="SimSun"/>
          <w:sz w:val="24"/>
          <w:szCs w:val="24"/>
          <w:spacing w:val="-1"/>
        </w:rPr>
        <w:t>。</w:t>
      </w:r>
    </w:p>
    <w:p>
      <w:pPr>
        <w:ind w:left="590"/>
        <w:spacing w:before="176" w:line="223" w:lineRule="auto"/>
        <w:rPr>
          <w:rFonts w:ascii="SimSun" w:hAnsi="SimSun" w:eastAsia="SimSun" w:cs="SimSun"/>
          <w:sz w:val="24"/>
          <w:szCs w:val="24"/>
        </w:rPr>
      </w:pPr>
      <w:r>
        <w:rPr>
          <w:rFonts w:ascii="SimSun" w:hAnsi="SimSun" w:eastAsia="SimSun" w:cs="SimSun"/>
          <w:sz w:val="24"/>
          <w:szCs w:val="24"/>
          <w:spacing w:val="1"/>
        </w:rPr>
        <w:t>式中：</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1</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rPr>
        <w:t>2</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rPr>
        <w:t>q</w:t>
      </w:r>
      <w:r>
        <w:rPr>
          <w:rFonts w:ascii="Times New Roman" w:hAnsi="Times New Roman" w:eastAsia="Times New Roman" w:cs="Times New Roman"/>
          <w:sz w:val="16"/>
          <w:szCs w:val="16"/>
          <w:position w:val="-2"/>
        </w:rPr>
        <w:t>n</w:t>
      </w:r>
      <w:r>
        <w:rPr>
          <w:rFonts w:ascii="Times New Roman" w:hAnsi="Times New Roman" w:eastAsia="Times New Roman" w:cs="Times New Roman"/>
          <w:sz w:val="24"/>
          <w:szCs w:val="24"/>
          <w:spacing w:val="1"/>
        </w:rPr>
        <w:t>—</w:t>
      </w:r>
      <w:r>
        <w:rPr>
          <w:rFonts w:ascii="SimSun" w:hAnsi="SimSun" w:eastAsia="SimSun" w:cs="SimSun"/>
          <w:sz w:val="24"/>
          <w:szCs w:val="24"/>
          <w:spacing w:val="1"/>
        </w:rPr>
        <w:t>每种危险化学品实际</w:t>
      </w:r>
      <w:r>
        <w:rPr>
          <w:rFonts w:ascii="SimSun" w:hAnsi="SimSun" w:eastAsia="SimSun" w:cs="SimSun"/>
          <w:sz w:val="24"/>
          <w:szCs w:val="24"/>
        </w:rPr>
        <w:t>存在量，单位</w:t>
      </w:r>
      <w:r>
        <w:rPr>
          <w:rFonts w:ascii="Times New Roman" w:hAnsi="Times New Roman" w:eastAsia="Times New Roman" w:cs="Times New Roman"/>
          <w:sz w:val="24"/>
          <w:szCs w:val="24"/>
        </w:rPr>
        <w:t>t</w:t>
      </w:r>
      <w:r>
        <w:rPr>
          <w:rFonts w:ascii="SimSun" w:hAnsi="SimSun" w:eastAsia="SimSun" w:cs="SimSun"/>
          <w:sz w:val="24"/>
          <w:szCs w:val="24"/>
        </w:rPr>
        <w:t>；</w:t>
      </w:r>
    </w:p>
    <w:p>
      <w:pPr>
        <w:ind w:left="1304"/>
        <w:spacing w:before="177" w:line="227" w:lineRule="auto"/>
        <w:rPr>
          <w:rFonts w:ascii="SimSun" w:hAnsi="SimSun" w:eastAsia="SimSun" w:cs="SimSun"/>
          <w:sz w:val="24"/>
          <w:szCs w:val="24"/>
        </w:rPr>
      </w:pP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1</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2</w:t>
      </w:r>
      <w:r>
        <w:rPr>
          <w:rFonts w:ascii="Times New Roman" w:hAnsi="Times New Roman" w:eastAsia="Times New Roman" w:cs="Times New Roman"/>
          <w:sz w:val="16"/>
          <w:szCs w:val="16"/>
          <w:spacing w:val="-13"/>
          <w:position w:val="-2"/>
        </w:rPr>
        <w:t xml:space="preserve"> </w:t>
      </w:r>
      <w:r>
        <w:rPr>
          <w:rFonts w:ascii="SimSun" w:hAnsi="SimSun" w:eastAsia="SimSun" w:cs="SimSun"/>
          <w:sz w:val="24"/>
          <w:szCs w:val="24"/>
          <w:spacing w:val="-1"/>
        </w:rPr>
        <w:t>、</w:t>
      </w:r>
      <w:r>
        <w:rPr>
          <w:rFonts w:ascii="SimSun" w:hAnsi="SimSun" w:eastAsia="SimSun" w:cs="SimSun"/>
          <w:sz w:val="24"/>
          <w:szCs w:val="24"/>
          <w:spacing w:val="-93"/>
        </w:rPr>
        <w:t xml:space="preserve"> </w:t>
      </w:r>
      <w:r>
        <w:rPr>
          <w:rFonts w:ascii="Times New Roman" w:hAnsi="Times New Roman" w:eastAsia="Times New Roman" w:cs="Times New Roman"/>
          <w:sz w:val="24"/>
          <w:szCs w:val="24"/>
          <w:spacing w:val="-1"/>
        </w:rPr>
        <w:t>…Q</w:t>
      </w:r>
      <w:r>
        <w:rPr>
          <w:rFonts w:ascii="Times New Roman" w:hAnsi="Times New Roman" w:eastAsia="Times New Roman" w:cs="Times New Roman"/>
          <w:sz w:val="16"/>
          <w:szCs w:val="16"/>
          <w:spacing w:val="-1"/>
          <w:position w:val="-2"/>
        </w:rPr>
        <w:t>n</w:t>
      </w:r>
      <w:r>
        <w:rPr>
          <w:rFonts w:ascii="Times New Roman" w:hAnsi="Times New Roman" w:eastAsia="Times New Roman" w:cs="Times New Roman"/>
          <w:sz w:val="24"/>
          <w:szCs w:val="24"/>
          <w:spacing w:val="-1"/>
        </w:rPr>
        <w:t>—</w:t>
      </w:r>
      <w:r>
        <w:rPr>
          <w:rFonts w:ascii="SimSun" w:hAnsi="SimSun" w:eastAsia="SimSun" w:cs="SimSun"/>
          <w:sz w:val="24"/>
          <w:szCs w:val="24"/>
          <w:spacing w:val="-1"/>
        </w:rPr>
        <w:t>与各种化学品相对应的临界值，单位</w:t>
      </w:r>
      <w:r>
        <w:rPr>
          <w:rFonts w:ascii="Times New Roman" w:hAnsi="Times New Roman" w:eastAsia="Times New Roman" w:cs="Times New Roman"/>
          <w:sz w:val="24"/>
          <w:szCs w:val="24"/>
          <w:spacing w:val="-1"/>
        </w:rPr>
        <w:t>t</w:t>
      </w:r>
      <w:r>
        <w:rPr>
          <w:rFonts w:ascii="SimSun" w:hAnsi="SimSun" w:eastAsia="SimSun" w:cs="SimSun"/>
          <w:sz w:val="24"/>
          <w:szCs w:val="24"/>
          <w:spacing w:val="-1"/>
        </w:rPr>
        <w:t>。</w:t>
      </w:r>
    </w:p>
    <w:p>
      <w:pPr>
        <w:ind w:left="587"/>
        <w:spacing w:before="171" w:line="216" w:lineRule="auto"/>
        <w:rPr>
          <w:rFonts w:ascii="SimSun" w:hAnsi="SimSun" w:eastAsia="SimSun" w:cs="SimSun"/>
          <w:sz w:val="24"/>
          <w:szCs w:val="24"/>
        </w:rPr>
      </w:pPr>
      <w:r>
        <w:rPr>
          <w:rFonts w:ascii="SimSun" w:hAnsi="SimSun" w:eastAsia="SimSun" w:cs="SimSun"/>
          <w:sz w:val="24"/>
          <w:szCs w:val="24"/>
          <w:spacing w:val="-4"/>
        </w:rPr>
        <w:t>按照数值大小，将</w:t>
      </w:r>
      <w:r>
        <w:rPr>
          <w:rFonts w:ascii="Times New Roman" w:hAnsi="Times New Roman" w:eastAsia="Times New Roman" w:cs="Times New Roman"/>
          <w:sz w:val="24"/>
          <w:szCs w:val="24"/>
          <w:spacing w:val="-4"/>
        </w:rPr>
        <w:t>Q</w:t>
      </w:r>
      <w:r>
        <w:rPr>
          <w:rFonts w:ascii="SimSun" w:hAnsi="SimSun" w:eastAsia="SimSun" w:cs="SimSun"/>
          <w:sz w:val="24"/>
          <w:szCs w:val="24"/>
          <w:spacing w:val="-4"/>
        </w:rPr>
        <w:t>划分为</w:t>
      </w:r>
      <w:r>
        <w:rPr>
          <w:rFonts w:ascii="Times New Roman" w:hAnsi="Times New Roman" w:eastAsia="Times New Roman" w:cs="Times New Roman"/>
          <w:sz w:val="24"/>
          <w:szCs w:val="24"/>
          <w:spacing w:val="-4"/>
        </w:rPr>
        <w:t>4</w:t>
      </w:r>
      <w:r>
        <w:rPr>
          <w:rFonts w:ascii="SimSun" w:hAnsi="SimSun" w:eastAsia="SimSun" w:cs="SimSun"/>
          <w:sz w:val="24"/>
          <w:szCs w:val="24"/>
          <w:spacing w:val="-4"/>
        </w:rPr>
        <w:t>个水平：</w:t>
      </w:r>
    </w:p>
    <w:p>
      <w:pPr>
        <w:ind w:left="600"/>
        <w:spacing w:before="187" w:line="216" w:lineRule="auto"/>
        <w:rPr>
          <w:rFonts w:ascii="SimSun" w:hAnsi="SimSun" w:eastAsia="SimSun" w:cs="SimSun"/>
          <w:sz w:val="24"/>
          <w:szCs w:val="24"/>
        </w:rPr>
      </w:pPr>
      <w:r>
        <w:rPr>
          <w:rFonts w:ascii="SimSun" w:hAnsi="SimSun" w:eastAsia="SimSun" w:cs="SimSun"/>
          <w:sz w:val="24"/>
          <w:szCs w:val="24"/>
          <w:spacing w:val="-2"/>
        </w:rPr>
        <w:t>当</w:t>
      </w:r>
      <w:r>
        <w:rPr>
          <w:rFonts w:ascii="Times New Roman" w:hAnsi="Times New Roman" w:eastAsia="Times New Roman" w:cs="Times New Roman"/>
          <w:sz w:val="24"/>
          <w:szCs w:val="24"/>
          <w:spacing w:val="-2"/>
        </w:rPr>
        <w:t>Q</w:t>
      </w: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时，该项目环境风险潜势为</w:t>
      </w:r>
      <w:r>
        <w:rPr>
          <w:rFonts w:ascii="Times New Roman" w:hAnsi="Times New Roman" w:eastAsia="Times New Roman" w:cs="Times New Roman"/>
          <w:sz w:val="24"/>
          <w:szCs w:val="24"/>
          <w:spacing w:val="-2"/>
        </w:rPr>
        <w:t>I</w:t>
      </w:r>
      <w:r>
        <w:rPr>
          <w:rFonts w:ascii="SimSun" w:hAnsi="SimSun" w:eastAsia="SimSun" w:cs="SimSun"/>
          <w:sz w:val="24"/>
          <w:szCs w:val="24"/>
          <w:spacing w:val="-2"/>
        </w:rPr>
        <w:t>；</w:t>
      </w:r>
    </w:p>
    <w:p>
      <w:pPr>
        <w:spacing w:line="216" w:lineRule="auto"/>
        <w:sectPr>
          <w:headerReference w:type="default" r:id="rId132"/>
          <w:footerReference w:type="default" r:id="rId170"/>
          <w:pgSz w:w="11907" w:h="16839"/>
          <w:pgMar w:top="1442" w:right="1613" w:bottom="1235" w:left="1606" w:header="1064" w:footer="992" w:gutter="0"/>
        </w:sectPr>
        <w:rPr>
          <w:rFonts w:ascii="SimSun" w:hAnsi="SimSun" w:eastAsia="SimSun" w:cs="SimSun"/>
          <w:sz w:val="24"/>
          <w:szCs w:val="24"/>
        </w:rPr>
      </w:pPr>
    </w:p>
    <w:p>
      <w:pPr>
        <w:ind w:left="600"/>
        <w:spacing w:before="293" w:line="216" w:lineRule="auto"/>
        <w:rPr>
          <w:rFonts w:ascii="SimSun" w:hAnsi="SimSun" w:eastAsia="SimSun" w:cs="SimSun"/>
          <w:sz w:val="24"/>
          <w:szCs w:val="24"/>
        </w:rPr>
      </w:pPr>
      <w:r>
        <w:rPr>
          <w:rFonts w:ascii="SimSun" w:hAnsi="SimSun" w:eastAsia="SimSun" w:cs="SimSun"/>
          <w:sz w:val="24"/>
          <w:szCs w:val="24"/>
          <w:spacing w:val="-3"/>
        </w:rPr>
        <w:t>当</w:t>
      </w:r>
      <w:r>
        <w:rPr>
          <w:rFonts w:ascii="Times New Roman" w:hAnsi="Times New Roman" w:eastAsia="Times New Roman" w:cs="Times New Roman"/>
          <w:sz w:val="24"/>
          <w:szCs w:val="24"/>
          <w:spacing w:val="-3"/>
        </w:rPr>
        <w:t>Q≥1</w:t>
      </w:r>
      <w:r>
        <w:rPr>
          <w:rFonts w:ascii="SimSun" w:hAnsi="SimSun" w:eastAsia="SimSun" w:cs="SimSun"/>
          <w:sz w:val="24"/>
          <w:szCs w:val="24"/>
          <w:spacing w:val="-3"/>
        </w:rPr>
        <w:t>时，将</w:t>
      </w:r>
      <w:r>
        <w:rPr>
          <w:rFonts w:ascii="Times New Roman" w:hAnsi="Times New Roman" w:eastAsia="Times New Roman" w:cs="Times New Roman"/>
          <w:sz w:val="24"/>
          <w:szCs w:val="24"/>
          <w:spacing w:val="-3"/>
        </w:rPr>
        <w:t>Q</w:t>
      </w:r>
      <w:r>
        <w:rPr>
          <w:rFonts w:ascii="SimSun" w:hAnsi="SimSun" w:eastAsia="SimSun" w:cs="SimSun"/>
          <w:sz w:val="24"/>
          <w:szCs w:val="24"/>
          <w:spacing w:val="-3"/>
        </w:rPr>
        <w:t>值划分为</w:t>
      </w:r>
    </w:p>
    <w:p>
      <w:pPr>
        <w:ind w:left="584"/>
        <w:spacing w:before="184" w:line="216" w:lineRule="auto"/>
        <w:rPr>
          <w:rFonts w:ascii="SimSun" w:hAnsi="SimSun" w:eastAsia="SimSun" w:cs="SimSun"/>
          <w:sz w:val="24"/>
          <w:szCs w:val="24"/>
        </w:rPr>
      </w:pP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1≤Q</w:t>
      </w:r>
      <w:r>
        <w:rPr>
          <w:rFonts w:ascii="SimSun" w:hAnsi="SimSun" w:eastAsia="SimSun" w:cs="SimSun"/>
          <w:sz w:val="24"/>
          <w:szCs w:val="24"/>
          <w:spacing w:val="-4"/>
        </w:rPr>
        <w:t>＜</w:t>
      </w:r>
      <w:r>
        <w:rPr>
          <w:rFonts w:ascii="Times New Roman" w:hAnsi="Times New Roman" w:eastAsia="Times New Roman" w:cs="Times New Roman"/>
          <w:sz w:val="24"/>
          <w:szCs w:val="24"/>
          <w:spacing w:val="-4"/>
        </w:rPr>
        <w:t>10</w:t>
      </w:r>
      <w:r>
        <w:rPr>
          <w:rFonts w:ascii="SimSun" w:hAnsi="SimSun" w:eastAsia="SimSun" w:cs="SimSun"/>
          <w:sz w:val="24"/>
          <w:szCs w:val="24"/>
          <w:spacing w:val="-4"/>
        </w:rPr>
        <w:t>；</w:t>
      </w:r>
    </w:p>
    <w:p>
      <w:pPr>
        <w:ind w:left="575"/>
        <w:spacing w:before="187" w:line="216" w:lineRule="auto"/>
        <w:rPr>
          <w:rFonts w:ascii="SimSun" w:hAnsi="SimSun" w:eastAsia="SimSun" w:cs="SimSun"/>
          <w:sz w:val="24"/>
          <w:szCs w:val="24"/>
        </w:rPr>
      </w:pPr>
      <w:r>
        <w:rPr>
          <w:rFonts w:ascii="Times New Roman" w:hAnsi="Times New Roman" w:eastAsia="Times New Roman" w:cs="Times New Roman"/>
          <w:sz w:val="24"/>
          <w:szCs w:val="24"/>
          <w:spacing w:val="-3"/>
        </w:rPr>
        <w:t>b</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10≤Q</w:t>
      </w:r>
      <w:r>
        <w:rPr>
          <w:rFonts w:ascii="SimSun" w:hAnsi="SimSun" w:eastAsia="SimSun" w:cs="SimSun"/>
          <w:sz w:val="24"/>
          <w:szCs w:val="24"/>
          <w:spacing w:val="-3"/>
        </w:rPr>
        <w:t>＜</w:t>
      </w:r>
      <w:r>
        <w:rPr>
          <w:rFonts w:ascii="Times New Roman" w:hAnsi="Times New Roman" w:eastAsia="Times New Roman" w:cs="Times New Roman"/>
          <w:sz w:val="24"/>
          <w:szCs w:val="24"/>
          <w:spacing w:val="-3"/>
        </w:rPr>
        <w:t>100</w:t>
      </w:r>
      <w:r>
        <w:rPr>
          <w:rFonts w:ascii="SimSun" w:hAnsi="SimSun" w:eastAsia="SimSun" w:cs="SimSun"/>
          <w:sz w:val="24"/>
          <w:szCs w:val="24"/>
          <w:spacing w:val="-3"/>
        </w:rPr>
        <w:t>；</w:t>
      </w:r>
    </w:p>
    <w:p>
      <w:pPr>
        <w:ind w:left="584"/>
        <w:spacing w:before="225" w:line="185" w:lineRule="auto"/>
        <w:rPr>
          <w:rFonts w:ascii="SimSun" w:hAnsi="SimSun" w:eastAsia="SimSun" w:cs="SimSun"/>
          <w:sz w:val="24"/>
          <w:szCs w:val="24"/>
        </w:rPr>
      </w:pPr>
      <w:r>
        <w:rPr>
          <w:rFonts w:ascii="Times New Roman" w:hAnsi="Times New Roman" w:eastAsia="Times New Roman" w:cs="Times New Roman"/>
          <w:sz w:val="24"/>
          <w:szCs w:val="24"/>
          <w:spacing w:val="-5"/>
        </w:rPr>
        <w:t>c</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spacing w:val="-5"/>
        </w:rPr>
        <w:t>Q≥100</w:t>
      </w:r>
      <w:r>
        <w:rPr>
          <w:rFonts w:ascii="SimSun" w:hAnsi="SimSun" w:eastAsia="SimSun" w:cs="SimSun"/>
          <w:sz w:val="24"/>
          <w:szCs w:val="24"/>
          <w:spacing w:val="-5"/>
        </w:rPr>
        <w:t>。</w:t>
      </w:r>
    </w:p>
    <w:p>
      <w:pPr>
        <w:ind w:left="105" w:right="86" w:firstLine="483"/>
        <w:spacing w:before="186" w:line="353" w:lineRule="auto"/>
        <w:rPr>
          <w:rFonts w:ascii="SimSun" w:hAnsi="SimSun" w:eastAsia="SimSun" w:cs="SimSun"/>
          <w:sz w:val="24"/>
          <w:szCs w:val="24"/>
        </w:rPr>
      </w:pPr>
      <w:r>
        <w:rPr>
          <w:rFonts w:ascii="SimSun" w:hAnsi="SimSun" w:eastAsia="SimSun" w:cs="SimSun"/>
          <w:sz w:val="24"/>
          <w:szCs w:val="24"/>
          <w:spacing w:val="-4"/>
        </w:rPr>
        <w:t>本项目不涉及《建设项目环境风险评价技术导则》（</w:t>
      </w:r>
      <w:r>
        <w:rPr>
          <w:rFonts w:ascii="Times New Roman" w:hAnsi="Times New Roman" w:eastAsia="Times New Roman" w:cs="Times New Roman"/>
          <w:sz w:val="24"/>
          <w:szCs w:val="24"/>
          <w:spacing w:val="-4"/>
        </w:rPr>
        <w:t>HJ</w:t>
      </w:r>
      <w:r>
        <w:rPr>
          <w:rFonts w:ascii="Times New Roman" w:hAnsi="Times New Roman" w:eastAsia="Times New Roman" w:cs="Times New Roman"/>
          <w:sz w:val="24"/>
          <w:szCs w:val="24"/>
          <w:spacing w:val="36"/>
        </w:rPr>
        <w:t xml:space="preserve"> </w:t>
      </w:r>
      <w:r>
        <w:rPr>
          <w:rFonts w:ascii="Times New Roman" w:hAnsi="Times New Roman" w:eastAsia="Times New Roman" w:cs="Times New Roman"/>
          <w:sz w:val="24"/>
          <w:szCs w:val="24"/>
          <w:spacing w:val="-4"/>
        </w:rPr>
        <w:t>169—2018</w:t>
      </w:r>
      <w:r>
        <w:rPr>
          <w:rFonts w:ascii="SimSun" w:hAnsi="SimSun" w:eastAsia="SimSun" w:cs="SimSun"/>
          <w:sz w:val="24"/>
          <w:szCs w:val="24"/>
          <w:spacing w:val="-4"/>
        </w:rPr>
        <w:t>）中的突发</w:t>
      </w:r>
      <w:r>
        <w:rPr>
          <w:rFonts w:ascii="SimSun" w:hAnsi="SimSun" w:eastAsia="SimSun" w:cs="SimSun"/>
          <w:sz w:val="24"/>
          <w:szCs w:val="24"/>
          <w:spacing w:val="-3"/>
        </w:rPr>
        <w:t>环境事件风险物质，即</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3"/>
        </w:rPr>
        <w:t>Q </w:t>
      </w:r>
      <w:r>
        <w:rPr>
          <w:rFonts w:ascii="SimSun" w:hAnsi="SimSun" w:eastAsia="SimSun" w:cs="SimSun"/>
          <w:sz w:val="24"/>
          <w:szCs w:val="24"/>
          <w:spacing w:val="-3"/>
        </w:rPr>
        <w:t>值为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0</w:t>
      </w:r>
      <w:r>
        <w:rPr>
          <w:rFonts w:ascii="SimSun" w:hAnsi="SimSun" w:eastAsia="SimSun" w:cs="SimSun"/>
          <w:sz w:val="24"/>
          <w:szCs w:val="24"/>
          <w:spacing w:val="-3"/>
        </w:rPr>
        <w:t>，属于</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Q</w:t>
      </w: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3"/>
        </w:rPr>
        <w:t>，该项目环境风险潜势为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I</w:t>
      </w:r>
      <w:r>
        <w:rPr>
          <w:rFonts w:ascii="SimSun" w:hAnsi="SimSun" w:eastAsia="SimSun" w:cs="SimSun"/>
          <w:sz w:val="24"/>
          <w:szCs w:val="24"/>
          <w:spacing w:val="-3"/>
        </w:rPr>
        <w:t>，本项目</w:t>
      </w:r>
      <w:r>
        <w:rPr>
          <w:rFonts w:ascii="SimSun" w:hAnsi="SimSun" w:eastAsia="SimSun" w:cs="SimSun"/>
          <w:sz w:val="24"/>
          <w:szCs w:val="24"/>
          <w:spacing w:val="-1"/>
        </w:rPr>
        <w:t>不需设置评价等级，仅需进行简单分析即可。</w:t>
      </w:r>
    </w:p>
    <w:p>
      <w:pPr>
        <w:ind w:left="594"/>
        <w:spacing w:before="23" w:line="232"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）评价范围</w:t>
      </w:r>
    </w:p>
    <w:p>
      <w:pPr>
        <w:ind w:left="111" w:right="95" w:firstLine="474"/>
        <w:spacing w:before="168" w:line="362" w:lineRule="auto"/>
        <w:rPr>
          <w:rFonts w:ascii="SimSun" w:hAnsi="SimSun" w:eastAsia="SimSun" w:cs="SimSun"/>
          <w:sz w:val="24"/>
          <w:szCs w:val="24"/>
        </w:rPr>
      </w:pPr>
      <w:r>
        <w:rPr>
          <w:rFonts w:ascii="SimSun" w:hAnsi="SimSun" w:eastAsia="SimSun" w:cs="SimSun"/>
          <w:sz w:val="24"/>
          <w:szCs w:val="24"/>
          <w:spacing w:val="3"/>
        </w:rPr>
        <w:t>根据环境风险评价等级确定可知，本项目只</w:t>
      </w:r>
      <w:r>
        <w:rPr>
          <w:rFonts w:ascii="SimSun" w:hAnsi="SimSun" w:eastAsia="SimSun" w:cs="SimSun"/>
          <w:sz w:val="24"/>
          <w:szCs w:val="24"/>
          <w:spacing w:val="2"/>
        </w:rPr>
        <w:t>进行简单分析，因此不设置评价</w:t>
      </w:r>
      <w:r>
        <w:rPr>
          <w:rFonts w:ascii="SimSun" w:hAnsi="SimSun" w:eastAsia="SimSun" w:cs="SimSun"/>
          <w:sz w:val="24"/>
          <w:szCs w:val="24"/>
          <w:spacing w:val="-12"/>
        </w:rPr>
        <w:t>范围。</w:t>
      </w:r>
    </w:p>
    <w:p>
      <w:pPr>
        <w:pStyle w:val="BodyText"/>
        <w:spacing w:line="252" w:lineRule="auto"/>
        <w:rPr/>
      </w:pPr>
      <w:r/>
    </w:p>
    <w:p>
      <w:pPr>
        <w:ind w:left="104"/>
        <w:spacing w:before="79"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5.3.3 </w:t>
      </w:r>
      <w:r>
        <w:rPr>
          <w:rFonts w:ascii="SimSun" w:hAnsi="SimSun" w:eastAsia="SimSun" w:cs="SimSun"/>
          <w:sz w:val="24"/>
          <w:szCs w:val="24"/>
          <w:b/>
          <w:bCs/>
          <w:spacing w:val="-2"/>
        </w:rPr>
        <w:t>环境风险分析</w:t>
      </w:r>
    </w:p>
    <w:p>
      <w:pPr>
        <w:pStyle w:val="BodyText"/>
        <w:spacing w:line="343" w:lineRule="auto"/>
        <w:rPr/>
      </w:pPr>
      <w:r/>
    </w:p>
    <w:p>
      <w:pPr>
        <w:ind w:left="104" w:firstLine="480"/>
        <w:spacing w:before="78" w:line="360" w:lineRule="auto"/>
        <w:jc w:val="both"/>
        <w:rPr>
          <w:rFonts w:ascii="SimSun" w:hAnsi="SimSun" w:eastAsia="SimSun" w:cs="SimSun"/>
          <w:sz w:val="24"/>
          <w:szCs w:val="24"/>
        </w:rPr>
      </w:pPr>
      <w:r>
        <w:rPr>
          <w:rFonts w:ascii="SimSun" w:hAnsi="SimSun" w:eastAsia="SimSun" w:cs="SimSun"/>
          <w:sz w:val="24"/>
          <w:szCs w:val="24"/>
          <w:spacing w:val="2"/>
        </w:rPr>
        <w:t>环境风险评价应以突发性事故导致的危险物质环境急性损害防控为目标，对</w:t>
      </w:r>
      <w:r>
        <w:rPr>
          <w:rFonts w:ascii="SimSun" w:hAnsi="SimSun" w:eastAsia="SimSun" w:cs="SimSun"/>
          <w:sz w:val="24"/>
          <w:szCs w:val="24"/>
          <w:spacing w:val="2"/>
        </w:rPr>
        <w:t>建设项目的环境风险进行分析、预测和评估，提出环境风险预防、控制、减缓措</w:t>
      </w:r>
      <w:r>
        <w:rPr>
          <w:rFonts w:ascii="SimSun" w:hAnsi="SimSun" w:eastAsia="SimSun" w:cs="SimSun"/>
          <w:sz w:val="24"/>
          <w:szCs w:val="24"/>
          <w:spacing w:val="-2"/>
        </w:rPr>
        <w:t>施，明确环境风险监控及应急建议要求，为建设项目环境风险防控提供科学依据。</w:t>
      </w:r>
    </w:p>
    <w:p>
      <w:pPr>
        <w:ind w:left="105" w:right="89" w:firstLine="480"/>
        <w:spacing w:line="362" w:lineRule="auto"/>
        <w:rPr>
          <w:rFonts w:ascii="SimSun" w:hAnsi="SimSun" w:eastAsia="SimSun" w:cs="SimSun"/>
          <w:sz w:val="24"/>
          <w:szCs w:val="24"/>
        </w:rPr>
      </w:pPr>
      <w:r>
        <w:rPr>
          <w:rFonts w:ascii="SimSun" w:hAnsi="SimSun" w:eastAsia="SimSun" w:cs="SimSun"/>
          <w:sz w:val="24"/>
          <w:szCs w:val="24"/>
          <w:spacing w:val="3"/>
        </w:rPr>
        <w:t>本项目风险源主要为牛舍、储粪库及危险废物贮存间</w:t>
      </w:r>
      <w:r>
        <w:rPr>
          <w:rFonts w:ascii="SimSun" w:hAnsi="SimSun" w:eastAsia="SimSun" w:cs="SimSun"/>
          <w:sz w:val="24"/>
          <w:szCs w:val="24"/>
          <w:spacing w:val="2"/>
        </w:rPr>
        <w:t>等防渗层破裂引起的泄</w:t>
      </w:r>
      <w:r>
        <w:rPr>
          <w:rFonts w:ascii="SimSun" w:hAnsi="SimSun" w:eastAsia="SimSun" w:cs="SimSun"/>
          <w:sz w:val="24"/>
          <w:szCs w:val="24"/>
          <w:spacing w:val="-2"/>
        </w:rPr>
        <w:t>漏，粪污进入水体或土壤，将对地下水或土壤产生影响。</w:t>
      </w:r>
    </w:p>
    <w:p>
      <w:pPr>
        <w:ind w:left="104"/>
        <w:spacing w:before="256"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5.3.4 </w:t>
      </w:r>
      <w:r>
        <w:rPr>
          <w:rFonts w:ascii="SimSun" w:hAnsi="SimSun" w:eastAsia="SimSun" w:cs="SimSun"/>
          <w:sz w:val="24"/>
          <w:szCs w:val="24"/>
          <w:b/>
          <w:bCs/>
          <w:spacing w:val="-2"/>
        </w:rPr>
        <w:t>环境风险防范措施</w:t>
      </w:r>
    </w:p>
    <w:p>
      <w:pPr>
        <w:pStyle w:val="BodyText"/>
        <w:spacing w:line="263" w:lineRule="auto"/>
        <w:rPr/>
      </w:pPr>
      <w:r/>
    </w:p>
    <w:p>
      <w:pPr>
        <w:ind w:left="98" w:right="97" w:firstLine="492"/>
        <w:spacing w:before="78" w:line="31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）本环评要求场区地下水进行分区防渗，牛舍、储</w:t>
      </w:r>
      <w:r>
        <w:rPr>
          <w:rFonts w:ascii="SimSun" w:hAnsi="SimSun" w:eastAsia="SimSun" w:cs="SimSun"/>
          <w:sz w:val="24"/>
          <w:szCs w:val="24"/>
          <w:spacing w:val="-2"/>
        </w:rPr>
        <w:t>粪库及危险废物贮存间</w:t>
      </w:r>
      <w:r>
        <w:rPr>
          <w:rFonts w:ascii="SimSun" w:hAnsi="SimSun" w:eastAsia="SimSun" w:cs="SimSun"/>
          <w:sz w:val="24"/>
          <w:szCs w:val="24"/>
          <w:spacing w:val="10"/>
        </w:rPr>
        <w:t>按照重点防渗区进行防渗，防渗层的设置必须达到</w:t>
      </w:r>
      <w:r>
        <w:rPr>
          <w:rFonts w:ascii="SimSun" w:hAnsi="SimSun" w:eastAsia="SimSun" w:cs="SimSun"/>
          <w:sz w:val="24"/>
          <w:szCs w:val="24"/>
          <w:spacing w:val="9"/>
        </w:rPr>
        <w:t>“人工衬层的材料渗透系数</w:t>
      </w:r>
      <w:r>
        <w:rPr>
          <w:rFonts w:ascii="Times New Roman" w:hAnsi="Times New Roman" w:eastAsia="Times New Roman" w:cs="Times New Roman"/>
          <w:sz w:val="24"/>
          <w:szCs w:val="24"/>
          <w:spacing w:val="-3"/>
        </w:rPr>
        <w:t>≤10</w:t>
      </w:r>
      <w:r>
        <w:rPr>
          <w:rFonts w:ascii="Times New Roman" w:hAnsi="Times New Roman" w:eastAsia="Times New Roman" w:cs="Times New Roman"/>
          <w:sz w:val="16"/>
          <w:szCs w:val="16"/>
          <w:spacing w:val="-3"/>
          <w:position w:val="10"/>
        </w:rPr>
        <w:t>-7</w:t>
      </w:r>
      <w:r>
        <w:rPr>
          <w:rFonts w:ascii="Times New Roman" w:hAnsi="Times New Roman" w:eastAsia="Times New Roman" w:cs="Times New Roman"/>
          <w:sz w:val="24"/>
          <w:szCs w:val="24"/>
          <w:spacing w:val="-3"/>
        </w:rPr>
        <w:t>cm/s</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3"/>
        </w:rPr>
        <w:t>的要求”</w:t>
      </w:r>
      <w:r>
        <w:rPr>
          <w:rFonts w:ascii="SimSun" w:hAnsi="SimSun" w:eastAsia="SimSun" w:cs="SimSun"/>
          <w:sz w:val="24"/>
          <w:szCs w:val="24"/>
          <w:spacing w:val="-91"/>
        </w:rPr>
        <w:t xml:space="preserve"> </w:t>
      </w:r>
      <w:r>
        <w:rPr>
          <w:rFonts w:ascii="SimSun" w:hAnsi="SimSun" w:eastAsia="SimSun" w:cs="SimSun"/>
          <w:sz w:val="24"/>
          <w:szCs w:val="24"/>
          <w:spacing w:val="-3"/>
        </w:rPr>
        <w:t>，等效黏土层厚度不小于</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6m</w:t>
      </w:r>
      <w:r>
        <w:rPr>
          <w:rFonts w:ascii="SimSun" w:hAnsi="SimSun" w:eastAsia="SimSun" w:cs="SimSun"/>
          <w:sz w:val="24"/>
          <w:szCs w:val="24"/>
          <w:spacing w:val="-3"/>
        </w:rPr>
        <w:t>。</w:t>
      </w:r>
    </w:p>
    <w:p>
      <w:pPr>
        <w:ind w:left="105" w:right="85" w:firstLine="486"/>
        <w:spacing w:before="164" w:line="311"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）其他区域用房按照一般防渗区进行防渗，并设置人工材料防渗层，人工</w:t>
      </w:r>
      <w:r>
        <w:rPr>
          <w:rFonts w:ascii="SimSun" w:hAnsi="SimSun" w:eastAsia="SimSun" w:cs="SimSun"/>
          <w:sz w:val="24"/>
          <w:szCs w:val="24"/>
          <w:spacing w:val="-3"/>
        </w:rPr>
        <w:t>材料的渗透系数应小于</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1.0×10</w:t>
      </w:r>
      <w:r>
        <w:rPr>
          <w:rFonts w:ascii="Times New Roman" w:hAnsi="Times New Roman" w:eastAsia="Times New Roman" w:cs="Times New Roman"/>
          <w:sz w:val="16"/>
          <w:szCs w:val="16"/>
          <w:spacing w:val="-3"/>
          <w:position w:val="10"/>
        </w:rPr>
        <w:t>-7</w:t>
      </w:r>
      <w:r>
        <w:rPr>
          <w:rFonts w:ascii="Times New Roman" w:hAnsi="Times New Roman" w:eastAsia="Times New Roman" w:cs="Times New Roman"/>
          <w:sz w:val="24"/>
          <w:szCs w:val="24"/>
          <w:spacing w:val="-3"/>
        </w:rPr>
        <w:t>cm/s</w:t>
      </w:r>
      <w:r>
        <w:rPr>
          <w:rFonts w:ascii="SimSun" w:hAnsi="SimSun" w:eastAsia="SimSun" w:cs="SimSun"/>
          <w:sz w:val="24"/>
          <w:szCs w:val="24"/>
          <w:spacing w:val="-3"/>
        </w:rPr>
        <w:t>，等</w:t>
      </w:r>
      <w:r>
        <w:rPr>
          <w:rFonts w:ascii="SimSun" w:hAnsi="SimSun" w:eastAsia="SimSun" w:cs="SimSun"/>
          <w:sz w:val="24"/>
          <w:szCs w:val="24"/>
          <w:spacing w:val="-4"/>
        </w:rPr>
        <w:t>效黏土层厚度不小于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1.5m</w:t>
      </w:r>
      <w:r>
        <w:rPr>
          <w:rFonts w:ascii="SimSun" w:hAnsi="SimSun" w:eastAsia="SimSun" w:cs="SimSun"/>
          <w:sz w:val="24"/>
          <w:szCs w:val="24"/>
          <w:spacing w:val="-4"/>
        </w:rPr>
        <w:t>。同时应做到防</w:t>
      </w:r>
      <w:r>
        <w:rPr>
          <w:rFonts w:ascii="SimSun" w:hAnsi="SimSun" w:eastAsia="SimSun" w:cs="SimSun"/>
          <w:sz w:val="24"/>
          <w:szCs w:val="24"/>
          <w:spacing w:val="-6"/>
        </w:rPr>
        <w:t>泄漏、跑冒等。</w:t>
      </w:r>
    </w:p>
    <w:p>
      <w:pPr>
        <w:ind w:left="591"/>
        <w:spacing w:before="18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）养殖场区内场区道路进行硬化处理。</w:t>
      </w:r>
    </w:p>
    <w:p>
      <w:pPr>
        <w:spacing w:line="233" w:lineRule="auto"/>
        <w:sectPr>
          <w:footerReference w:type="default" r:id="rId171"/>
          <w:pgSz w:w="11907" w:h="16839"/>
          <w:pgMar w:top="1442" w:right="1613" w:bottom="1235" w:left="1606" w:header="1064" w:footer="992" w:gutter="0"/>
        </w:sectPr>
        <w:rPr>
          <w:rFonts w:ascii="SimSun" w:hAnsi="SimSun" w:eastAsia="SimSun" w:cs="SimSun"/>
          <w:sz w:val="24"/>
          <w:szCs w:val="24"/>
        </w:rPr>
      </w:pPr>
    </w:p>
    <w:p>
      <w:pPr>
        <w:pStyle w:val="BodyText"/>
        <w:spacing w:line="292" w:lineRule="auto"/>
        <w:rPr/>
      </w:pPr>
      <w:r/>
    </w:p>
    <w:p>
      <w:pPr>
        <w:ind w:left="104"/>
        <w:spacing w:before="78" w:line="235" w:lineRule="auto"/>
        <w:rPr>
          <w:rFonts w:ascii="SimSun" w:hAnsi="SimSun" w:eastAsia="SimSun" w:cs="SimSun"/>
          <w:sz w:val="24"/>
          <w:szCs w:val="24"/>
        </w:rPr>
      </w:pPr>
      <w:r>
        <w:rPr>
          <w:rFonts w:ascii="Times New Roman" w:hAnsi="Times New Roman" w:eastAsia="Times New Roman" w:cs="Times New Roman"/>
          <w:sz w:val="24"/>
          <w:szCs w:val="24"/>
          <w:b/>
          <w:bCs/>
          <w:spacing w:val="-2"/>
        </w:rPr>
        <w:t>5.3.5 </w:t>
      </w:r>
      <w:r>
        <w:rPr>
          <w:rFonts w:ascii="SimSun" w:hAnsi="SimSun" w:eastAsia="SimSun" w:cs="SimSun"/>
          <w:sz w:val="24"/>
          <w:szCs w:val="24"/>
          <w:b/>
          <w:bCs/>
          <w:spacing w:val="-2"/>
        </w:rPr>
        <w:t>应急要求</w:t>
      </w:r>
    </w:p>
    <w:p>
      <w:pPr>
        <w:pStyle w:val="BodyText"/>
        <w:spacing w:line="341" w:lineRule="auto"/>
        <w:rPr/>
      </w:pPr>
      <w:r/>
    </w:p>
    <w:p>
      <w:pPr>
        <w:ind w:left="591"/>
        <w:spacing w:before="78"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）应急预案设立原则</w:t>
      </w:r>
    </w:p>
    <w:p>
      <w:pPr>
        <w:ind w:left="108" w:firstLine="479"/>
        <w:spacing w:before="163" w:line="360" w:lineRule="auto"/>
        <w:rPr>
          <w:rFonts w:ascii="SimSun" w:hAnsi="SimSun" w:eastAsia="SimSun" w:cs="SimSun"/>
          <w:sz w:val="24"/>
          <w:szCs w:val="24"/>
        </w:rPr>
      </w:pPr>
      <w:r>
        <w:rPr>
          <w:rFonts w:ascii="SimSun" w:hAnsi="SimSun" w:eastAsia="SimSun" w:cs="SimSun"/>
          <w:sz w:val="24"/>
          <w:szCs w:val="24"/>
          <w:spacing w:val="2"/>
        </w:rPr>
        <w:t>为确保企业安全生产及职工生命财产安全、防止突发性重大事故发生，并在</w:t>
      </w:r>
      <w:r>
        <w:rPr>
          <w:rFonts w:ascii="SimSun" w:hAnsi="SimSun" w:eastAsia="SimSun" w:cs="SimSun"/>
          <w:sz w:val="24"/>
          <w:szCs w:val="24"/>
          <w:spacing w:val="5"/>
        </w:rPr>
        <w:t xml:space="preserve"> </w:t>
      </w:r>
      <w:r>
        <w:rPr>
          <w:rFonts w:ascii="SimSun" w:hAnsi="SimSun" w:eastAsia="SimSun" w:cs="SimSun"/>
          <w:sz w:val="24"/>
          <w:szCs w:val="24"/>
          <w:spacing w:val="2"/>
        </w:rPr>
        <w:t>发生事故后能迅速有效、有条不紊地处理和控制事故扩大，把损失和危害减少到</w:t>
      </w:r>
      <w:r>
        <w:rPr>
          <w:rFonts w:ascii="SimSun" w:hAnsi="SimSun" w:eastAsia="SimSun" w:cs="SimSun"/>
          <w:sz w:val="24"/>
          <w:szCs w:val="24"/>
          <w:spacing w:val="3"/>
        </w:rPr>
        <w:t xml:space="preserve"> </w:t>
      </w:r>
      <w:r>
        <w:rPr>
          <w:rFonts w:ascii="SimSun" w:hAnsi="SimSun" w:eastAsia="SimSun" w:cs="SimSun"/>
          <w:sz w:val="24"/>
          <w:szCs w:val="24"/>
          <w:spacing w:val="3"/>
        </w:rPr>
        <w:t>最低程度，结合该企业实际、本着“自救为主</w:t>
      </w:r>
      <w:r>
        <w:rPr>
          <w:rFonts w:ascii="SimSun" w:hAnsi="SimSun" w:eastAsia="SimSun" w:cs="SimSun"/>
          <w:sz w:val="24"/>
          <w:szCs w:val="24"/>
          <w:spacing w:val="2"/>
        </w:rPr>
        <w:t>、外援为辅、统一指挥、当机立断”</w:t>
      </w:r>
      <w:r>
        <w:rPr>
          <w:rFonts w:ascii="SimSun" w:hAnsi="SimSun" w:eastAsia="SimSun" w:cs="SimSun"/>
          <w:sz w:val="24"/>
          <w:szCs w:val="24"/>
          <w:spacing w:val="-4"/>
        </w:rPr>
        <w:t>的原则，特设立应急预案。</w:t>
      </w:r>
    </w:p>
    <w:p>
      <w:pPr>
        <w:ind w:left="591"/>
        <w:spacing w:before="1"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）救援组织机构及职责</w:t>
      </w:r>
    </w:p>
    <w:p>
      <w:pPr>
        <w:ind w:left="125" w:right="250" w:firstLine="459"/>
        <w:spacing w:before="167" w:line="289" w:lineRule="auto"/>
        <w:rPr>
          <w:rFonts w:ascii="SimSun" w:hAnsi="SimSun" w:eastAsia="SimSun" w:cs="SimSun"/>
          <w:sz w:val="24"/>
          <w:szCs w:val="24"/>
        </w:rPr>
      </w:pPr>
      <w:r>
        <w:rPr>
          <w:rFonts w:ascii="SimSun" w:hAnsi="SimSun" w:eastAsia="SimSun" w:cs="SimSun"/>
          <w:sz w:val="24"/>
          <w:szCs w:val="24"/>
          <w:spacing w:val="3"/>
        </w:rPr>
        <w:t>①总指挥：负责应急救援预案的修改、制定，</w:t>
      </w:r>
      <w:r>
        <w:rPr>
          <w:rFonts w:ascii="SimSun" w:hAnsi="SimSun" w:eastAsia="SimSun" w:cs="SimSun"/>
          <w:sz w:val="24"/>
          <w:szCs w:val="24"/>
          <w:spacing w:val="2"/>
        </w:rPr>
        <w:t>救援预案启动命令和救援预案</w:t>
      </w:r>
      <w:r>
        <w:rPr>
          <w:rFonts w:ascii="SimSun" w:hAnsi="SimSun" w:eastAsia="SimSun" w:cs="SimSun"/>
          <w:sz w:val="24"/>
          <w:szCs w:val="24"/>
          <w:spacing w:val="-9"/>
        </w:rPr>
        <w:t>的终止命令。</w:t>
      </w:r>
    </w:p>
    <w:p>
      <w:pPr>
        <w:ind w:left="583"/>
        <w:spacing w:before="184" w:line="217" w:lineRule="auto"/>
        <w:rPr>
          <w:rFonts w:ascii="SimSun" w:hAnsi="SimSun" w:eastAsia="SimSun" w:cs="SimSun"/>
          <w:sz w:val="24"/>
          <w:szCs w:val="24"/>
        </w:rPr>
      </w:pPr>
      <w:r>
        <w:rPr>
          <w:rFonts w:ascii="SimSun" w:hAnsi="SimSun" w:eastAsia="SimSun" w:cs="SimSun"/>
          <w:sz w:val="24"/>
          <w:szCs w:val="24"/>
          <w:spacing w:val="-1"/>
        </w:rPr>
        <w:t>②副总指挥：在总指挥的领导下落实应急预案的</w:t>
      </w:r>
      <w:r>
        <w:rPr>
          <w:rFonts w:ascii="SimSun" w:hAnsi="SimSun" w:eastAsia="SimSun" w:cs="SimSun"/>
          <w:sz w:val="24"/>
          <w:szCs w:val="24"/>
          <w:spacing w:val="-2"/>
        </w:rPr>
        <w:t>命令和落实及执行情况。</w:t>
      </w:r>
    </w:p>
    <w:p>
      <w:pPr>
        <w:ind w:left="110" w:right="241" w:firstLine="473"/>
        <w:spacing w:before="186" w:line="313" w:lineRule="auto"/>
        <w:rPr>
          <w:rFonts w:ascii="SimSun" w:hAnsi="SimSun" w:eastAsia="SimSun" w:cs="SimSun"/>
          <w:sz w:val="24"/>
          <w:szCs w:val="24"/>
        </w:rPr>
      </w:pPr>
      <w:r>
        <w:rPr>
          <w:rFonts w:ascii="SimSun" w:hAnsi="SimSun" w:eastAsia="SimSun" w:cs="SimSun"/>
          <w:sz w:val="24"/>
          <w:szCs w:val="24"/>
          <w:spacing w:val="3"/>
        </w:rPr>
        <w:t>③应急小组：负责现场救援需详细分工；现场救助及应急事故处理；</w:t>
      </w:r>
      <w:r>
        <w:rPr>
          <w:rFonts w:ascii="SimSun" w:hAnsi="SimSun" w:eastAsia="SimSun" w:cs="SimSun"/>
          <w:sz w:val="24"/>
          <w:szCs w:val="24"/>
          <w:spacing w:val="2"/>
        </w:rPr>
        <w:t>现场人</w:t>
      </w:r>
      <w:r>
        <w:rPr>
          <w:rFonts w:ascii="SimSun" w:hAnsi="SimSun" w:eastAsia="SimSun" w:cs="SimSun"/>
          <w:sz w:val="24"/>
          <w:szCs w:val="24"/>
          <w:spacing w:val="2"/>
        </w:rPr>
        <w:t>员疏散，水、气、电供停情况；应急救援工作物资保障；现场人员的抢救工作；</w:t>
      </w:r>
      <w:r>
        <w:rPr>
          <w:rFonts w:ascii="SimSun" w:hAnsi="SimSun" w:eastAsia="SimSun" w:cs="SimSun"/>
          <w:sz w:val="24"/>
          <w:szCs w:val="24"/>
          <w:spacing w:val="-6"/>
        </w:rPr>
        <w:t>外部通讯联系。</w:t>
      </w:r>
    </w:p>
    <w:p>
      <w:pPr>
        <w:ind w:left="591"/>
        <w:spacing w:before="183"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）预案的启动</w:t>
      </w:r>
    </w:p>
    <w:p>
      <w:pPr>
        <w:ind w:left="103" w:right="172" w:firstLine="483"/>
        <w:spacing w:before="164" w:line="360" w:lineRule="auto"/>
        <w:rPr>
          <w:rFonts w:ascii="SimSun" w:hAnsi="SimSun" w:eastAsia="SimSun" w:cs="SimSun"/>
          <w:sz w:val="24"/>
          <w:szCs w:val="24"/>
        </w:rPr>
      </w:pPr>
      <w:r>
        <w:rPr>
          <w:rFonts w:ascii="SimSun" w:hAnsi="SimSun" w:eastAsia="SimSun" w:cs="SimSun"/>
          <w:sz w:val="24"/>
          <w:szCs w:val="24"/>
          <w:spacing w:val="2"/>
        </w:rPr>
        <w:t>预案的启动应在发生事故时马上向指挥部成员汇报情况，由指挥部下达预案</w:t>
      </w:r>
      <w:r>
        <w:rPr>
          <w:rFonts w:ascii="SimSun" w:hAnsi="SimSun" w:eastAsia="SimSun" w:cs="SimSun"/>
          <w:sz w:val="24"/>
          <w:szCs w:val="24"/>
          <w:spacing w:val="2"/>
        </w:rPr>
        <w:t>启动命令，接到命令后各方人员按照预案程序紧张有序的投入抢救及消防工作，</w:t>
      </w:r>
      <w:r>
        <w:rPr>
          <w:rFonts w:ascii="SimSun" w:hAnsi="SimSun" w:eastAsia="SimSun" w:cs="SimSun"/>
          <w:sz w:val="24"/>
          <w:szCs w:val="24"/>
          <w:spacing w:val="2"/>
        </w:rPr>
        <w:t>负责沟通人员向上级主管部门及安全部门和消防部门分别汇报，首先对事故现场</w:t>
      </w:r>
      <w:r>
        <w:rPr>
          <w:rFonts w:ascii="SimSun" w:hAnsi="SimSun" w:eastAsia="SimSun" w:cs="SimSun"/>
          <w:sz w:val="24"/>
          <w:szCs w:val="24"/>
          <w:spacing w:val="2"/>
        </w:rPr>
        <w:t>进行人员疏散及停止供电、供水系统。控制现场，采取应急措施，后勤供应保证</w:t>
      </w:r>
      <w:r>
        <w:rPr>
          <w:rFonts w:ascii="SimSun" w:hAnsi="SimSun" w:eastAsia="SimSun" w:cs="SimSun"/>
          <w:sz w:val="24"/>
          <w:szCs w:val="24"/>
          <w:spacing w:val="2"/>
        </w:rPr>
        <w:t>所需消防用具及安全保护物品供应及时，待事故现场处理后，由指挥部宣布终止</w:t>
      </w:r>
      <w:r>
        <w:rPr>
          <w:rFonts w:ascii="SimSun" w:hAnsi="SimSun" w:eastAsia="SimSun" w:cs="SimSun"/>
          <w:sz w:val="24"/>
          <w:szCs w:val="24"/>
          <w:spacing w:val="-2"/>
        </w:rPr>
        <w:t>预案的命令，组织人员对现场进行检查事故原因，同时由设备工艺人员进行</w:t>
      </w:r>
      <w:r>
        <w:rPr>
          <w:rFonts w:ascii="SimSun" w:hAnsi="SimSun" w:eastAsia="SimSun" w:cs="SimSun"/>
          <w:sz w:val="24"/>
          <w:szCs w:val="24"/>
          <w:spacing w:val="-3"/>
        </w:rPr>
        <w:t>抢修，</w:t>
      </w:r>
      <w:r>
        <w:rPr>
          <w:rFonts w:ascii="SimSun" w:hAnsi="SimSun" w:eastAsia="SimSun" w:cs="SimSun"/>
          <w:sz w:val="24"/>
          <w:szCs w:val="24"/>
          <w:spacing w:val="-7"/>
        </w:rPr>
        <w:t>恢复工作。</w:t>
      </w:r>
    </w:p>
    <w:p>
      <w:pPr>
        <w:ind w:left="591"/>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）事故发生后现场应急处理措施</w:t>
      </w:r>
    </w:p>
    <w:p>
      <w:pPr>
        <w:ind w:left="108" w:right="240" w:firstLine="476"/>
        <w:spacing w:before="164" w:line="313"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1"/>
        </w:rPr>
        <w:t>、现场指挥到达现场后，立即组织应急队员展开应急处置工作。同时向</w:t>
      </w:r>
      <w:r>
        <w:rPr>
          <w:rFonts w:ascii="SimSun" w:hAnsi="SimSun" w:eastAsia="SimSun" w:cs="SimSun"/>
          <w:sz w:val="24"/>
          <w:szCs w:val="24"/>
          <w:spacing w:val="-2"/>
        </w:rPr>
        <w:t>公司</w:t>
      </w:r>
      <w:r>
        <w:rPr>
          <w:rFonts w:ascii="SimSun" w:hAnsi="SimSun" w:eastAsia="SimSun" w:cs="SimSun"/>
          <w:sz w:val="24"/>
          <w:szCs w:val="24"/>
          <w:spacing w:val="2"/>
        </w:rPr>
        <w:t>指挥部预警，做好启动公司一级响应程序准备。向周边居民发出预警信息，同时</w:t>
      </w:r>
      <w:r>
        <w:rPr>
          <w:rFonts w:ascii="SimSun" w:hAnsi="SimSun" w:eastAsia="SimSun" w:cs="SimSun"/>
          <w:sz w:val="24"/>
          <w:szCs w:val="24"/>
          <w:spacing w:val="-6"/>
        </w:rPr>
        <w:t>向政府部门预警。</w:t>
      </w:r>
    </w:p>
    <w:p>
      <w:pPr>
        <w:ind w:left="106" w:right="253" w:firstLine="469"/>
        <w:spacing w:before="105" w:line="290" w:lineRule="auto"/>
        <w:rPr>
          <w:rFonts w:ascii="SimSun" w:hAnsi="SimSun" w:eastAsia="SimSun" w:cs="SimSun"/>
          <w:sz w:val="24"/>
          <w:szCs w:val="24"/>
        </w:rPr>
      </w:pPr>
      <w:r>
        <w:rPr>
          <w:rFonts w:ascii="Times New Roman" w:hAnsi="Times New Roman" w:eastAsia="Times New Roman" w:cs="Times New Roman"/>
          <w:sz w:val="24"/>
          <w:szCs w:val="24"/>
          <w:spacing w:val="-6"/>
        </w:rPr>
        <w:t>b</w:t>
      </w:r>
      <w:r>
        <w:rPr>
          <w:rFonts w:ascii="SimSun" w:hAnsi="SimSun" w:eastAsia="SimSun" w:cs="SimSun"/>
          <w:sz w:val="24"/>
          <w:szCs w:val="24"/>
          <w:spacing w:val="-6"/>
        </w:rPr>
        <w:t>、抢险人员到达现场后，</w:t>
      </w:r>
      <w:r>
        <w:rPr>
          <w:rFonts w:ascii="SimSun" w:hAnsi="SimSun" w:eastAsia="SimSun" w:cs="SimSun"/>
          <w:sz w:val="24"/>
          <w:szCs w:val="24"/>
          <w:spacing w:val="58"/>
        </w:rPr>
        <w:t xml:space="preserve"> </w:t>
      </w:r>
      <w:r>
        <w:rPr>
          <w:rFonts w:ascii="SimSun" w:hAnsi="SimSun" w:eastAsia="SimSun" w:cs="SimSun"/>
          <w:sz w:val="24"/>
          <w:szCs w:val="24"/>
          <w:spacing w:val="-6"/>
        </w:rPr>
        <w:t>佩戴好防护用品，利用堵漏工具进行现场堵漏</w:t>
      </w:r>
      <w:r>
        <w:rPr>
          <w:rFonts w:ascii="SimSun" w:hAnsi="SimSun" w:eastAsia="SimSun" w:cs="SimSun"/>
          <w:sz w:val="24"/>
          <w:szCs w:val="24"/>
          <w:spacing w:val="-7"/>
        </w:rPr>
        <w:t>，控</w:t>
      </w:r>
      <w:r>
        <w:rPr>
          <w:rFonts w:ascii="SimSun" w:hAnsi="SimSun" w:eastAsia="SimSun" w:cs="SimSun"/>
          <w:sz w:val="24"/>
          <w:szCs w:val="24"/>
          <w:spacing w:val="-8"/>
        </w:rPr>
        <w:t>制危险源。</w:t>
      </w:r>
    </w:p>
    <w:p>
      <w:pPr>
        <w:ind w:left="591"/>
        <w:spacing w:before="179"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）预案终止</w:t>
      </w:r>
    </w:p>
    <w:p>
      <w:pPr>
        <w:spacing w:line="234" w:lineRule="auto"/>
        <w:sectPr>
          <w:headerReference w:type="default" r:id="rId172"/>
          <w:footerReference w:type="default" r:id="rId173"/>
          <w:pgSz w:w="11907" w:h="16839"/>
          <w:pgMar w:top="1442" w:right="1458" w:bottom="1235" w:left="1606" w:header="1064" w:footer="992" w:gutter="0"/>
        </w:sectPr>
        <w:rPr>
          <w:rFonts w:ascii="SimSun" w:hAnsi="SimSun" w:eastAsia="SimSun" w:cs="SimSun"/>
          <w:sz w:val="24"/>
          <w:szCs w:val="24"/>
        </w:rPr>
      </w:pPr>
    </w:p>
    <w:p>
      <w:pPr>
        <w:ind w:left="135" w:right="117" w:firstLine="475"/>
        <w:spacing w:before="293" w:line="359" w:lineRule="auto"/>
        <w:rPr>
          <w:rFonts w:ascii="SimSun" w:hAnsi="SimSun" w:eastAsia="SimSun" w:cs="SimSun"/>
          <w:sz w:val="24"/>
          <w:szCs w:val="24"/>
        </w:rPr>
      </w:pPr>
      <w:r>
        <w:rPr>
          <w:rFonts w:ascii="SimSun" w:hAnsi="SimSun" w:eastAsia="SimSun" w:cs="SimSun"/>
          <w:sz w:val="24"/>
          <w:szCs w:val="24"/>
          <w:spacing w:val="3"/>
        </w:rPr>
        <w:t>对于事故进行检查确定无遗留隐患，绝对不会</w:t>
      </w:r>
      <w:r>
        <w:rPr>
          <w:rFonts w:ascii="SimSun" w:hAnsi="SimSun" w:eastAsia="SimSun" w:cs="SimSun"/>
          <w:sz w:val="24"/>
          <w:szCs w:val="24"/>
          <w:spacing w:val="2"/>
        </w:rPr>
        <w:t>重复出现不安全问题，并对事</w:t>
      </w:r>
      <w:r>
        <w:rPr>
          <w:rFonts w:ascii="SimSun" w:hAnsi="SimSun" w:eastAsia="SimSun" w:cs="SimSun"/>
          <w:sz w:val="24"/>
          <w:szCs w:val="24"/>
          <w:spacing w:val="-2"/>
        </w:rPr>
        <w:t>故现场经专家及相关部门检查后可终止应急</w:t>
      </w:r>
      <w:r>
        <w:rPr>
          <w:rFonts w:ascii="SimSun" w:hAnsi="SimSun" w:eastAsia="SimSun" w:cs="SimSun"/>
          <w:sz w:val="24"/>
          <w:szCs w:val="24"/>
          <w:spacing w:val="-3"/>
        </w:rPr>
        <w:t>预案。</w:t>
      </w:r>
    </w:p>
    <w:p>
      <w:pPr>
        <w:ind w:left="618"/>
        <w:spacing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）应急管理建议</w:t>
      </w:r>
    </w:p>
    <w:p>
      <w:pPr>
        <w:ind w:left="610"/>
        <w:spacing w:before="162" w:line="217" w:lineRule="auto"/>
        <w:rPr>
          <w:rFonts w:ascii="SimSun" w:hAnsi="SimSun" w:eastAsia="SimSun" w:cs="SimSun"/>
          <w:sz w:val="24"/>
          <w:szCs w:val="24"/>
        </w:rPr>
      </w:pPr>
      <w:r>
        <w:rPr>
          <w:rFonts w:ascii="SimSun" w:hAnsi="SimSun" w:eastAsia="SimSun" w:cs="SimSun"/>
          <w:sz w:val="24"/>
          <w:szCs w:val="24"/>
          <w:spacing w:val="-5"/>
        </w:rPr>
        <w:t>①建议加强公众教育和培训；</w:t>
      </w:r>
    </w:p>
    <w:p>
      <w:pPr>
        <w:ind w:left="131" w:right="111" w:firstLine="478"/>
        <w:spacing w:before="186" w:line="288" w:lineRule="auto"/>
        <w:rPr>
          <w:rFonts w:ascii="SimSun" w:hAnsi="SimSun" w:eastAsia="SimSun" w:cs="SimSun"/>
          <w:sz w:val="24"/>
          <w:szCs w:val="24"/>
        </w:rPr>
      </w:pPr>
      <w:r>
        <w:rPr>
          <w:rFonts w:ascii="SimSun" w:hAnsi="SimSun" w:eastAsia="SimSun" w:cs="SimSun"/>
          <w:sz w:val="24"/>
          <w:szCs w:val="24"/>
          <w:spacing w:val="3"/>
        </w:rPr>
        <w:t>②建议风险事故可能危及社会公众状态时，除通知上一级预</w:t>
      </w:r>
      <w:r>
        <w:rPr>
          <w:rFonts w:ascii="SimSun" w:hAnsi="SimSun" w:eastAsia="SimSun" w:cs="SimSun"/>
          <w:sz w:val="24"/>
          <w:szCs w:val="24"/>
          <w:spacing w:val="2"/>
        </w:rPr>
        <w:t>案启动外，采取</w:t>
      </w:r>
      <w:r>
        <w:rPr>
          <w:rFonts w:ascii="SimSun" w:hAnsi="SimSun" w:eastAsia="SimSun" w:cs="SimSun"/>
          <w:sz w:val="24"/>
          <w:szCs w:val="24"/>
          <w:spacing w:val="-3"/>
        </w:rPr>
        <w:t>通知无线电、电视和电话等方式发布事故有关信息；</w:t>
      </w:r>
    </w:p>
    <w:p>
      <w:pPr>
        <w:ind w:left="135" w:right="117" w:firstLine="474"/>
        <w:spacing w:before="183" w:line="289" w:lineRule="auto"/>
        <w:rPr>
          <w:rFonts w:ascii="SimSun" w:hAnsi="SimSun" w:eastAsia="SimSun" w:cs="SimSun"/>
          <w:sz w:val="24"/>
          <w:szCs w:val="24"/>
        </w:rPr>
      </w:pPr>
      <w:r>
        <w:rPr>
          <w:rFonts w:ascii="SimSun" w:hAnsi="SimSun" w:eastAsia="SimSun" w:cs="SimSun"/>
          <w:sz w:val="24"/>
          <w:szCs w:val="24"/>
          <w:spacing w:val="3"/>
        </w:rPr>
        <w:t>③建议危及社会公众的事故中止后，采取相应的</w:t>
      </w:r>
      <w:r>
        <w:rPr>
          <w:rFonts w:ascii="SimSun" w:hAnsi="SimSun" w:eastAsia="SimSun" w:cs="SimSun"/>
          <w:sz w:val="24"/>
          <w:szCs w:val="24"/>
          <w:spacing w:val="2"/>
        </w:rPr>
        <w:t>无线电、电视和报纸等方式</w:t>
      </w:r>
      <w:r>
        <w:rPr>
          <w:rFonts w:ascii="SimSun" w:hAnsi="SimSun" w:eastAsia="SimSun" w:cs="SimSun"/>
          <w:sz w:val="24"/>
          <w:szCs w:val="24"/>
          <w:spacing w:val="-3"/>
        </w:rPr>
        <w:t>发布事故应急状态终止有关信息。</w:t>
      </w:r>
    </w:p>
    <w:p>
      <w:pPr>
        <w:ind w:left="612"/>
        <w:spacing w:before="248" w:line="233" w:lineRule="auto"/>
        <w:rPr>
          <w:rFonts w:ascii="SimSun" w:hAnsi="SimSun" w:eastAsia="SimSun" w:cs="SimSun"/>
          <w:sz w:val="24"/>
          <w:szCs w:val="24"/>
        </w:rPr>
      </w:pPr>
      <w:r>
        <w:rPr>
          <w:rFonts w:ascii="SimSun" w:hAnsi="SimSun" w:eastAsia="SimSun" w:cs="SimSun"/>
          <w:sz w:val="24"/>
          <w:szCs w:val="24"/>
          <w:spacing w:val="-1"/>
        </w:rPr>
        <w:t>本项目环境风险应急预案的主要内容详见表</w:t>
      </w:r>
      <w:r>
        <w:rPr>
          <w:rFonts w:ascii="Times New Roman" w:hAnsi="Times New Roman" w:eastAsia="Times New Roman" w:cs="Times New Roman"/>
          <w:sz w:val="24"/>
          <w:szCs w:val="24"/>
          <w:spacing w:val="-1"/>
        </w:rPr>
        <w:t>5-17</w:t>
      </w:r>
      <w:r>
        <w:rPr>
          <w:rFonts w:ascii="SimSun" w:hAnsi="SimSun" w:eastAsia="SimSun" w:cs="SimSun"/>
          <w:sz w:val="24"/>
          <w:szCs w:val="24"/>
          <w:spacing w:val="-1"/>
        </w:rPr>
        <w:t>。</w:t>
      </w:r>
    </w:p>
    <w:p>
      <w:pPr>
        <w:ind w:left="2053"/>
        <w:spacing w:before="148" w:line="233" w:lineRule="auto"/>
        <w:rPr>
          <w:rFonts w:ascii="SimSun" w:hAnsi="SimSun" w:eastAsia="SimSun" w:cs="SimSun"/>
          <w:sz w:val="24"/>
          <w:szCs w:val="24"/>
        </w:rPr>
      </w:pPr>
      <w:r>
        <w:rPr>
          <w:rFonts w:ascii="SimSun" w:hAnsi="SimSun" w:eastAsia="SimSun" w:cs="SimSun"/>
          <w:sz w:val="24"/>
          <w:szCs w:val="24"/>
          <w:b/>
          <w:bCs/>
          <w:spacing w:val="-2"/>
        </w:rPr>
        <w:t>表</w:t>
      </w:r>
      <w:r>
        <w:rPr>
          <w:rFonts w:ascii="Times New Roman" w:hAnsi="Times New Roman" w:eastAsia="Times New Roman" w:cs="Times New Roman"/>
          <w:sz w:val="24"/>
          <w:szCs w:val="24"/>
          <w:b/>
          <w:bCs/>
          <w:spacing w:val="-2"/>
        </w:rPr>
        <w:t>5-17      </w:t>
      </w:r>
      <w:r>
        <w:rPr>
          <w:rFonts w:ascii="SimSun" w:hAnsi="SimSun" w:eastAsia="SimSun" w:cs="SimSun"/>
          <w:sz w:val="24"/>
          <w:szCs w:val="24"/>
          <w:b/>
          <w:bCs/>
          <w:spacing w:val="-2"/>
        </w:rPr>
        <w:t>本项目环境风险应急预案主要内容</w:t>
      </w:r>
    </w:p>
    <w:p>
      <w:pPr>
        <w:spacing w:line="53"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1"/>
        <w:gridCol w:w="2583"/>
        <w:gridCol w:w="5411"/>
      </w:tblGrid>
      <w:tr>
        <w:trPr>
          <w:trHeight w:val="319" w:hRule="atLeast"/>
        </w:trPr>
        <w:tc>
          <w:tcPr>
            <w:tcW w:w="741" w:type="dxa"/>
            <w:vAlign w:val="top"/>
            <w:tcBorders>
              <w:left w:val="nil"/>
              <w:top w:val="single" w:color="000000" w:sz="10" w:space="0"/>
            </w:tcBorders>
          </w:tcPr>
          <w:p>
            <w:pPr>
              <w:pStyle w:val="TableText"/>
              <w:ind w:left="172"/>
              <w:spacing w:before="55" w:line="222" w:lineRule="auto"/>
              <w:rPr/>
            </w:pPr>
            <w:r>
              <w:rPr>
                <w:b/>
                <w:bCs/>
                <w:spacing w:val="-4"/>
              </w:rPr>
              <w:t>序号</w:t>
            </w:r>
          </w:p>
        </w:tc>
        <w:tc>
          <w:tcPr>
            <w:tcW w:w="2583" w:type="dxa"/>
            <w:vAlign w:val="top"/>
            <w:tcBorders>
              <w:top w:val="single" w:color="000000" w:sz="10" w:space="0"/>
            </w:tcBorders>
          </w:tcPr>
          <w:p>
            <w:pPr>
              <w:pStyle w:val="TableText"/>
              <w:ind w:left="1090"/>
              <w:spacing w:before="55" w:line="221" w:lineRule="auto"/>
              <w:rPr/>
            </w:pPr>
            <w:r>
              <w:rPr>
                <w:b/>
                <w:bCs/>
                <w:spacing w:val="-5"/>
              </w:rPr>
              <w:t>项目</w:t>
            </w:r>
          </w:p>
        </w:tc>
        <w:tc>
          <w:tcPr>
            <w:tcW w:w="5411" w:type="dxa"/>
            <w:vAlign w:val="top"/>
            <w:tcBorders>
              <w:right w:val="nil"/>
              <w:top w:val="single" w:color="000000" w:sz="10" w:space="0"/>
            </w:tcBorders>
          </w:tcPr>
          <w:p>
            <w:pPr>
              <w:pStyle w:val="TableText"/>
              <w:ind w:left="2209"/>
              <w:spacing w:before="54" w:line="221" w:lineRule="auto"/>
              <w:rPr/>
            </w:pPr>
            <w:r>
              <w:rPr>
                <w:b/>
                <w:bCs/>
                <w:spacing w:val="-7"/>
              </w:rPr>
              <w:t>内容及要求</w:t>
            </w:r>
          </w:p>
        </w:tc>
      </w:tr>
      <w:tr>
        <w:trPr>
          <w:trHeight w:val="317" w:hRule="atLeast"/>
        </w:trPr>
        <w:tc>
          <w:tcPr>
            <w:tcW w:w="741" w:type="dxa"/>
            <w:vAlign w:val="top"/>
            <w:tcBorders>
              <w:left w:val="nil"/>
            </w:tcBorders>
          </w:tcPr>
          <w:p>
            <w:pPr>
              <w:ind w:left="348"/>
              <w:spacing w:before="87" w:line="21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83" w:type="dxa"/>
            <w:vAlign w:val="top"/>
          </w:tcPr>
          <w:p>
            <w:pPr>
              <w:pStyle w:val="TableText"/>
              <w:ind w:left="771"/>
              <w:spacing w:before="55" w:line="221" w:lineRule="auto"/>
              <w:rPr/>
            </w:pPr>
            <w:r>
              <w:rPr>
                <w:spacing w:val="-1"/>
              </w:rPr>
              <w:t>应急计划区</w:t>
            </w:r>
          </w:p>
        </w:tc>
        <w:tc>
          <w:tcPr>
            <w:tcW w:w="5411" w:type="dxa"/>
            <w:vAlign w:val="top"/>
            <w:tcBorders>
              <w:right w:val="nil"/>
            </w:tcBorders>
          </w:tcPr>
          <w:p>
            <w:pPr>
              <w:pStyle w:val="TableText"/>
              <w:ind w:left="819"/>
              <w:spacing w:before="55" w:line="221" w:lineRule="auto"/>
              <w:rPr/>
            </w:pPr>
            <w:r>
              <w:rPr>
                <w:spacing w:val="-1"/>
              </w:rPr>
              <w:t>在泄漏现场尽量的保护周围环境不受影响</w:t>
            </w:r>
          </w:p>
        </w:tc>
      </w:tr>
      <w:tr>
        <w:trPr>
          <w:trHeight w:val="315" w:hRule="atLeast"/>
        </w:trPr>
        <w:tc>
          <w:tcPr>
            <w:tcW w:w="741" w:type="dxa"/>
            <w:vAlign w:val="top"/>
            <w:tcBorders>
              <w:left w:val="nil"/>
            </w:tcBorders>
          </w:tcPr>
          <w:p>
            <w:pPr>
              <w:ind w:left="328"/>
              <w:spacing w:before="87" w:line="21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83" w:type="dxa"/>
            <w:vAlign w:val="top"/>
          </w:tcPr>
          <w:p>
            <w:pPr>
              <w:pStyle w:val="TableText"/>
              <w:ind w:left="351"/>
              <w:spacing w:before="54" w:line="220" w:lineRule="auto"/>
              <w:rPr/>
            </w:pPr>
            <w:r>
              <w:rPr>
                <w:spacing w:val="-1"/>
              </w:rPr>
              <w:t>应急组织机构、人员</w:t>
            </w:r>
          </w:p>
        </w:tc>
        <w:tc>
          <w:tcPr>
            <w:tcW w:w="5411" w:type="dxa"/>
            <w:vAlign w:val="top"/>
            <w:tcBorders>
              <w:right w:val="nil"/>
            </w:tcBorders>
          </w:tcPr>
          <w:p>
            <w:pPr>
              <w:pStyle w:val="TableText"/>
              <w:ind w:left="713"/>
              <w:spacing w:before="54" w:line="220" w:lineRule="auto"/>
              <w:rPr/>
            </w:pPr>
            <w:r>
              <w:rPr>
                <w:spacing w:val="-1"/>
              </w:rPr>
              <w:t>在泄漏现场尽快地召集救援组织机构和人员</w:t>
            </w:r>
          </w:p>
        </w:tc>
      </w:tr>
      <w:tr>
        <w:trPr>
          <w:trHeight w:val="315" w:hRule="atLeast"/>
        </w:trPr>
        <w:tc>
          <w:tcPr>
            <w:tcW w:w="741" w:type="dxa"/>
            <w:vAlign w:val="top"/>
            <w:tcBorders>
              <w:left w:val="nil"/>
            </w:tcBorders>
          </w:tcPr>
          <w:p>
            <w:pPr>
              <w:ind w:left="332"/>
              <w:spacing w:before="8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83" w:type="dxa"/>
            <w:vAlign w:val="top"/>
          </w:tcPr>
          <w:p>
            <w:pPr>
              <w:pStyle w:val="TableText"/>
              <w:ind w:left="459"/>
              <w:spacing w:before="55" w:line="219" w:lineRule="auto"/>
              <w:rPr/>
            </w:pPr>
            <w:r>
              <w:rPr>
                <w:spacing w:val="-1"/>
              </w:rPr>
              <w:t>预案分级响应条件</w:t>
            </w:r>
          </w:p>
        </w:tc>
        <w:tc>
          <w:tcPr>
            <w:tcW w:w="5411" w:type="dxa"/>
            <w:vAlign w:val="top"/>
            <w:tcBorders>
              <w:right w:val="nil"/>
            </w:tcBorders>
          </w:tcPr>
          <w:p>
            <w:pPr>
              <w:pStyle w:val="TableText"/>
              <w:ind w:left="715"/>
              <w:spacing w:before="55" w:line="219" w:lineRule="auto"/>
              <w:rPr/>
            </w:pPr>
            <w:r>
              <w:rPr>
                <w:spacing w:val="-1"/>
              </w:rPr>
              <w:t>规定预案的级别和分级做出不同的处理措施</w:t>
            </w:r>
          </w:p>
        </w:tc>
      </w:tr>
      <w:tr>
        <w:trPr>
          <w:trHeight w:val="315" w:hRule="atLeast"/>
        </w:trPr>
        <w:tc>
          <w:tcPr>
            <w:tcW w:w="741" w:type="dxa"/>
            <w:vAlign w:val="top"/>
            <w:tcBorders>
              <w:left w:val="nil"/>
            </w:tcBorders>
          </w:tcPr>
          <w:p>
            <w:pPr>
              <w:ind w:left="327"/>
              <w:spacing w:before="90" w:line="21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83" w:type="dxa"/>
            <w:vAlign w:val="top"/>
          </w:tcPr>
          <w:p>
            <w:pPr>
              <w:pStyle w:val="TableText"/>
              <w:ind w:left="666"/>
              <w:spacing w:before="58" w:line="217" w:lineRule="auto"/>
              <w:rPr/>
            </w:pPr>
            <w:r>
              <w:rPr>
                <w:spacing w:val="-1"/>
              </w:rPr>
              <w:t>应急救援保障</w:t>
            </w:r>
          </w:p>
        </w:tc>
        <w:tc>
          <w:tcPr>
            <w:tcW w:w="5411" w:type="dxa"/>
            <w:vAlign w:val="top"/>
            <w:tcBorders>
              <w:right w:val="nil"/>
            </w:tcBorders>
          </w:tcPr>
          <w:p>
            <w:pPr>
              <w:pStyle w:val="TableText"/>
              <w:ind w:left="1146"/>
              <w:spacing w:before="58" w:line="217" w:lineRule="auto"/>
              <w:rPr/>
            </w:pPr>
            <w:r>
              <w:rPr>
                <w:spacing w:val="-1"/>
              </w:rPr>
              <w:t>随时准备应急泄漏的设备与器材等</w:t>
            </w:r>
          </w:p>
        </w:tc>
      </w:tr>
      <w:tr>
        <w:trPr>
          <w:trHeight w:val="315" w:hRule="atLeast"/>
        </w:trPr>
        <w:tc>
          <w:tcPr>
            <w:tcW w:w="741" w:type="dxa"/>
            <w:vAlign w:val="top"/>
            <w:tcBorders>
              <w:left w:val="nil"/>
            </w:tcBorders>
          </w:tcPr>
          <w:p>
            <w:pPr>
              <w:ind w:left="334"/>
              <w:spacing w:before="92"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83" w:type="dxa"/>
            <w:vAlign w:val="top"/>
          </w:tcPr>
          <w:p>
            <w:pPr>
              <w:pStyle w:val="TableText"/>
              <w:ind w:left="350"/>
              <w:spacing w:before="59" w:line="216" w:lineRule="auto"/>
              <w:rPr/>
            </w:pPr>
            <w:r>
              <w:rPr>
                <w:spacing w:val="-1"/>
              </w:rPr>
              <w:t>报警、通讯联络方式</w:t>
            </w:r>
          </w:p>
        </w:tc>
        <w:tc>
          <w:tcPr>
            <w:tcW w:w="5411" w:type="dxa"/>
            <w:vAlign w:val="top"/>
            <w:tcBorders>
              <w:right w:val="nil"/>
            </w:tcBorders>
          </w:tcPr>
          <w:p>
            <w:pPr>
              <w:pStyle w:val="TableText"/>
              <w:ind w:left="1659"/>
              <w:spacing w:before="59" w:line="216" w:lineRule="auto"/>
              <w:rPr/>
            </w:pPr>
            <w:r>
              <w:rPr>
                <w:spacing w:val="-1"/>
              </w:rPr>
              <w:t>在泄漏现场尽快地报警</w:t>
            </w:r>
          </w:p>
        </w:tc>
      </w:tr>
      <w:tr>
        <w:trPr>
          <w:trHeight w:val="626" w:hRule="atLeast"/>
        </w:trPr>
        <w:tc>
          <w:tcPr>
            <w:tcW w:w="741" w:type="dxa"/>
            <w:vAlign w:val="top"/>
            <w:tcBorders>
              <w:left w:val="nil"/>
            </w:tcBorders>
          </w:tcPr>
          <w:p>
            <w:pPr>
              <w:ind w:left="333"/>
              <w:spacing w:before="249"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83" w:type="dxa"/>
            <w:vAlign w:val="top"/>
          </w:tcPr>
          <w:p>
            <w:pPr>
              <w:pStyle w:val="TableText"/>
              <w:ind w:left="665" w:right="139" w:hanging="525"/>
              <w:spacing w:before="60" w:line="244" w:lineRule="auto"/>
              <w:rPr/>
            </w:pPr>
            <w:r>
              <w:rPr>
                <w:spacing w:val="-2"/>
              </w:rPr>
              <w:t>应急环境监测、抢险、救</w:t>
            </w:r>
            <w:r>
              <w:rPr>
                <w:spacing w:val="-1"/>
              </w:rPr>
              <w:t>援及控制措施</w:t>
            </w:r>
          </w:p>
        </w:tc>
        <w:tc>
          <w:tcPr>
            <w:tcW w:w="5411" w:type="dxa"/>
            <w:vAlign w:val="top"/>
            <w:tcBorders>
              <w:right w:val="nil"/>
            </w:tcBorders>
          </w:tcPr>
          <w:p>
            <w:pPr>
              <w:pStyle w:val="TableText"/>
              <w:ind w:left="139"/>
              <w:spacing w:before="60" w:line="221" w:lineRule="auto"/>
              <w:rPr/>
            </w:pPr>
            <w:r>
              <w:rPr>
                <w:spacing w:val="-1"/>
              </w:rPr>
              <w:t>由专业队伍负责对事故现场进行侦查检测、对</w:t>
            </w:r>
            <w:r>
              <w:rPr>
                <w:spacing w:val="-2"/>
              </w:rPr>
              <w:t>事故性质、</w:t>
            </w:r>
          </w:p>
          <w:p>
            <w:pPr>
              <w:pStyle w:val="TableText"/>
              <w:ind w:left="1767"/>
              <w:spacing w:before="61" w:line="213" w:lineRule="auto"/>
              <w:rPr/>
            </w:pPr>
            <w:r>
              <w:rPr>
                <w:spacing w:val="-1"/>
              </w:rPr>
              <w:t>参数与后果进行评估</w:t>
            </w:r>
          </w:p>
        </w:tc>
      </w:tr>
      <w:tr>
        <w:trPr>
          <w:trHeight w:val="628" w:hRule="atLeast"/>
        </w:trPr>
        <w:tc>
          <w:tcPr>
            <w:tcW w:w="741" w:type="dxa"/>
            <w:vAlign w:val="top"/>
            <w:tcBorders>
              <w:left w:val="nil"/>
            </w:tcBorders>
          </w:tcPr>
          <w:p>
            <w:pPr>
              <w:ind w:left="331"/>
              <w:spacing w:before="255"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83" w:type="dxa"/>
            <w:vAlign w:val="top"/>
          </w:tcPr>
          <w:p>
            <w:pPr>
              <w:pStyle w:val="TableText"/>
              <w:ind w:left="351" w:right="268" w:hanging="105"/>
              <w:spacing w:before="67" w:line="242" w:lineRule="auto"/>
              <w:rPr/>
            </w:pPr>
            <w:r>
              <w:rPr>
                <w:spacing w:val="-4"/>
              </w:rPr>
              <w:t>应急检测、防护措施、</w:t>
            </w:r>
            <w:r>
              <w:rPr>
                <w:spacing w:val="-1"/>
              </w:rPr>
              <w:t>清除泄漏措施和器材</w:t>
            </w:r>
          </w:p>
        </w:tc>
        <w:tc>
          <w:tcPr>
            <w:tcW w:w="5411" w:type="dxa"/>
            <w:vAlign w:val="top"/>
            <w:tcBorders>
              <w:right w:val="nil"/>
            </w:tcBorders>
          </w:tcPr>
          <w:p>
            <w:pPr>
              <w:pStyle w:val="TableText"/>
              <w:ind w:left="114"/>
              <w:spacing w:before="222" w:line="221" w:lineRule="auto"/>
              <w:rPr/>
            </w:pPr>
            <w:r>
              <w:rPr>
                <w:spacing w:val="-3"/>
              </w:rPr>
              <w:t>事故现场控制泄漏区域，控制和清除污染措施及相应设备</w:t>
            </w:r>
          </w:p>
        </w:tc>
      </w:tr>
      <w:tr>
        <w:trPr>
          <w:trHeight w:val="625" w:hRule="atLeast"/>
        </w:trPr>
        <w:tc>
          <w:tcPr>
            <w:tcW w:w="741" w:type="dxa"/>
            <w:vAlign w:val="top"/>
            <w:tcBorders>
              <w:left w:val="nil"/>
            </w:tcBorders>
          </w:tcPr>
          <w:p>
            <w:pPr>
              <w:ind w:left="336"/>
              <w:spacing w:before="255"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583" w:type="dxa"/>
            <w:vAlign w:val="top"/>
          </w:tcPr>
          <w:p>
            <w:pPr>
              <w:pStyle w:val="TableText"/>
              <w:ind w:left="664" w:right="268" w:hanging="417"/>
              <w:spacing w:before="66" w:line="241" w:lineRule="auto"/>
              <w:rPr/>
            </w:pPr>
            <w:r>
              <w:rPr>
                <w:spacing w:val="-4"/>
              </w:rPr>
              <w:t>人员紧急撤散、疏散、</w:t>
            </w:r>
            <w:r>
              <w:rPr>
                <w:spacing w:val="-1"/>
              </w:rPr>
              <w:t>撤离组织计划</w:t>
            </w:r>
          </w:p>
        </w:tc>
        <w:tc>
          <w:tcPr>
            <w:tcW w:w="5411" w:type="dxa"/>
            <w:vAlign w:val="top"/>
            <w:tcBorders>
              <w:right w:val="nil"/>
            </w:tcBorders>
          </w:tcPr>
          <w:p>
            <w:pPr>
              <w:pStyle w:val="TableText"/>
              <w:ind w:left="187" w:right="182"/>
              <w:spacing w:before="66" w:line="241" w:lineRule="auto"/>
              <w:rPr/>
            </w:pPr>
            <w:r>
              <w:rPr/>
              <w:t>事故现场受事故影响的区域人员及公众对毒物</w:t>
            </w:r>
            <w:r>
              <w:rPr>
                <w:spacing w:val="-1"/>
              </w:rPr>
              <w:t>应急剂量</w:t>
            </w:r>
            <w:r>
              <w:rPr/>
              <w:t>控制规定，撤离组织计划及救护，医疗救护与公</w:t>
            </w:r>
            <w:r>
              <w:rPr>
                <w:spacing w:val="-1"/>
              </w:rPr>
              <w:t>众健康</w:t>
            </w:r>
          </w:p>
        </w:tc>
      </w:tr>
      <w:tr>
        <w:trPr>
          <w:trHeight w:val="626" w:hRule="atLeast"/>
        </w:trPr>
        <w:tc>
          <w:tcPr>
            <w:tcW w:w="741" w:type="dxa"/>
            <w:vAlign w:val="top"/>
            <w:tcBorders>
              <w:left w:val="nil"/>
            </w:tcBorders>
          </w:tcPr>
          <w:p>
            <w:pPr>
              <w:ind w:left="332"/>
              <w:spacing w:before="259"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583" w:type="dxa"/>
            <w:vAlign w:val="top"/>
          </w:tcPr>
          <w:p>
            <w:pPr>
              <w:pStyle w:val="TableText"/>
              <w:ind w:left="878" w:right="131" w:hanging="738"/>
              <w:spacing w:before="69"/>
              <w:rPr/>
            </w:pPr>
            <w:r>
              <w:rPr>
                <w:spacing w:val="-1"/>
              </w:rPr>
              <w:t>事故应急救援关闭程序与</w:t>
            </w:r>
            <w:r>
              <w:rPr>
                <w:spacing w:val="-2"/>
              </w:rPr>
              <w:t>恢复措施</w:t>
            </w:r>
          </w:p>
        </w:tc>
        <w:tc>
          <w:tcPr>
            <w:tcW w:w="5411" w:type="dxa"/>
            <w:vAlign w:val="top"/>
            <w:tcBorders>
              <w:right w:val="nil"/>
            </w:tcBorders>
          </w:tcPr>
          <w:p>
            <w:pPr>
              <w:pStyle w:val="TableText"/>
              <w:ind w:left="115"/>
              <w:spacing w:before="70" w:line="221" w:lineRule="auto"/>
              <w:rPr/>
            </w:pPr>
            <w:r>
              <w:rPr/>
              <w:t>规定应急状态终止程序，事故现场妥善处理，</w:t>
            </w:r>
            <w:r>
              <w:rPr>
                <w:spacing w:val="-1"/>
              </w:rPr>
              <w:t>恢复措施，</w:t>
            </w:r>
          </w:p>
          <w:p>
            <w:pPr>
              <w:pStyle w:val="TableText"/>
              <w:ind w:left="937"/>
              <w:spacing w:before="61" w:line="205" w:lineRule="auto"/>
              <w:rPr/>
            </w:pPr>
            <w:r>
              <w:rPr>
                <w:spacing w:val="-1"/>
              </w:rPr>
              <w:t>临界区域解除事故警戒及善后恢复措施</w:t>
            </w:r>
          </w:p>
        </w:tc>
      </w:tr>
      <w:tr>
        <w:trPr>
          <w:trHeight w:val="315" w:hRule="atLeast"/>
        </w:trPr>
        <w:tc>
          <w:tcPr>
            <w:tcW w:w="741" w:type="dxa"/>
            <w:vAlign w:val="top"/>
            <w:tcBorders>
              <w:left w:val="nil"/>
            </w:tcBorders>
          </w:tcPr>
          <w:p>
            <w:pPr>
              <w:ind w:left="295"/>
              <w:spacing w:before="105" w:line="19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583" w:type="dxa"/>
            <w:vAlign w:val="top"/>
          </w:tcPr>
          <w:p>
            <w:pPr>
              <w:pStyle w:val="TableText"/>
              <w:ind w:left="666"/>
              <w:spacing w:before="72" w:line="204" w:lineRule="auto"/>
              <w:rPr/>
            </w:pPr>
            <w:r>
              <w:rPr>
                <w:spacing w:val="-1"/>
              </w:rPr>
              <w:t>应急培训计划</w:t>
            </w:r>
          </w:p>
        </w:tc>
        <w:tc>
          <w:tcPr>
            <w:tcW w:w="5411" w:type="dxa"/>
            <w:vAlign w:val="top"/>
            <w:tcBorders>
              <w:right w:val="nil"/>
            </w:tcBorders>
          </w:tcPr>
          <w:p>
            <w:pPr>
              <w:pStyle w:val="TableText"/>
              <w:ind w:left="1345"/>
              <w:spacing w:before="72" w:line="204" w:lineRule="auto"/>
              <w:rPr/>
            </w:pPr>
            <w:r>
              <w:rPr>
                <w:spacing w:val="-1"/>
              </w:rPr>
              <w:t>平时安排工作人员培训及演练</w:t>
            </w:r>
          </w:p>
        </w:tc>
      </w:tr>
      <w:tr>
        <w:trPr>
          <w:trHeight w:val="341" w:hRule="atLeast"/>
        </w:trPr>
        <w:tc>
          <w:tcPr>
            <w:tcW w:w="741" w:type="dxa"/>
            <w:vAlign w:val="top"/>
            <w:tcBorders>
              <w:left w:val="nil"/>
              <w:bottom w:val="single" w:color="000000" w:sz="10" w:space="0"/>
            </w:tcBorders>
          </w:tcPr>
          <w:p>
            <w:pPr>
              <w:ind w:left="300"/>
              <w:spacing w:before="107" w:line="22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2583" w:type="dxa"/>
            <w:vAlign w:val="top"/>
            <w:tcBorders>
              <w:bottom w:val="single" w:color="000000" w:sz="10" w:space="0"/>
            </w:tcBorders>
          </w:tcPr>
          <w:p>
            <w:pPr>
              <w:pStyle w:val="TableText"/>
              <w:ind w:left="567"/>
              <w:spacing w:before="74" w:line="221" w:lineRule="auto"/>
              <w:rPr/>
            </w:pPr>
            <w:r>
              <w:rPr>
                <w:spacing w:val="-2"/>
              </w:rPr>
              <w:t>公众教育和信息</w:t>
            </w:r>
          </w:p>
        </w:tc>
        <w:tc>
          <w:tcPr>
            <w:tcW w:w="5411" w:type="dxa"/>
            <w:vAlign w:val="top"/>
            <w:tcBorders>
              <w:right w:val="nil"/>
              <w:bottom w:val="single" w:color="000000" w:sz="10" w:space="0"/>
            </w:tcBorders>
          </w:tcPr>
          <w:p>
            <w:pPr>
              <w:pStyle w:val="TableText"/>
              <w:ind w:left="504"/>
              <w:spacing w:before="74" w:line="220" w:lineRule="auto"/>
              <w:rPr/>
            </w:pPr>
            <w:r>
              <w:rPr>
                <w:spacing w:val="-1"/>
              </w:rPr>
              <w:t>对邻近地区开展公众教育、培训和发布有关信息</w:t>
            </w:r>
          </w:p>
        </w:tc>
      </w:tr>
    </w:tbl>
    <w:p>
      <w:pPr>
        <w:pStyle w:val="BodyText"/>
        <w:spacing w:line="294" w:lineRule="auto"/>
        <w:rPr/>
      </w:pPr>
      <w:r/>
    </w:p>
    <w:p>
      <w:pPr>
        <w:ind w:left="130"/>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5.3.6 </w:t>
      </w:r>
      <w:r>
        <w:rPr>
          <w:rFonts w:ascii="SimSun" w:hAnsi="SimSun" w:eastAsia="SimSun" w:cs="SimSun"/>
          <w:sz w:val="24"/>
          <w:szCs w:val="24"/>
          <w:b/>
          <w:bCs/>
          <w:spacing w:val="-2"/>
        </w:rPr>
        <w:t>分析结论</w:t>
      </w:r>
    </w:p>
    <w:p>
      <w:pPr>
        <w:pStyle w:val="BodyText"/>
        <w:spacing w:line="259" w:lineRule="auto"/>
        <w:rPr/>
      </w:pPr>
      <w:r/>
    </w:p>
    <w:p>
      <w:pPr>
        <w:ind w:left="132" w:right="117" w:firstLine="481"/>
        <w:spacing w:before="79" w:line="360" w:lineRule="auto"/>
        <w:jc w:val="both"/>
        <w:rPr>
          <w:rFonts w:ascii="SimSun" w:hAnsi="SimSun" w:eastAsia="SimSun" w:cs="SimSun"/>
          <w:sz w:val="24"/>
          <w:szCs w:val="24"/>
        </w:rPr>
      </w:pPr>
      <w:r>
        <w:rPr>
          <w:rFonts w:ascii="SimSun" w:hAnsi="SimSun" w:eastAsia="SimSun" w:cs="SimSun"/>
          <w:sz w:val="24"/>
          <w:szCs w:val="24"/>
          <w:spacing w:val="2"/>
        </w:rPr>
        <w:t>综上所述，本项目存在一定的风险，风险度在可接受的范围以内。企业需从</w:t>
      </w:r>
      <w:r>
        <w:rPr>
          <w:rFonts w:ascii="SimSun" w:hAnsi="SimSun" w:eastAsia="SimSun" w:cs="SimSun"/>
          <w:sz w:val="24"/>
          <w:szCs w:val="24"/>
          <w:spacing w:val="2"/>
        </w:rPr>
        <w:t>设备的采用到严格安全管理系统的建立、安全部门的审核等方面提出行之有效的</w:t>
      </w:r>
      <w:r>
        <w:rPr>
          <w:rFonts w:ascii="SimSun" w:hAnsi="SimSun" w:eastAsia="SimSun" w:cs="SimSun"/>
          <w:sz w:val="24"/>
          <w:szCs w:val="24"/>
          <w:spacing w:val="2"/>
        </w:rPr>
        <w:t>方案。为防患于未然，杜绝事故的发生，给本项目正常运营创造必要条件，把本</w:t>
      </w:r>
      <w:r>
        <w:rPr>
          <w:rFonts w:ascii="SimSun" w:hAnsi="SimSun" w:eastAsia="SimSun" w:cs="SimSun"/>
          <w:sz w:val="24"/>
          <w:szCs w:val="24"/>
          <w:spacing w:val="-2"/>
        </w:rPr>
        <w:t>项目风险事故发生概率及影响危害程度降到最低。</w:t>
      </w:r>
    </w:p>
    <w:p>
      <w:pPr>
        <w:ind w:left="612"/>
        <w:spacing w:before="2" w:line="231" w:lineRule="auto"/>
        <w:rPr>
          <w:rFonts w:ascii="SimSun" w:hAnsi="SimSun" w:eastAsia="SimSun" w:cs="SimSun"/>
          <w:sz w:val="24"/>
          <w:szCs w:val="24"/>
        </w:rPr>
      </w:pPr>
      <w:r>
        <w:rPr>
          <w:rFonts w:ascii="SimSun" w:hAnsi="SimSun" w:eastAsia="SimSun" w:cs="SimSun"/>
          <w:sz w:val="24"/>
          <w:szCs w:val="24"/>
          <w:spacing w:val="-2"/>
        </w:rPr>
        <w:t>本项目风险评价自查表详见表</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2"/>
        </w:rPr>
        <w:t>5-18</w:t>
      </w:r>
      <w:r>
        <w:rPr>
          <w:rFonts w:ascii="SimSun" w:hAnsi="SimSun" w:eastAsia="SimSun" w:cs="SimSun"/>
          <w:sz w:val="24"/>
          <w:szCs w:val="24"/>
          <w:spacing w:val="-2"/>
        </w:rPr>
        <w:t>。</w:t>
      </w:r>
    </w:p>
    <w:p>
      <w:pPr>
        <w:spacing w:line="231" w:lineRule="auto"/>
        <w:sectPr>
          <w:headerReference w:type="default" r:id="rId141"/>
          <w:footerReference w:type="default" r:id="rId174"/>
          <w:pgSz w:w="11907" w:h="16839"/>
          <w:pgMar w:top="1442" w:right="1591" w:bottom="1235" w:left="1579" w:header="1064" w:footer="992" w:gutter="0"/>
        </w:sectPr>
        <w:rPr>
          <w:rFonts w:ascii="SimSun" w:hAnsi="SimSun" w:eastAsia="SimSun" w:cs="SimSun"/>
          <w:sz w:val="24"/>
          <w:szCs w:val="24"/>
        </w:rPr>
      </w:pPr>
    </w:p>
    <w:p>
      <w:pPr>
        <w:pStyle w:val="BodyText"/>
        <w:spacing w:line="292" w:lineRule="auto"/>
        <w:rPr/>
      </w:pPr>
      <w:r/>
    </w:p>
    <w:p>
      <w:pPr>
        <w:ind w:left="2082"/>
        <w:spacing w:before="78"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5-18    </w:t>
      </w:r>
      <w:r>
        <w:rPr>
          <w:rFonts w:ascii="SimSun" w:hAnsi="SimSun" w:eastAsia="SimSun" w:cs="SimSun"/>
          <w:sz w:val="24"/>
          <w:szCs w:val="24"/>
          <w:b/>
          <w:bCs/>
          <w:spacing w:val="-2"/>
        </w:rPr>
        <w:t>建设项目环境风险简单分析内容表</w:t>
      </w:r>
    </w:p>
    <w:p>
      <w:pPr>
        <w:spacing w:line="52"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64"/>
        <w:gridCol w:w="1176"/>
        <w:gridCol w:w="1956"/>
        <w:gridCol w:w="1177"/>
        <w:gridCol w:w="1426"/>
        <w:gridCol w:w="1236"/>
      </w:tblGrid>
      <w:tr>
        <w:trPr>
          <w:trHeight w:val="318" w:hRule="atLeast"/>
        </w:trPr>
        <w:tc>
          <w:tcPr>
            <w:tcW w:w="1764" w:type="dxa"/>
            <w:vAlign w:val="top"/>
            <w:tcBorders>
              <w:left w:val="nil"/>
              <w:top w:val="single" w:color="000000" w:sz="10" w:space="0"/>
            </w:tcBorders>
          </w:tcPr>
          <w:p>
            <w:pPr>
              <w:pStyle w:val="TableText"/>
              <w:ind w:left="267"/>
              <w:spacing w:before="55" w:line="221" w:lineRule="auto"/>
              <w:rPr/>
            </w:pPr>
            <w:r>
              <w:rPr>
                <w:b/>
                <w:bCs/>
                <w:spacing w:val="-3"/>
              </w:rPr>
              <w:t>建设项目名称</w:t>
            </w:r>
          </w:p>
        </w:tc>
        <w:tc>
          <w:tcPr>
            <w:tcW w:w="6971" w:type="dxa"/>
            <w:vAlign w:val="top"/>
            <w:gridSpan w:val="5"/>
            <w:tcBorders>
              <w:right w:val="nil"/>
              <w:top w:val="single" w:color="000000" w:sz="10" w:space="0"/>
            </w:tcBorders>
          </w:tcPr>
          <w:p>
            <w:pPr>
              <w:pStyle w:val="TableText"/>
              <w:ind w:left="432"/>
              <w:spacing w:before="55" w:line="220" w:lineRule="auto"/>
              <w:rPr/>
            </w:pPr>
            <w:r>
              <w:rPr>
                <w:b/>
                <w:bCs/>
                <w:spacing w:val="-2"/>
              </w:rPr>
              <w:t>锡林郭勒盟牧林农机服务有限责任公司肉牛育肥养殖基地建设项目</w:t>
            </w:r>
          </w:p>
        </w:tc>
      </w:tr>
      <w:tr>
        <w:trPr>
          <w:trHeight w:val="625" w:hRule="atLeast"/>
        </w:trPr>
        <w:tc>
          <w:tcPr>
            <w:tcW w:w="1764" w:type="dxa"/>
            <w:vAlign w:val="top"/>
            <w:tcBorders>
              <w:left w:val="nil"/>
            </w:tcBorders>
          </w:tcPr>
          <w:p>
            <w:pPr>
              <w:pStyle w:val="TableText"/>
              <w:ind w:left="478"/>
              <w:spacing w:before="209" w:line="222" w:lineRule="auto"/>
              <w:rPr/>
            </w:pPr>
            <w:r>
              <w:rPr>
                <w:spacing w:val="-2"/>
              </w:rPr>
              <w:t>建设地点</w:t>
            </w:r>
          </w:p>
        </w:tc>
        <w:tc>
          <w:tcPr>
            <w:tcW w:w="1176" w:type="dxa"/>
            <w:vAlign w:val="top"/>
          </w:tcPr>
          <w:p>
            <w:pPr>
              <w:pStyle w:val="TableText"/>
              <w:ind w:left="491" w:right="25" w:hanging="371"/>
              <w:spacing w:before="53" w:line="247" w:lineRule="auto"/>
              <w:rPr/>
            </w:pPr>
            <w:r>
              <w:rPr>
                <w:spacing w:val="-6"/>
              </w:rPr>
              <w:t>（内蒙古）</w:t>
            </w:r>
            <w:r>
              <w:rPr/>
              <w:t>省</w:t>
            </w:r>
          </w:p>
        </w:tc>
        <w:tc>
          <w:tcPr>
            <w:tcW w:w="1956" w:type="dxa"/>
            <w:vAlign w:val="top"/>
          </w:tcPr>
          <w:p>
            <w:pPr>
              <w:pStyle w:val="TableText"/>
              <w:ind w:left="254"/>
              <w:spacing w:before="209" w:line="221" w:lineRule="auto"/>
              <w:rPr/>
            </w:pPr>
            <w:r>
              <w:rPr>
                <w:spacing w:val="-3"/>
              </w:rPr>
              <w:t>（锡林浩特）市</w:t>
            </w:r>
          </w:p>
        </w:tc>
        <w:tc>
          <w:tcPr>
            <w:tcW w:w="1177" w:type="dxa"/>
            <w:vAlign w:val="top"/>
          </w:tcPr>
          <w:p>
            <w:pPr>
              <w:pStyle w:val="TableText"/>
              <w:ind w:left="255"/>
              <w:spacing w:before="209"/>
              <w:rPr/>
            </w:pPr>
            <w:r>
              <w:rPr>
                <w:spacing w:val="-6"/>
              </w:rPr>
              <w:t>（</w:t>
            </w:r>
            <w:r>
              <w:rPr>
                <w:rFonts w:ascii="Times New Roman" w:hAnsi="Times New Roman" w:eastAsia="Times New Roman" w:cs="Times New Roman"/>
                <w:spacing w:val="-6"/>
              </w:rPr>
              <w:t>/</w:t>
            </w:r>
            <w:r>
              <w:rPr>
                <w:spacing w:val="-6"/>
              </w:rPr>
              <w:t>）区</w:t>
            </w:r>
          </w:p>
        </w:tc>
        <w:tc>
          <w:tcPr>
            <w:tcW w:w="1426" w:type="dxa"/>
            <w:vAlign w:val="top"/>
          </w:tcPr>
          <w:p>
            <w:pPr>
              <w:pStyle w:val="TableText"/>
              <w:ind w:left="377"/>
              <w:spacing w:before="209" w:line="239" w:lineRule="auto"/>
              <w:rPr/>
            </w:pPr>
            <w:r>
              <w:rPr>
                <w:spacing w:val="-5"/>
              </w:rPr>
              <w:t>（</w:t>
            </w:r>
            <w:r>
              <w:rPr>
                <w:rFonts w:ascii="Times New Roman" w:hAnsi="Times New Roman" w:eastAsia="Times New Roman" w:cs="Times New Roman"/>
                <w:spacing w:val="-5"/>
              </w:rPr>
              <w:t>/</w:t>
            </w:r>
            <w:r>
              <w:rPr>
                <w:spacing w:val="-5"/>
              </w:rPr>
              <w:t>）县</w:t>
            </w:r>
          </w:p>
        </w:tc>
        <w:tc>
          <w:tcPr>
            <w:tcW w:w="1236" w:type="dxa"/>
            <w:vAlign w:val="top"/>
            <w:tcBorders>
              <w:right w:val="nil"/>
            </w:tcBorders>
          </w:tcPr>
          <w:p>
            <w:pPr>
              <w:pStyle w:val="TableText"/>
              <w:ind w:left="180"/>
              <w:spacing w:before="209" w:line="236" w:lineRule="auto"/>
              <w:rPr/>
            </w:pPr>
            <w:r>
              <w:rPr>
                <w:spacing w:val="-7"/>
              </w:rPr>
              <w:t>（</w:t>
            </w:r>
            <w:r>
              <w:rPr>
                <w:rFonts w:ascii="Times New Roman" w:hAnsi="Times New Roman" w:eastAsia="Times New Roman" w:cs="Times New Roman"/>
                <w:spacing w:val="-7"/>
              </w:rPr>
              <w:t>/</w:t>
            </w:r>
            <w:r>
              <w:rPr>
                <w:spacing w:val="-7"/>
              </w:rPr>
              <w:t>）园区</w:t>
            </w:r>
          </w:p>
        </w:tc>
      </w:tr>
      <w:tr>
        <w:trPr>
          <w:trHeight w:val="317" w:hRule="atLeast"/>
        </w:trPr>
        <w:tc>
          <w:tcPr>
            <w:tcW w:w="1764" w:type="dxa"/>
            <w:vAlign w:val="top"/>
            <w:tcBorders>
              <w:left w:val="nil"/>
            </w:tcBorders>
          </w:tcPr>
          <w:p>
            <w:pPr>
              <w:pStyle w:val="TableText"/>
              <w:ind w:left="476"/>
              <w:spacing w:before="60" w:line="217" w:lineRule="auto"/>
              <w:rPr/>
            </w:pPr>
            <w:r>
              <w:rPr>
                <w:spacing w:val="-2"/>
              </w:rPr>
              <w:t>地理坐标</w:t>
            </w:r>
          </w:p>
        </w:tc>
        <w:tc>
          <w:tcPr>
            <w:tcW w:w="1176" w:type="dxa"/>
            <w:vAlign w:val="top"/>
          </w:tcPr>
          <w:p>
            <w:pPr>
              <w:pStyle w:val="TableText"/>
              <w:ind w:left="384"/>
              <w:spacing w:before="60" w:line="217" w:lineRule="auto"/>
              <w:rPr/>
            </w:pPr>
            <w:r>
              <w:rPr>
                <w:spacing w:val="-2"/>
              </w:rPr>
              <w:t>经度</w:t>
            </w:r>
          </w:p>
        </w:tc>
        <w:tc>
          <w:tcPr>
            <w:tcW w:w="1956" w:type="dxa"/>
            <w:vAlign w:val="top"/>
          </w:tcPr>
          <w:p>
            <w:pPr>
              <w:pStyle w:val="TableText"/>
              <w:ind w:left="142"/>
              <w:spacing w:before="73" w:line="205" w:lineRule="auto"/>
              <w:rPr/>
            </w:pPr>
            <w:r>
              <w:rPr>
                <w:rFonts w:ascii="Times New Roman" w:hAnsi="Times New Roman" w:eastAsia="Times New Roman" w:cs="Times New Roman"/>
                <w:spacing w:val="-8"/>
              </w:rPr>
              <w:t>116</w:t>
            </w:r>
            <w:r>
              <w:rPr>
                <w:rFonts w:ascii="Times New Roman" w:hAnsi="Times New Roman" w:eastAsia="Times New Roman" w:cs="Times New Roman"/>
                <w:spacing w:val="-15"/>
              </w:rPr>
              <w:t xml:space="preserve"> </w:t>
            </w:r>
            <w:r>
              <w:rPr>
                <w:spacing w:val="-8"/>
              </w:rPr>
              <w:t>°</w:t>
            </w:r>
            <w:r>
              <w:rPr>
                <w:rFonts w:ascii="Times New Roman" w:hAnsi="Times New Roman" w:eastAsia="Times New Roman" w:cs="Times New Roman"/>
                <w:spacing w:val="-8"/>
              </w:rPr>
              <w:t>11</w:t>
            </w:r>
            <w:r>
              <w:rPr>
                <w:rFonts w:ascii="Times New Roman" w:hAnsi="Times New Roman" w:eastAsia="Times New Roman" w:cs="Times New Roman"/>
                <w:spacing w:val="-17"/>
              </w:rPr>
              <w:t xml:space="preserve"> </w:t>
            </w:r>
            <w:r>
              <w:rPr>
                <w:spacing w:val="-8"/>
              </w:rPr>
              <w:t>′</w:t>
            </w:r>
            <w:r>
              <w:rPr>
                <w:rFonts w:ascii="Times New Roman" w:hAnsi="Times New Roman" w:eastAsia="Times New Roman" w:cs="Times New Roman"/>
                <w:spacing w:val="-8"/>
              </w:rPr>
              <w:t>51.345</w:t>
            </w:r>
            <w:r>
              <w:rPr>
                <w:rFonts w:ascii="Times New Roman" w:hAnsi="Times New Roman" w:eastAsia="Times New Roman" w:cs="Times New Roman"/>
                <w:spacing w:val="-16"/>
              </w:rPr>
              <w:t xml:space="preserve"> </w:t>
            </w:r>
            <w:r>
              <w:rPr>
                <w:spacing w:val="-8"/>
              </w:rPr>
              <w:t>″</w:t>
            </w:r>
          </w:p>
        </w:tc>
        <w:tc>
          <w:tcPr>
            <w:tcW w:w="1177" w:type="dxa"/>
            <w:vAlign w:val="top"/>
          </w:tcPr>
          <w:p>
            <w:pPr>
              <w:pStyle w:val="TableText"/>
              <w:ind w:left="384"/>
              <w:spacing w:before="60" w:line="217" w:lineRule="auto"/>
              <w:rPr/>
            </w:pPr>
            <w:r>
              <w:rPr>
                <w:spacing w:val="-2"/>
              </w:rPr>
              <w:t>纬度</w:t>
            </w:r>
          </w:p>
        </w:tc>
        <w:tc>
          <w:tcPr>
            <w:tcW w:w="2662" w:type="dxa"/>
            <w:vAlign w:val="top"/>
            <w:gridSpan w:val="2"/>
            <w:tcBorders>
              <w:right w:val="nil"/>
            </w:tcBorders>
          </w:tcPr>
          <w:p>
            <w:pPr>
              <w:pStyle w:val="TableText"/>
              <w:ind w:left="517"/>
              <w:spacing w:before="73" w:line="205" w:lineRule="auto"/>
              <w:rPr/>
            </w:pPr>
            <w:r>
              <w:rPr>
                <w:rFonts w:ascii="Times New Roman" w:hAnsi="Times New Roman" w:eastAsia="Times New Roman" w:cs="Times New Roman"/>
                <w:spacing w:val="-5"/>
              </w:rPr>
              <w:t>43</w:t>
            </w:r>
            <w:r>
              <w:rPr>
                <w:rFonts w:ascii="Times New Roman" w:hAnsi="Times New Roman" w:eastAsia="Times New Roman" w:cs="Times New Roman"/>
                <w:spacing w:val="-25"/>
              </w:rPr>
              <w:t xml:space="preserve"> </w:t>
            </w:r>
            <w:r>
              <w:rPr>
                <w:spacing w:val="-5"/>
              </w:rPr>
              <w:t>°</w:t>
            </w:r>
            <w:r>
              <w:rPr>
                <w:rFonts w:ascii="Times New Roman" w:hAnsi="Times New Roman" w:eastAsia="Times New Roman" w:cs="Times New Roman"/>
                <w:spacing w:val="-5"/>
              </w:rPr>
              <w:t>56</w:t>
            </w:r>
            <w:r>
              <w:rPr>
                <w:rFonts w:ascii="Times New Roman" w:hAnsi="Times New Roman" w:eastAsia="Times New Roman" w:cs="Times New Roman"/>
                <w:spacing w:val="-17"/>
              </w:rPr>
              <w:t xml:space="preserve"> </w:t>
            </w:r>
            <w:r>
              <w:rPr>
                <w:spacing w:val="-5"/>
              </w:rPr>
              <w:t>′</w:t>
            </w:r>
            <w:r>
              <w:rPr>
                <w:rFonts w:ascii="Times New Roman" w:hAnsi="Times New Roman" w:eastAsia="Times New Roman" w:cs="Times New Roman"/>
                <w:spacing w:val="-5"/>
              </w:rPr>
              <w:t>38.833</w:t>
            </w:r>
            <w:r>
              <w:rPr>
                <w:rFonts w:ascii="Times New Roman" w:hAnsi="Times New Roman" w:eastAsia="Times New Roman" w:cs="Times New Roman"/>
                <w:spacing w:val="-16"/>
              </w:rPr>
              <w:t xml:space="preserve"> </w:t>
            </w:r>
            <w:r>
              <w:rPr>
                <w:spacing w:val="-5"/>
              </w:rPr>
              <w:t>″</w:t>
            </w:r>
          </w:p>
        </w:tc>
      </w:tr>
      <w:tr>
        <w:trPr>
          <w:trHeight w:val="625" w:hRule="atLeast"/>
        </w:trPr>
        <w:tc>
          <w:tcPr>
            <w:tcW w:w="1764" w:type="dxa"/>
            <w:vAlign w:val="top"/>
            <w:tcBorders>
              <w:left w:val="nil"/>
            </w:tcBorders>
          </w:tcPr>
          <w:p>
            <w:pPr>
              <w:pStyle w:val="TableText"/>
              <w:ind w:left="689" w:right="134" w:hanging="526"/>
              <w:spacing w:before="59" w:line="244" w:lineRule="auto"/>
              <w:rPr/>
            </w:pPr>
            <w:r>
              <w:rPr>
                <w:spacing w:val="-1"/>
              </w:rPr>
              <w:t>主要危险物质及</w:t>
            </w:r>
            <w:r>
              <w:rPr>
                <w:spacing w:val="-3"/>
              </w:rPr>
              <w:t>分布</w:t>
            </w:r>
          </w:p>
        </w:tc>
        <w:tc>
          <w:tcPr>
            <w:tcW w:w="6971" w:type="dxa"/>
            <w:vAlign w:val="top"/>
            <w:gridSpan w:val="5"/>
            <w:tcBorders>
              <w:right w:val="nil"/>
            </w:tcBorders>
          </w:tcPr>
          <w:p>
            <w:pPr>
              <w:pStyle w:val="TableText"/>
              <w:ind w:left="326"/>
              <w:spacing w:before="59" w:line="219" w:lineRule="auto"/>
              <w:rPr>
                <w:rFonts w:ascii="Times New Roman" w:hAnsi="Times New Roman" w:eastAsia="Times New Roman" w:cs="Times New Roman"/>
              </w:rPr>
            </w:pPr>
            <w:r>
              <w:rPr/>
              <w:t>本项目为养殖项目，不涉及《建设项目环境风险评价技术导</w:t>
            </w:r>
            <w:r>
              <w:rPr>
                <w:spacing w:val="-1"/>
              </w:rPr>
              <w:t>则》（</w:t>
            </w:r>
            <w:r>
              <w:rPr>
                <w:rFonts w:ascii="Times New Roman" w:hAnsi="Times New Roman" w:eastAsia="Times New Roman" w:cs="Times New Roman"/>
                <w:spacing w:val="-1"/>
              </w:rPr>
              <w:t>HJ</w:t>
            </w:r>
          </w:p>
          <w:p>
            <w:pPr>
              <w:pStyle w:val="TableText"/>
              <w:ind w:left="1133"/>
              <w:spacing w:before="62" w:line="214" w:lineRule="auto"/>
              <w:rPr/>
            </w:pPr>
            <w:r>
              <w:rPr>
                <w:rFonts w:ascii="Times New Roman" w:hAnsi="Times New Roman" w:eastAsia="Times New Roman" w:cs="Times New Roman"/>
                <w:spacing w:val="-3"/>
              </w:rPr>
              <w:t>169—2018</w:t>
            </w:r>
            <w:r>
              <w:rPr>
                <w:spacing w:val="-3"/>
              </w:rPr>
              <w:t>）附录</w:t>
            </w:r>
            <w:r>
              <w:rPr>
                <w:spacing w:val="-51"/>
              </w:rPr>
              <w:t xml:space="preserve"> </w:t>
            </w:r>
            <w:r>
              <w:rPr>
                <w:rFonts w:ascii="Times New Roman" w:hAnsi="Times New Roman" w:eastAsia="Times New Roman" w:cs="Times New Roman"/>
                <w:spacing w:val="-3"/>
              </w:rPr>
              <w:t>B</w:t>
            </w:r>
            <w:r>
              <w:rPr>
                <w:rFonts w:ascii="Times New Roman" w:hAnsi="Times New Roman" w:eastAsia="Times New Roman" w:cs="Times New Roman"/>
                <w:spacing w:val="30"/>
              </w:rPr>
              <w:t xml:space="preserve"> </w:t>
            </w:r>
            <w:r>
              <w:rPr>
                <w:spacing w:val="-3"/>
              </w:rPr>
              <w:t>中</w:t>
            </w:r>
            <w:r>
              <w:rPr>
                <w:spacing w:val="-51"/>
              </w:rPr>
              <w:t xml:space="preserve"> </w:t>
            </w:r>
            <w:r>
              <w:rPr>
                <w:rFonts w:ascii="Times New Roman" w:hAnsi="Times New Roman" w:eastAsia="Times New Roman" w:cs="Times New Roman"/>
                <w:spacing w:val="-3"/>
              </w:rPr>
              <w:t>B.1</w:t>
            </w:r>
            <w:r>
              <w:rPr>
                <w:rFonts w:ascii="Times New Roman" w:hAnsi="Times New Roman" w:eastAsia="Times New Roman" w:cs="Times New Roman"/>
                <w:spacing w:val="13"/>
                <w:w w:val="101"/>
              </w:rPr>
              <w:t xml:space="preserve"> </w:t>
            </w:r>
            <w:r>
              <w:rPr>
                <w:spacing w:val="-3"/>
              </w:rPr>
              <w:t>突发环境事件风险物</w:t>
            </w:r>
            <w:r>
              <w:rPr>
                <w:spacing w:val="-4"/>
              </w:rPr>
              <w:t>质。</w:t>
            </w:r>
          </w:p>
        </w:tc>
      </w:tr>
      <w:tr>
        <w:trPr>
          <w:trHeight w:val="1246" w:hRule="atLeast"/>
        </w:trPr>
        <w:tc>
          <w:tcPr>
            <w:tcW w:w="1764" w:type="dxa"/>
            <w:vAlign w:val="top"/>
            <w:tcBorders>
              <w:left w:val="nil"/>
            </w:tcBorders>
          </w:tcPr>
          <w:p>
            <w:pPr>
              <w:pStyle w:val="TableText"/>
              <w:ind w:left="161"/>
              <w:spacing w:before="62" w:line="221" w:lineRule="auto"/>
              <w:rPr/>
            </w:pPr>
            <w:r>
              <w:rPr>
                <w:spacing w:val="-1"/>
              </w:rPr>
              <w:t>环境影响途径及</w:t>
            </w:r>
          </w:p>
          <w:p>
            <w:pPr>
              <w:pStyle w:val="TableText"/>
              <w:ind w:right="18"/>
              <w:spacing w:before="61" w:line="221" w:lineRule="auto"/>
              <w:jc w:val="right"/>
              <w:rPr/>
            </w:pPr>
            <w:r>
              <w:rPr>
                <w:spacing w:val="-9"/>
              </w:rPr>
              <w:t>危害后果（大气、</w:t>
            </w:r>
          </w:p>
          <w:p>
            <w:pPr>
              <w:pStyle w:val="TableText"/>
              <w:ind w:left="161"/>
              <w:spacing w:before="59" w:line="221" w:lineRule="auto"/>
              <w:rPr/>
            </w:pPr>
            <w:r>
              <w:rPr>
                <w:spacing w:val="-1"/>
              </w:rPr>
              <w:t>地表水、地下水</w:t>
            </w:r>
          </w:p>
          <w:p>
            <w:pPr>
              <w:pStyle w:val="TableText"/>
              <w:ind w:left="689"/>
              <w:spacing w:before="61" w:line="208" w:lineRule="auto"/>
              <w:rPr/>
            </w:pPr>
            <w:r>
              <w:rPr>
                <w:spacing w:val="-6"/>
              </w:rPr>
              <w:t>等）</w:t>
            </w:r>
          </w:p>
        </w:tc>
        <w:tc>
          <w:tcPr>
            <w:tcW w:w="6971" w:type="dxa"/>
            <w:vAlign w:val="top"/>
            <w:gridSpan w:val="5"/>
            <w:tcBorders>
              <w:right w:val="nil"/>
            </w:tcBorders>
          </w:tcPr>
          <w:p>
            <w:pPr>
              <w:spacing w:line="304" w:lineRule="auto"/>
              <w:rPr>
                <w:rFonts w:ascii="Arial"/>
                <w:sz w:val="21"/>
              </w:rPr>
            </w:pPr>
            <w:r/>
          </w:p>
          <w:p>
            <w:pPr>
              <w:pStyle w:val="TableText"/>
              <w:ind w:left="129"/>
              <w:spacing w:before="68" w:line="220" w:lineRule="auto"/>
              <w:rPr/>
            </w:pPr>
            <w:r>
              <w:rPr/>
              <w:t>本项目牛舍、储粪库以及危险废物贮存间破裂引起的泄漏，粪污</w:t>
            </w:r>
            <w:r>
              <w:rPr>
                <w:spacing w:val="-1"/>
              </w:rPr>
              <w:t>进入水体</w:t>
            </w:r>
          </w:p>
          <w:p>
            <w:pPr>
              <w:pStyle w:val="TableText"/>
              <w:ind w:left="1707"/>
              <w:spacing w:before="61" w:line="221" w:lineRule="auto"/>
              <w:rPr/>
            </w:pPr>
            <w:r>
              <w:rPr>
                <w:spacing w:val="-1"/>
              </w:rPr>
              <w:t>或土壤，将对地下水或土壤产生影响。</w:t>
            </w:r>
          </w:p>
        </w:tc>
      </w:tr>
      <w:tr>
        <w:trPr>
          <w:trHeight w:val="961" w:hRule="atLeast"/>
        </w:trPr>
        <w:tc>
          <w:tcPr>
            <w:tcW w:w="1764" w:type="dxa"/>
            <w:vAlign w:val="top"/>
            <w:tcBorders>
              <w:left w:val="nil"/>
              <w:bottom w:val="single" w:color="000000" w:sz="10" w:space="0"/>
            </w:tcBorders>
          </w:tcPr>
          <w:p>
            <w:pPr>
              <w:pStyle w:val="TableText"/>
              <w:ind w:left="791" w:right="134" w:hanging="629"/>
              <w:spacing w:before="226" w:line="277" w:lineRule="auto"/>
              <w:rPr/>
            </w:pPr>
            <w:r>
              <w:rPr>
                <w:spacing w:val="-1"/>
              </w:rPr>
              <w:t>风险防范措施要</w:t>
            </w:r>
            <w:r>
              <w:rPr/>
              <w:t>求</w:t>
            </w:r>
          </w:p>
        </w:tc>
        <w:tc>
          <w:tcPr>
            <w:tcW w:w="6971" w:type="dxa"/>
            <w:vAlign w:val="top"/>
            <w:gridSpan w:val="5"/>
            <w:tcBorders>
              <w:right w:val="nil"/>
              <w:bottom w:val="single" w:color="000000" w:sz="10" w:space="0"/>
            </w:tcBorders>
          </w:tcPr>
          <w:p>
            <w:pPr>
              <w:pStyle w:val="TableText"/>
              <w:ind w:left="130"/>
              <w:spacing w:before="69" w:line="221" w:lineRule="auto"/>
              <w:rPr/>
            </w:pPr>
            <w:r>
              <w:rPr/>
              <w:t>按照相关标准对场区内各建构筑物进行防渗，防止粪污泄漏污染</w:t>
            </w:r>
            <w:r>
              <w:rPr>
                <w:spacing w:val="-1"/>
              </w:rPr>
              <w:t>区域水环</w:t>
            </w:r>
          </w:p>
          <w:p>
            <w:pPr>
              <w:pStyle w:val="TableText"/>
              <w:ind w:left="129"/>
              <w:spacing w:before="60" w:line="221" w:lineRule="auto"/>
              <w:rPr/>
            </w:pPr>
            <w:r>
              <w:rPr/>
              <w:t>境，加强危险废物收集、暂存及转移过程的管理，防止危险废物泄漏，建</w:t>
            </w:r>
          </w:p>
          <w:p>
            <w:pPr>
              <w:pStyle w:val="TableText"/>
              <w:ind w:left="1390"/>
              <w:spacing w:before="60" w:line="221" w:lineRule="auto"/>
              <w:rPr/>
            </w:pPr>
            <w:r>
              <w:rPr>
                <w:spacing w:val="-2"/>
              </w:rPr>
              <w:t>议企业专门制定应急预案并组织实施和演练。</w:t>
            </w:r>
          </w:p>
        </w:tc>
      </w:tr>
    </w:tbl>
    <w:p>
      <w:pPr>
        <w:pStyle w:val="BodyText"/>
        <w:rPr/>
      </w:pPr>
      <w:r/>
    </w:p>
    <w:p>
      <w:pPr>
        <w:sectPr>
          <w:headerReference w:type="default" r:id="rId175"/>
          <w:footerReference w:type="default" r:id="rId176"/>
          <w:pgSz w:w="11907" w:h="16839"/>
          <w:pgMar w:top="1442" w:right="1591" w:bottom="1235" w:left="1579" w:header="1064" w:footer="992" w:gutter="0"/>
        </w:sectPr>
        <w:rPr/>
      </w:pPr>
    </w:p>
    <w:p>
      <w:pPr>
        <w:pStyle w:val="BodyText"/>
        <w:spacing w:line="303" w:lineRule="auto"/>
        <w:rPr/>
      </w:pPr>
      <w:r/>
    </w:p>
    <w:p>
      <w:pPr>
        <w:pStyle w:val="BodyText"/>
        <w:spacing w:line="303" w:lineRule="auto"/>
        <w:rPr/>
      </w:pPr>
      <w:r/>
    </w:p>
    <w:p>
      <w:pPr>
        <w:ind w:left="107"/>
        <w:spacing w:before="97" w:line="233" w:lineRule="auto"/>
        <w:outlineLvl w:val="0"/>
        <w:rPr>
          <w:rFonts w:ascii="SimSun" w:hAnsi="SimSun" w:eastAsia="SimSun" w:cs="SimSun"/>
          <w:sz w:val="30"/>
          <w:szCs w:val="30"/>
        </w:rPr>
      </w:pPr>
      <w:bookmarkStart w:name="bookmark30" w:id="36"/>
      <w:bookmarkEnd w:id="36"/>
      <w:bookmarkStart w:name="bookmark31" w:id="37"/>
      <w:bookmarkEnd w:id="37"/>
      <w:r>
        <w:rPr>
          <w:rFonts w:ascii="Times New Roman" w:hAnsi="Times New Roman" w:eastAsia="Times New Roman" w:cs="Times New Roman"/>
          <w:sz w:val="30"/>
          <w:szCs w:val="30"/>
          <w:b/>
          <w:bCs/>
          <w:spacing w:val="-3"/>
        </w:rPr>
        <w:t>6.</w:t>
      </w:r>
      <w:r>
        <w:rPr>
          <w:rFonts w:ascii="SimSun" w:hAnsi="SimSun" w:eastAsia="SimSun" w:cs="SimSun"/>
          <w:sz w:val="30"/>
          <w:szCs w:val="30"/>
          <w:b/>
          <w:bCs/>
          <w:spacing w:val="-3"/>
        </w:rPr>
        <w:t>环境保护措施及技术可行性论证</w:t>
      </w:r>
    </w:p>
    <w:p>
      <w:pPr>
        <w:pStyle w:val="BodyText"/>
        <w:spacing w:line="263" w:lineRule="auto"/>
        <w:rPr/>
      </w:pPr>
      <w:r/>
    </w:p>
    <w:p>
      <w:pPr>
        <w:pStyle w:val="BodyText"/>
        <w:spacing w:line="264" w:lineRule="auto"/>
        <w:rPr/>
      </w:pPr>
      <w:r/>
    </w:p>
    <w:p>
      <w:pPr>
        <w:ind w:left="104"/>
        <w:spacing w:before="78" w:line="233" w:lineRule="auto"/>
        <w:outlineLvl w:val="1"/>
        <w:rPr>
          <w:rFonts w:ascii="SimSun" w:hAnsi="SimSun" w:eastAsia="SimSun" w:cs="SimSun"/>
          <w:sz w:val="24"/>
          <w:szCs w:val="24"/>
        </w:rPr>
      </w:pPr>
      <w:bookmarkStart w:name="bookmark68" w:id="38"/>
      <w:bookmarkEnd w:id="38"/>
      <w:r>
        <w:rPr>
          <w:rFonts w:ascii="Times New Roman" w:hAnsi="Times New Roman" w:eastAsia="Times New Roman" w:cs="Times New Roman"/>
          <w:sz w:val="24"/>
          <w:szCs w:val="24"/>
          <w:b/>
          <w:bCs/>
          <w:spacing w:val="-2"/>
        </w:rPr>
        <w:t>6.1 </w:t>
      </w:r>
      <w:r>
        <w:rPr>
          <w:rFonts w:ascii="SimSun" w:hAnsi="SimSun" w:eastAsia="SimSun" w:cs="SimSun"/>
          <w:sz w:val="24"/>
          <w:szCs w:val="24"/>
          <w:b/>
          <w:bCs/>
          <w:spacing w:val="-2"/>
        </w:rPr>
        <w:t>废水污染防治对策与建议</w:t>
      </w:r>
    </w:p>
    <w:p>
      <w:pPr>
        <w:pStyle w:val="BodyText"/>
        <w:spacing w:line="344"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6.1.1 </w:t>
      </w:r>
      <w:r>
        <w:rPr>
          <w:rFonts w:ascii="SimSun" w:hAnsi="SimSun" w:eastAsia="SimSun" w:cs="SimSun"/>
          <w:sz w:val="24"/>
          <w:szCs w:val="24"/>
          <w:b/>
          <w:bCs/>
          <w:spacing w:val="-2"/>
        </w:rPr>
        <w:t>生活污水</w:t>
      </w:r>
    </w:p>
    <w:p>
      <w:pPr>
        <w:pStyle w:val="BodyText"/>
        <w:spacing w:line="264" w:lineRule="auto"/>
        <w:rPr/>
      </w:pPr>
      <w:r/>
    </w:p>
    <w:p>
      <w:pPr>
        <w:ind w:left="108" w:right="68" w:firstLine="478"/>
        <w:spacing w:before="78" w:line="350" w:lineRule="auto"/>
        <w:rPr>
          <w:rFonts w:ascii="SimSun" w:hAnsi="SimSun" w:eastAsia="SimSun" w:cs="SimSun"/>
          <w:sz w:val="24"/>
          <w:szCs w:val="24"/>
        </w:rPr>
      </w:pPr>
      <w:r>
        <w:rPr>
          <w:rFonts w:ascii="SimSun" w:hAnsi="SimSun" w:eastAsia="SimSun" w:cs="SimSun"/>
          <w:sz w:val="24"/>
          <w:szCs w:val="24"/>
          <w:spacing w:val="-1"/>
        </w:rPr>
        <w:t>职工生活污水产生量为 </w:t>
      </w:r>
      <w:r>
        <w:rPr>
          <w:rFonts w:ascii="Times New Roman" w:hAnsi="Times New Roman" w:eastAsia="Times New Roman" w:cs="Times New Roman"/>
          <w:sz w:val="24"/>
          <w:szCs w:val="24"/>
          <w:spacing w:val="-1"/>
        </w:rPr>
        <w:t>0.48t/d</w:t>
      </w:r>
      <w:r>
        <w:rPr>
          <w:rFonts w:ascii="SimSun" w:hAnsi="SimSun" w:eastAsia="SimSun" w:cs="SimSun"/>
          <w:sz w:val="24"/>
          <w:szCs w:val="24"/>
          <w:spacing w:val="-1"/>
        </w:rPr>
        <w:t>（</w:t>
      </w:r>
      <w:r>
        <w:rPr>
          <w:rFonts w:ascii="Times New Roman" w:hAnsi="Times New Roman" w:eastAsia="Times New Roman" w:cs="Times New Roman"/>
          <w:sz w:val="24"/>
          <w:szCs w:val="24"/>
          <w:spacing w:val="-1"/>
        </w:rPr>
        <w:t>175.2t/a</w:t>
      </w:r>
      <w:r>
        <w:rPr>
          <w:rFonts w:ascii="SimSun" w:hAnsi="SimSun" w:eastAsia="SimSun" w:cs="SimSun"/>
          <w:sz w:val="24"/>
          <w:szCs w:val="24"/>
          <w:spacing w:val="3"/>
        </w:rPr>
        <w:t>），</w:t>
      </w:r>
      <w:r>
        <w:rPr>
          <w:rFonts w:ascii="SimSun" w:hAnsi="SimSun" w:eastAsia="SimSun" w:cs="SimSun"/>
          <w:sz w:val="24"/>
          <w:szCs w:val="24"/>
          <w:spacing w:val="-1"/>
        </w:rPr>
        <w:t>本项目生活污水</w:t>
      </w:r>
      <w:r>
        <w:rPr>
          <w:rFonts w:ascii="SimSun" w:hAnsi="SimSun" w:eastAsia="SimSun" w:cs="SimSun"/>
          <w:sz w:val="24"/>
          <w:szCs w:val="24"/>
          <w:spacing w:val="-2"/>
        </w:rPr>
        <w:t>排入防渗池，定</w:t>
      </w:r>
      <w:r>
        <w:rPr>
          <w:rFonts w:ascii="SimSun" w:hAnsi="SimSun" w:eastAsia="SimSun" w:cs="SimSun"/>
          <w:sz w:val="24"/>
          <w:szCs w:val="24"/>
          <w:spacing w:val="-4"/>
        </w:rPr>
        <w:t>期由环卫部门清抽处理。</w:t>
      </w:r>
    </w:p>
    <w:p>
      <w:pPr>
        <w:pStyle w:val="BodyText"/>
        <w:spacing w:line="285" w:lineRule="auto"/>
        <w:rPr/>
      </w:pPr>
      <w:r/>
    </w:p>
    <w:p>
      <w:pPr>
        <w:ind w:left="104"/>
        <w:spacing w:before="79"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6.1.2 </w:t>
      </w:r>
      <w:r>
        <w:rPr>
          <w:rFonts w:ascii="SimSun" w:hAnsi="SimSun" w:eastAsia="SimSun" w:cs="SimSun"/>
          <w:sz w:val="24"/>
          <w:szCs w:val="24"/>
          <w:b/>
          <w:bCs/>
          <w:spacing w:val="-2"/>
        </w:rPr>
        <w:t>养殖废水</w:t>
      </w:r>
    </w:p>
    <w:p>
      <w:pPr>
        <w:pStyle w:val="BodyText"/>
        <w:spacing w:line="263" w:lineRule="auto"/>
        <w:rPr/>
      </w:pPr>
      <w:r/>
    </w:p>
    <w:p>
      <w:pPr>
        <w:ind w:left="591"/>
        <w:spacing w:before="78"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）废水处置方式</w:t>
      </w:r>
    </w:p>
    <w:p>
      <w:pPr>
        <w:ind w:left="104" w:right="77" w:firstLine="481"/>
        <w:spacing w:before="166" w:line="359" w:lineRule="auto"/>
        <w:rPr>
          <w:rFonts w:ascii="SimSun" w:hAnsi="SimSun" w:eastAsia="SimSun" w:cs="SimSun"/>
          <w:sz w:val="24"/>
          <w:szCs w:val="24"/>
        </w:rPr>
      </w:pPr>
      <w:r>
        <w:rPr>
          <w:rFonts w:ascii="SimSun" w:hAnsi="SimSun" w:eastAsia="SimSun" w:cs="SimSun"/>
          <w:sz w:val="24"/>
          <w:szCs w:val="24"/>
          <w:spacing w:val="2"/>
        </w:rPr>
        <w:t>本项目采用微生物发酵床技术，牛舍内搭建微生物发酵床有机垫料，牛将粪</w:t>
      </w:r>
      <w:r>
        <w:rPr>
          <w:rFonts w:ascii="SimSun" w:hAnsi="SimSun" w:eastAsia="SimSun" w:cs="SimSun"/>
          <w:sz w:val="24"/>
          <w:szCs w:val="24"/>
          <w:spacing w:val="2"/>
        </w:rPr>
        <w:t>尿直接排泄到垫料上，通过牛的踩踏使粪尿和垫料充分混合，让有益微生物菌种</w:t>
      </w:r>
      <w:r>
        <w:rPr>
          <w:rFonts w:ascii="SimSun" w:hAnsi="SimSun" w:eastAsia="SimSun" w:cs="SimSun"/>
          <w:sz w:val="24"/>
          <w:szCs w:val="24"/>
          <w:spacing w:val="-4"/>
        </w:rPr>
        <w:t>发酵，使粪、尿有机物质分解和转化；</w:t>
      </w:r>
    </w:p>
    <w:p>
      <w:pPr>
        <w:ind w:left="105" w:right="66" w:firstLine="483"/>
        <w:spacing w:before="2" w:line="349" w:lineRule="auto"/>
        <w:rPr>
          <w:rFonts w:ascii="SimSun" w:hAnsi="SimSun" w:eastAsia="SimSun" w:cs="SimSun"/>
          <w:sz w:val="24"/>
          <w:szCs w:val="24"/>
        </w:rPr>
      </w:pPr>
      <w:r>
        <w:rPr>
          <w:rFonts w:ascii="SimSun" w:hAnsi="SimSun" w:eastAsia="SimSun" w:cs="SimSun"/>
          <w:sz w:val="24"/>
          <w:szCs w:val="24"/>
          <w:spacing w:val="-1"/>
        </w:rPr>
        <w:t>项目运营牛舍内垫料 </w:t>
      </w:r>
      <w:r>
        <w:rPr>
          <w:rFonts w:ascii="Times New Roman" w:hAnsi="Times New Roman" w:eastAsia="Times New Roman" w:cs="Times New Roman"/>
          <w:sz w:val="24"/>
          <w:szCs w:val="24"/>
          <w:spacing w:val="-1"/>
        </w:rPr>
        <w:t>4  </w:t>
      </w:r>
      <w:r>
        <w:rPr>
          <w:rFonts w:ascii="SimSun" w:hAnsi="SimSun" w:eastAsia="SimSun" w:cs="SimSun"/>
          <w:sz w:val="24"/>
          <w:szCs w:val="24"/>
          <w:spacing w:val="-1"/>
        </w:rPr>
        <w:t>个月更换一次，人工使用清粪车进行清理，废垫料清</w:t>
      </w:r>
      <w:r>
        <w:rPr>
          <w:rFonts w:ascii="SimSun" w:hAnsi="SimSun" w:eastAsia="SimSun" w:cs="SimSun"/>
          <w:sz w:val="24"/>
          <w:szCs w:val="24"/>
          <w:spacing w:val="-1"/>
        </w:rPr>
        <w:t>运至储粪库暂存，定期外售相关给相关单位生产有机肥，最终实</w:t>
      </w:r>
      <w:r>
        <w:rPr>
          <w:rFonts w:ascii="SimSun" w:hAnsi="SimSun" w:eastAsia="SimSun" w:cs="SimSun"/>
          <w:sz w:val="24"/>
          <w:szCs w:val="24"/>
          <w:spacing w:val="-2"/>
        </w:rPr>
        <w:t>现零排放。</w:t>
      </w:r>
    </w:p>
    <w:p>
      <w:pPr>
        <w:ind w:left="591"/>
        <w:spacing w:before="24"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）牛尿作为肥料的可行性</w:t>
      </w:r>
    </w:p>
    <w:p>
      <w:pPr>
        <w:ind w:left="104" w:right="71" w:firstLine="484"/>
        <w:spacing w:before="166" w:line="359" w:lineRule="auto"/>
        <w:rPr>
          <w:rFonts w:ascii="SimSun" w:hAnsi="SimSun" w:eastAsia="SimSun" w:cs="SimSun"/>
          <w:sz w:val="24"/>
          <w:szCs w:val="24"/>
        </w:rPr>
      </w:pPr>
      <w:r>
        <w:rPr>
          <w:rFonts w:ascii="SimSun" w:hAnsi="SimSun" w:eastAsia="SimSun" w:cs="SimSun"/>
          <w:sz w:val="24"/>
          <w:szCs w:val="24"/>
          <w:spacing w:val="2"/>
        </w:rPr>
        <w:t>项目牛饲养过程中饮用水量较少，并且项目区域干燥，牛尿蒸发量较大，牛</w:t>
      </w:r>
      <w:r>
        <w:rPr>
          <w:rFonts w:ascii="SimSun" w:hAnsi="SimSun" w:eastAsia="SimSun" w:cs="SimSun"/>
          <w:sz w:val="24"/>
          <w:szCs w:val="24"/>
          <w:spacing w:val="2"/>
        </w:rPr>
        <w:t>舍设置垫料，牛尿进入垫料，随垫料运至储粪库进行临时堆存，整个养殖过程中</w:t>
      </w:r>
      <w:r>
        <w:rPr>
          <w:rFonts w:ascii="SimSun" w:hAnsi="SimSun" w:eastAsia="SimSun" w:cs="SimSun"/>
          <w:sz w:val="24"/>
          <w:szCs w:val="24"/>
          <w:spacing w:val="2"/>
        </w:rPr>
        <w:t>场区内没有流动性尿液。储粪库暂存的废垫料定期外卖至当地有机肥厂家生产有</w:t>
      </w:r>
      <w:r>
        <w:rPr>
          <w:rFonts w:ascii="SimSun" w:hAnsi="SimSun" w:eastAsia="SimSun" w:cs="SimSun"/>
          <w:sz w:val="24"/>
          <w:szCs w:val="24"/>
          <w:spacing w:val="3"/>
        </w:rPr>
        <w:t>机肥处理，该技术为区域内广泛应用技术，经实</w:t>
      </w:r>
      <w:r>
        <w:rPr>
          <w:rFonts w:ascii="SimSun" w:hAnsi="SimSun" w:eastAsia="SimSun" w:cs="SimSun"/>
          <w:sz w:val="24"/>
          <w:szCs w:val="24"/>
          <w:spacing w:val="2"/>
        </w:rPr>
        <w:t>践可知，技术可行，不属于国家</w:t>
      </w:r>
      <w:r>
        <w:rPr>
          <w:rFonts w:ascii="SimSun" w:hAnsi="SimSun" w:eastAsia="SimSun" w:cs="SimSun"/>
          <w:sz w:val="24"/>
          <w:szCs w:val="24"/>
          <w:spacing w:val="-2"/>
        </w:rPr>
        <w:t>限制的粪污处理工艺，符合国家现行的政策要求。</w:t>
      </w:r>
    </w:p>
    <w:p>
      <w:pPr>
        <w:ind w:left="103" w:right="66" w:firstLine="481"/>
        <w:spacing w:before="4" w:line="359" w:lineRule="auto"/>
        <w:jc w:val="both"/>
        <w:rPr>
          <w:rFonts w:ascii="SimSun" w:hAnsi="SimSun" w:eastAsia="SimSun" w:cs="SimSun"/>
          <w:sz w:val="24"/>
          <w:szCs w:val="24"/>
        </w:rPr>
      </w:pPr>
      <w:r>
        <w:rPr>
          <w:rFonts w:ascii="SimSun" w:hAnsi="SimSun" w:eastAsia="SimSun" w:cs="SimSun"/>
          <w:sz w:val="24"/>
          <w:szCs w:val="24"/>
          <w:spacing w:val="-3"/>
        </w:rPr>
        <w:t>根据环办环评</w:t>
      </w:r>
      <w:r>
        <w:rPr>
          <w:rFonts w:ascii="Times New Roman" w:hAnsi="Times New Roman" w:eastAsia="Times New Roman" w:cs="Times New Roman"/>
          <w:sz w:val="24"/>
          <w:szCs w:val="24"/>
          <w:spacing w:val="-3"/>
        </w:rPr>
        <w:t>[2018]31 </w:t>
      </w:r>
      <w:r>
        <w:rPr>
          <w:rFonts w:ascii="SimSun" w:hAnsi="SimSun" w:eastAsia="SimSun" w:cs="SimSun"/>
          <w:sz w:val="24"/>
          <w:szCs w:val="24"/>
          <w:spacing w:val="-3"/>
        </w:rPr>
        <w:t>号《关于做好畜禽规模养殖项目环境影</w:t>
      </w:r>
      <w:r>
        <w:rPr>
          <w:rFonts w:ascii="SimSun" w:hAnsi="SimSun" w:eastAsia="SimSun" w:cs="SimSun"/>
          <w:sz w:val="24"/>
          <w:szCs w:val="24"/>
          <w:spacing w:val="-4"/>
        </w:rPr>
        <w:t>响评价管理工作</w:t>
      </w:r>
      <w:r>
        <w:rPr>
          <w:rFonts w:ascii="SimSun" w:hAnsi="SimSun" w:eastAsia="SimSun" w:cs="SimSun"/>
          <w:sz w:val="24"/>
          <w:szCs w:val="24"/>
          <w:spacing w:val="3"/>
        </w:rPr>
        <w:t>的通知》中规定“因地制宜选择经济高效适</w:t>
      </w:r>
      <w:r>
        <w:rPr>
          <w:rFonts w:ascii="SimSun" w:hAnsi="SimSun" w:eastAsia="SimSun" w:cs="SimSun"/>
          <w:sz w:val="24"/>
          <w:szCs w:val="24"/>
          <w:spacing w:val="2"/>
        </w:rPr>
        <w:t>用的处理利用模式，采取粪污全量收</w:t>
      </w:r>
      <w:r>
        <w:rPr>
          <w:rFonts w:ascii="SimSun" w:hAnsi="SimSun" w:eastAsia="SimSun" w:cs="SimSun"/>
          <w:sz w:val="24"/>
          <w:szCs w:val="24"/>
          <w:spacing w:val="2"/>
        </w:rPr>
        <w:t>集还田利用、污水肥料化利用、粪便垫料回用、异位发酵床、粪污专业化能源利</w:t>
      </w:r>
      <w:r>
        <w:rPr>
          <w:rFonts w:ascii="SimSun" w:hAnsi="SimSun" w:eastAsia="SimSun" w:cs="SimSun"/>
          <w:sz w:val="24"/>
          <w:szCs w:val="24"/>
          <w:spacing w:val="1"/>
        </w:rPr>
        <w:t>用等模式处理利用畜禽粪污，促进畜禽规模养殖项目“</w:t>
      </w:r>
      <w:r>
        <w:rPr>
          <w:rFonts w:ascii="SimSun" w:hAnsi="SimSun" w:eastAsia="SimSun" w:cs="SimSun"/>
          <w:sz w:val="24"/>
          <w:szCs w:val="24"/>
        </w:rPr>
        <w:t>种养结合</w:t>
      </w:r>
      <w:r>
        <w:rPr>
          <w:rFonts w:ascii="SimSun" w:hAnsi="SimSun" w:eastAsia="SimSun" w:cs="SimSun"/>
          <w:sz w:val="24"/>
          <w:szCs w:val="24"/>
          <w:spacing w:val="-81"/>
        </w:rPr>
        <w:t xml:space="preserve"> </w:t>
      </w:r>
      <w:r>
        <w:rPr>
          <w:rFonts w:ascii="SimSun" w:hAnsi="SimSun" w:eastAsia="SimSun" w:cs="SimSun"/>
          <w:sz w:val="24"/>
          <w:szCs w:val="24"/>
        </w:rPr>
        <w:t>”绿色发展</w:t>
      </w:r>
      <w:r>
        <w:rPr>
          <w:rFonts w:ascii="SimSun" w:hAnsi="SimSun" w:eastAsia="SimSun" w:cs="SimSun"/>
          <w:sz w:val="24"/>
          <w:szCs w:val="24"/>
          <w:spacing w:val="-85"/>
        </w:rPr>
        <w:t xml:space="preserve"> </w:t>
      </w:r>
      <w:r>
        <w:rPr>
          <w:rFonts w:ascii="SimSun" w:hAnsi="SimSun" w:eastAsia="SimSun" w:cs="SimSun"/>
          <w:sz w:val="24"/>
          <w:szCs w:val="24"/>
        </w:rPr>
        <w:t>”，</w:t>
      </w:r>
      <w:r>
        <w:rPr>
          <w:rFonts w:ascii="SimSun" w:hAnsi="SimSun" w:eastAsia="SimSun" w:cs="SimSun"/>
          <w:sz w:val="24"/>
          <w:szCs w:val="24"/>
          <w:spacing w:val="3"/>
        </w:rPr>
        <w:t>本项目牛尿及牛粪进入垫料，随垫料运至储粪库进行临时堆</w:t>
      </w:r>
      <w:r>
        <w:rPr>
          <w:rFonts w:ascii="SimSun" w:hAnsi="SimSun" w:eastAsia="SimSun" w:cs="SimSun"/>
          <w:sz w:val="24"/>
          <w:szCs w:val="24"/>
          <w:spacing w:val="2"/>
        </w:rPr>
        <w:t>存，废垫料定期外售</w:t>
      </w:r>
      <w:r>
        <w:rPr>
          <w:rFonts w:ascii="SimSun" w:hAnsi="SimSun" w:eastAsia="SimSun" w:cs="SimSun"/>
          <w:sz w:val="24"/>
          <w:szCs w:val="24"/>
          <w:spacing w:val="3"/>
        </w:rPr>
        <w:t>给相关单位生产有机肥，属于粪污全量收集还田及粪便垫料</w:t>
      </w:r>
      <w:r>
        <w:rPr>
          <w:rFonts w:ascii="SimSun" w:hAnsi="SimSun" w:eastAsia="SimSun" w:cs="SimSun"/>
          <w:sz w:val="24"/>
          <w:szCs w:val="24"/>
          <w:spacing w:val="2"/>
        </w:rPr>
        <w:t>回用利用模式，可促</w:t>
      </w:r>
      <w:r>
        <w:rPr>
          <w:rFonts w:ascii="SimSun" w:hAnsi="SimSun" w:eastAsia="SimSun" w:cs="SimSun"/>
          <w:sz w:val="24"/>
          <w:szCs w:val="24"/>
          <w:spacing w:val="-2"/>
        </w:rPr>
        <w:t>进畜禽养殖种养结合发展，符合国家现行的政策要求。</w:t>
      </w:r>
    </w:p>
    <w:p>
      <w:pPr>
        <w:spacing w:line="359" w:lineRule="auto"/>
        <w:sectPr>
          <w:headerReference w:type="default" r:id="rId177"/>
          <w:footerReference w:type="default" r:id="rId178"/>
          <w:pgSz w:w="11907" w:h="16839"/>
          <w:pgMar w:top="1375" w:right="1631" w:bottom="1235" w:left="1606" w:header="1035" w:footer="992" w:gutter="0"/>
        </w:sectPr>
        <w:rPr>
          <w:rFonts w:ascii="SimSun" w:hAnsi="SimSun" w:eastAsia="SimSun" w:cs="SimSun"/>
          <w:sz w:val="24"/>
          <w:szCs w:val="24"/>
        </w:rPr>
      </w:pPr>
    </w:p>
    <w:p>
      <w:pPr>
        <w:pStyle w:val="BodyText"/>
        <w:spacing w:line="359" w:lineRule="auto"/>
        <w:rPr/>
      </w:pPr>
      <w:r/>
    </w:p>
    <w:p>
      <w:pPr>
        <w:ind w:left="591"/>
        <w:spacing w:before="78"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）储存及利用的管理措施</w:t>
      </w:r>
    </w:p>
    <w:p>
      <w:pPr>
        <w:ind w:left="107" w:right="68" w:firstLine="477"/>
        <w:spacing w:before="164" w:line="349" w:lineRule="auto"/>
        <w:rPr>
          <w:rFonts w:ascii="SimSun" w:hAnsi="SimSun" w:eastAsia="SimSun" w:cs="SimSun"/>
          <w:sz w:val="24"/>
          <w:szCs w:val="24"/>
        </w:rPr>
      </w:pPr>
      <w:r>
        <w:rPr>
          <w:rFonts w:ascii="SimSun" w:hAnsi="SimSun" w:eastAsia="SimSun" w:cs="SimSun"/>
          <w:sz w:val="24"/>
          <w:szCs w:val="24"/>
          <w:spacing w:val="-1"/>
        </w:rPr>
        <w:t>场区设置 </w:t>
      </w:r>
      <w:r>
        <w:rPr>
          <w:rFonts w:ascii="Times New Roman" w:hAnsi="Times New Roman" w:eastAsia="Times New Roman" w:cs="Times New Roman"/>
          <w:sz w:val="24"/>
          <w:szCs w:val="24"/>
          <w:spacing w:val="-1"/>
        </w:rPr>
        <w:t>1  </w:t>
      </w:r>
      <w:r>
        <w:rPr>
          <w:rFonts w:ascii="SimSun" w:hAnsi="SimSun" w:eastAsia="SimSun" w:cs="SimSun"/>
          <w:sz w:val="24"/>
          <w:szCs w:val="24"/>
          <w:spacing w:val="-1"/>
        </w:rPr>
        <w:t>处储粪库，储粪库底部进行了水平和垂直防渗，防渗等级底部为</w:t>
      </w:r>
      <w:r>
        <w:rPr>
          <w:rFonts w:ascii="SimSun" w:hAnsi="SimSun" w:eastAsia="SimSun" w:cs="SimSun"/>
          <w:sz w:val="24"/>
          <w:szCs w:val="24"/>
          <w:spacing w:val="-2"/>
        </w:rPr>
        <w:t>混凝土结构，应保证能达到黏土防渗层</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2"/>
        </w:rPr>
        <w:t>Mb≥1.5m</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K≤1×10</w:t>
      </w:r>
      <w:r>
        <w:rPr>
          <w:rFonts w:ascii="Times New Roman" w:hAnsi="Times New Roman" w:eastAsia="Times New Roman" w:cs="Times New Roman"/>
          <w:sz w:val="16"/>
          <w:szCs w:val="16"/>
          <w:spacing w:val="-2"/>
          <w:position w:val="10"/>
        </w:rPr>
        <w:t>-7</w:t>
      </w:r>
      <w:r>
        <w:rPr>
          <w:rFonts w:ascii="Times New Roman" w:hAnsi="Times New Roman" w:eastAsia="Times New Roman" w:cs="Times New Roman"/>
          <w:sz w:val="24"/>
          <w:szCs w:val="24"/>
          <w:spacing w:val="-2"/>
        </w:rPr>
        <w:t>cm/s</w:t>
      </w:r>
      <w:r>
        <w:rPr>
          <w:rFonts w:ascii="Times New Roman" w:hAnsi="Times New Roman" w:eastAsia="Times New Roman" w:cs="Times New Roman"/>
          <w:sz w:val="24"/>
          <w:szCs w:val="24"/>
          <w:spacing w:val="55"/>
          <w:w w:val="101"/>
        </w:rPr>
        <w:t xml:space="preserve"> </w:t>
      </w:r>
      <w:r>
        <w:rPr>
          <w:rFonts w:ascii="SimSun" w:hAnsi="SimSun" w:eastAsia="SimSun" w:cs="SimSun"/>
          <w:sz w:val="24"/>
          <w:szCs w:val="24"/>
          <w:spacing w:val="-2"/>
        </w:rPr>
        <w:t>同等防渗性能，</w:t>
      </w:r>
      <w:r>
        <w:rPr>
          <w:rFonts w:ascii="SimSun" w:hAnsi="SimSun" w:eastAsia="SimSun" w:cs="SimSun"/>
          <w:sz w:val="24"/>
          <w:szCs w:val="24"/>
          <w:spacing w:val="-6"/>
        </w:rPr>
        <w:t>符合环保要求。</w:t>
      </w:r>
    </w:p>
    <w:p>
      <w:pPr>
        <w:ind w:left="110" w:right="66" w:firstLine="475"/>
        <w:spacing w:before="22" w:line="359" w:lineRule="auto"/>
        <w:jc w:val="both"/>
        <w:rPr>
          <w:rFonts w:ascii="SimSun" w:hAnsi="SimSun" w:eastAsia="SimSun" w:cs="SimSun"/>
          <w:sz w:val="24"/>
          <w:szCs w:val="24"/>
        </w:rPr>
      </w:pPr>
      <w:r>
        <w:rPr>
          <w:rFonts w:ascii="SimSun" w:hAnsi="SimSun" w:eastAsia="SimSun" w:cs="SimSun"/>
          <w:sz w:val="24"/>
          <w:szCs w:val="24"/>
          <w:spacing w:val="-4"/>
        </w:rPr>
        <w:t>本项目储粪库</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座，建筑面积为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300m</w:t>
      </w:r>
      <w:r>
        <w:rPr>
          <w:rFonts w:ascii="Times New Roman" w:hAnsi="Times New Roman" w:eastAsia="Times New Roman" w:cs="Times New Roman"/>
          <w:sz w:val="16"/>
          <w:szCs w:val="16"/>
          <w:spacing w:val="-4"/>
          <w:position w:val="10"/>
        </w:rPr>
        <w:t>2</w:t>
      </w:r>
      <w:r>
        <w:rPr>
          <w:rFonts w:ascii="SimSun" w:hAnsi="SimSun" w:eastAsia="SimSun" w:cs="SimSun"/>
          <w:sz w:val="24"/>
          <w:szCs w:val="24"/>
          <w:spacing w:val="-4"/>
        </w:rPr>
        <w:t>，高</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4"/>
        </w:rPr>
        <w:t>7m</w:t>
      </w:r>
      <w:r>
        <w:rPr>
          <w:rFonts w:ascii="SimSun" w:hAnsi="SimSun" w:eastAsia="SimSun" w:cs="SimSun"/>
          <w:sz w:val="24"/>
          <w:szCs w:val="24"/>
          <w:spacing w:val="-4"/>
        </w:rPr>
        <w:t>，总容积为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4"/>
        </w:rPr>
        <w:t>2100m</w:t>
      </w:r>
      <w:r>
        <w:rPr>
          <w:rFonts w:ascii="Times New Roman" w:hAnsi="Times New Roman" w:eastAsia="Times New Roman" w:cs="Times New Roman"/>
          <w:sz w:val="16"/>
          <w:szCs w:val="16"/>
          <w:spacing w:val="-4"/>
          <w:position w:val="10"/>
        </w:rPr>
        <w:t>3</w:t>
      </w:r>
      <w:r>
        <w:rPr>
          <w:rFonts w:ascii="SimSun" w:hAnsi="SimSun" w:eastAsia="SimSun" w:cs="SimSun"/>
          <w:sz w:val="24"/>
          <w:szCs w:val="24"/>
          <w:spacing w:val="-4"/>
        </w:rPr>
        <w:t>，本项目年</w:t>
      </w:r>
      <w:r>
        <w:rPr>
          <w:rFonts w:ascii="SimSun" w:hAnsi="SimSun" w:eastAsia="SimSun" w:cs="SimSun"/>
          <w:sz w:val="24"/>
          <w:szCs w:val="24"/>
          <w:spacing w:val="-3"/>
        </w:rPr>
        <w:t>出栏肉牛 </w:t>
      </w:r>
      <w:r>
        <w:rPr>
          <w:rFonts w:ascii="Times New Roman" w:hAnsi="Times New Roman" w:eastAsia="Times New Roman" w:cs="Times New Roman"/>
          <w:sz w:val="24"/>
          <w:szCs w:val="24"/>
          <w:spacing w:val="-3"/>
        </w:rPr>
        <w:t>1200</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3"/>
        </w:rPr>
        <w:t>头，满足每头牛（出栏）不低于</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3"/>
        </w:rPr>
        <w:t>0.5m</w:t>
      </w:r>
      <w:r>
        <w:rPr>
          <w:rFonts w:ascii="Times New Roman" w:hAnsi="Times New Roman" w:eastAsia="Times New Roman" w:cs="Times New Roman"/>
          <w:sz w:val="16"/>
          <w:szCs w:val="16"/>
          <w:spacing w:val="-3"/>
          <w:position w:val="10"/>
        </w:rPr>
        <w:t>3</w:t>
      </w:r>
      <w:r>
        <w:rPr>
          <w:rFonts w:ascii="Times New Roman" w:hAnsi="Times New Roman" w:eastAsia="Times New Roman" w:cs="Times New Roman"/>
          <w:sz w:val="16"/>
          <w:szCs w:val="16"/>
          <w:spacing w:val="31"/>
          <w:w w:val="101"/>
          <w:position w:val="10"/>
        </w:rPr>
        <w:t xml:space="preserve"> </w:t>
      </w:r>
      <w:r>
        <w:rPr>
          <w:rFonts w:ascii="SimSun" w:hAnsi="SimSun" w:eastAsia="SimSun" w:cs="SimSun"/>
          <w:sz w:val="24"/>
          <w:szCs w:val="24"/>
          <w:spacing w:val="-3"/>
        </w:rPr>
        <w:t>的限值要求，符合《内蒙古</w:t>
      </w:r>
      <w:r>
        <w:rPr>
          <w:rFonts w:ascii="SimSun" w:hAnsi="SimSun" w:eastAsia="SimSun" w:cs="SimSun"/>
          <w:sz w:val="24"/>
          <w:szCs w:val="24"/>
          <w:spacing w:val="2"/>
        </w:rPr>
        <w:t>自治区畜禽养殖主要污染物减排项目建设技术指南（试行）》（内环发【</w:t>
      </w:r>
      <w:r>
        <w:rPr>
          <w:rFonts w:ascii="Times New Roman" w:hAnsi="Times New Roman" w:eastAsia="Times New Roman" w:cs="Times New Roman"/>
          <w:sz w:val="24"/>
          <w:szCs w:val="24"/>
          <w:spacing w:val="2"/>
        </w:rPr>
        <w:t>2014</w:t>
      </w:r>
      <w:r>
        <w:rPr>
          <w:rFonts w:ascii="SimSun" w:hAnsi="SimSun" w:eastAsia="SimSun" w:cs="SimSun"/>
          <w:sz w:val="24"/>
          <w:szCs w:val="24"/>
          <w:spacing w:val="2"/>
        </w:rPr>
        <w:t>】</w:t>
      </w:r>
      <w:r>
        <w:rPr>
          <w:rFonts w:ascii="SimSun" w:hAnsi="SimSun" w:eastAsia="SimSun" w:cs="SimSun"/>
          <w:sz w:val="24"/>
          <w:szCs w:val="24"/>
          <w:spacing w:val="11"/>
        </w:rPr>
        <w:t xml:space="preserve"> </w:t>
      </w:r>
      <w:r>
        <w:rPr>
          <w:rFonts w:ascii="Times New Roman" w:hAnsi="Times New Roman" w:eastAsia="Times New Roman" w:cs="Times New Roman"/>
          <w:sz w:val="24"/>
          <w:szCs w:val="24"/>
          <w:spacing w:val="-8"/>
        </w:rPr>
        <w:t>83</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8"/>
        </w:rPr>
        <w:t>号）要求。</w:t>
      </w:r>
    </w:p>
    <w:p>
      <w:pPr>
        <w:ind w:left="104"/>
        <w:spacing w:before="267" w:line="233" w:lineRule="auto"/>
        <w:outlineLvl w:val="1"/>
        <w:rPr>
          <w:rFonts w:ascii="SimSun" w:hAnsi="SimSun" w:eastAsia="SimSun" w:cs="SimSun"/>
          <w:sz w:val="24"/>
          <w:szCs w:val="24"/>
        </w:rPr>
      </w:pPr>
      <w:bookmarkStart w:name="bookmark32" w:id="39"/>
      <w:bookmarkEnd w:id="39"/>
      <w:r>
        <w:rPr>
          <w:rFonts w:ascii="Times New Roman" w:hAnsi="Times New Roman" w:eastAsia="Times New Roman" w:cs="Times New Roman"/>
          <w:sz w:val="24"/>
          <w:szCs w:val="24"/>
          <w:b/>
          <w:bCs/>
          <w:spacing w:val="-2"/>
        </w:rPr>
        <w:t>6.2 </w:t>
      </w:r>
      <w:r>
        <w:rPr>
          <w:rFonts w:ascii="SimSun" w:hAnsi="SimSun" w:eastAsia="SimSun" w:cs="SimSun"/>
          <w:sz w:val="24"/>
          <w:szCs w:val="24"/>
          <w:b/>
          <w:bCs/>
          <w:spacing w:val="-2"/>
        </w:rPr>
        <w:t>地下水污染防治措施</w:t>
      </w:r>
    </w:p>
    <w:p>
      <w:pPr>
        <w:pStyle w:val="BodyText"/>
        <w:spacing w:line="263" w:lineRule="auto"/>
        <w:rPr/>
      </w:pPr>
      <w:r/>
    </w:p>
    <w:p>
      <w:pPr>
        <w:ind w:left="106" w:right="77" w:firstLine="478"/>
        <w:spacing w:before="78" w:line="359" w:lineRule="auto"/>
        <w:jc w:val="both"/>
        <w:rPr>
          <w:rFonts w:ascii="SimSun" w:hAnsi="SimSun" w:eastAsia="SimSun" w:cs="SimSun"/>
          <w:sz w:val="24"/>
          <w:szCs w:val="24"/>
        </w:rPr>
      </w:pPr>
      <w:r>
        <w:rPr>
          <w:rFonts w:ascii="SimSun" w:hAnsi="SimSun" w:eastAsia="SimSun" w:cs="SimSun"/>
          <w:sz w:val="24"/>
          <w:szCs w:val="24"/>
          <w:spacing w:val="-2"/>
        </w:rPr>
        <w:t>根据《环境影响评价技术导则</w:t>
      </w:r>
      <w:r>
        <w:rPr>
          <w:rFonts w:ascii="SimSun" w:hAnsi="SimSun" w:eastAsia="SimSun" w:cs="SimSun"/>
          <w:sz w:val="24"/>
          <w:szCs w:val="24"/>
          <w:spacing w:val="50"/>
        </w:rPr>
        <w:t xml:space="preserve"> </w:t>
      </w:r>
      <w:r>
        <w:rPr>
          <w:rFonts w:ascii="SimSun" w:hAnsi="SimSun" w:eastAsia="SimSun" w:cs="SimSun"/>
          <w:sz w:val="24"/>
          <w:szCs w:val="24"/>
          <w:spacing w:val="-2"/>
        </w:rPr>
        <w:t>地下水环境》（</w:t>
      </w:r>
      <w:r>
        <w:rPr>
          <w:rFonts w:ascii="Times New Roman" w:hAnsi="Times New Roman" w:eastAsia="Times New Roman" w:cs="Times New Roman"/>
          <w:sz w:val="24"/>
          <w:szCs w:val="24"/>
          <w:spacing w:val="-2"/>
        </w:rPr>
        <w:t>HJ610</w:t>
      </w:r>
      <w:r>
        <w:rPr>
          <w:rFonts w:ascii="Times New Roman" w:hAnsi="Times New Roman" w:eastAsia="Times New Roman" w:cs="Times New Roman"/>
          <w:sz w:val="24"/>
          <w:szCs w:val="24"/>
          <w:spacing w:val="22"/>
        </w:rPr>
        <w:t xml:space="preserve"> </w:t>
      </w:r>
      <w:r>
        <w:rPr>
          <w:rFonts w:ascii="Times New Roman" w:hAnsi="Times New Roman" w:eastAsia="Times New Roman" w:cs="Times New Roman"/>
          <w:sz w:val="24"/>
          <w:szCs w:val="24"/>
          <w:spacing w:val="-2"/>
        </w:rPr>
        <w:t>2016</w:t>
      </w:r>
      <w:r>
        <w:rPr>
          <w:rFonts w:ascii="SimSun" w:hAnsi="SimSun" w:eastAsia="SimSun" w:cs="SimSun"/>
          <w:sz w:val="24"/>
          <w:szCs w:val="24"/>
          <w:spacing w:val="-2"/>
        </w:rPr>
        <w:t>）关于地下水环境</w:t>
      </w:r>
      <w:r>
        <w:rPr>
          <w:rFonts w:ascii="SimSun" w:hAnsi="SimSun" w:eastAsia="SimSun" w:cs="SimSun"/>
          <w:sz w:val="24"/>
          <w:szCs w:val="24"/>
          <w:spacing w:val="2"/>
        </w:rPr>
        <w:t>保护措施与对策基本要求，地下水环境保护措施与对策应当符合《中华人民共和</w:t>
      </w:r>
      <w:r>
        <w:rPr>
          <w:rFonts w:ascii="SimSun" w:hAnsi="SimSun" w:eastAsia="SimSun" w:cs="SimSun"/>
          <w:sz w:val="24"/>
          <w:szCs w:val="24"/>
          <w:spacing w:val="2"/>
        </w:rPr>
        <w:t>国水污染防治法》和《中华人民共和国环境影响评价法》的相关规定，按照“源</w:t>
      </w:r>
      <w:r>
        <w:rPr>
          <w:rFonts w:ascii="SimSun" w:hAnsi="SimSun" w:eastAsia="SimSun" w:cs="SimSun"/>
          <w:sz w:val="24"/>
          <w:szCs w:val="24"/>
          <w:spacing w:val="-1"/>
        </w:rPr>
        <w:t>头控制、分区防控、污染监控、应急响应”，重点突出饮</w:t>
      </w:r>
      <w:r>
        <w:rPr>
          <w:rFonts w:ascii="SimSun" w:hAnsi="SimSun" w:eastAsia="SimSun" w:cs="SimSun"/>
          <w:sz w:val="24"/>
          <w:szCs w:val="24"/>
          <w:spacing w:val="-2"/>
        </w:rPr>
        <w:t>用水水质安全的规定。</w:t>
      </w:r>
    </w:p>
    <w:p>
      <w:pPr>
        <w:ind w:left="106" w:right="121" w:firstLine="482"/>
        <w:spacing w:before="2" w:line="360" w:lineRule="auto"/>
        <w:rPr>
          <w:rFonts w:ascii="SimSun" w:hAnsi="SimSun" w:eastAsia="SimSun" w:cs="SimSun"/>
          <w:sz w:val="24"/>
          <w:szCs w:val="24"/>
        </w:rPr>
      </w:pPr>
      <w:r>
        <w:rPr>
          <w:rFonts w:ascii="SimSun" w:hAnsi="SimSun" w:eastAsia="SimSun" w:cs="SimSun"/>
          <w:sz w:val="24"/>
          <w:szCs w:val="24"/>
          <w:spacing w:val="1"/>
        </w:rPr>
        <w:t>项目对地下水产生污染的主要污染源为牛舍、储粪库及危险废物贮存间等，</w:t>
      </w:r>
      <w:r>
        <w:rPr>
          <w:rFonts w:ascii="SimSun" w:hAnsi="SimSun" w:eastAsia="SimSun" w:cs="SimSun"/>
          <w:sz w:val="24"/>
          <w:szCs w:val="24"/>
          <w:spacing w:val="-2"/>
        </w:rPr>
        <w:t>若防渗不当，会污染地下水体，为防止渗入地下，造成地下水污染。</w:t>
      </w:r>
    </w:p>
    <w:p>
      <w:pPr>
        <w:pStyle w:val="BodyText"/>
        <w:spacing w:line="259"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6.2.1 </w:t>
      </w:r>
      <w:r>
        <w:rPr>
          <w:rFonts w:ascii="SimSun" w:hAnsi="SimSun" w:eastAsia="SimSun" w:cs="SimSun"/>
          <w:sz w:val="24"/>
          <w:szCs w:val="24"/>
          <w:b/>
          <w:bCs/>
          <w:spacing w:val="-2"/>
        </w:rPr>
        <w:t>污染源头控制措施</w:t>
      </w:r>
    </w:p>
    <w:p>
      <w:pPr>
        <w:pStyle w:val="BodyText"/>
        <w:spacing w:line="263" w:lineRule="auto"/>
        <w:rPr/>
      </w:pPr>
      <w:r/>
    </w:p>
    <w:p>
      <w:pPr>
        <w:ind w:left="591"/>
        <w:spacing w:before="78"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）严格用水管理，防止污染物“跑、冒、滴、漏”现象的发生。</w:t>
      </w:r>
    </w:p>
    <w:p>
      <w:pPr>
        <w:ind w:left="106" w:right="69" w:firstLine="485"/>
        <w:spacing w:before="165" w:line="289"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2</w:t>
      </w:r>
      <w:r>
        <w:rPr>
          <w:rFonts w:ascii="SimSun" w:hAnsi="SimSun" w:eastAsia="SimSun" w:cs="SimSun"/>
          <w:sz w:val="24"/>
          <w:szCs w:val="24"/>
          <w:spacing w:val="-7"/>
        </w:rPr>
        <w:t>）牛舍、储粪库、危险废物贮存间及防渗池等地面均应进行防渗处理，</w:t>
      </w:r>
      <w:r>
        <w:rPr>
          <w:rFonts w:ascii="SimSun" w:hAnsi="SimSun" w:eastAsia="SimSun" w:cs="SimSun"/>
          <w:sz w:val="24"/>
          <w:szCs w:val="24"/>
          <w:spacing w:val="84"/>
        </w:rPr>
        <w:t xml:space="preserve"> </w:t>
      </w:r>
      <w:r>
        <w:rPr>
          <w:rFonts w:ascii="SimSun" w:hAnsi="SimSun" w:eastAsia="SimSun" w:cs="SimSun"/>
          <w:sz w:val="24"/>
          <w:szCs w:val="24"/>
          <w:spacing w:val="-7"/>
        </w:rPr>
        <w:t>防</w:t>
      </w:r>
      <w:r>
        <w:rPr>
          <w:rFonts w:ascii="SimSun" w:hAnsi="SimSun" w:eastAsia="SimSun" w:cs="SimSun"/>
          <w:sz w:val="24"/>
          <w:szCs w:val="24"/>
          <w:spacing w:val="-3"/>
        </w:rPr>
        <w:t>止物料及污水下渗对地下水造成污染。</w:t>
      </w:r>
    </w:p>
    <w:p>
      <w:pPr>
        <w:pStyle w:val="BodyText"/>
        <w:spacing w:line="443" w:lineRule="auto"/>
        <w:rPr/>
      </w:pPr>
      <w:r/>
    </w:p>
    <w:p>
      <w:pPr>
        <w:ind w:left="104"/>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4"/>
        </w:rPr>
        <w:t>6.2.2</w:t>
      </w:r>
      <w:r>
        <w:rPr>
          <w:rFonts w:ascii="Times New Roman" w:hAnsi="Times New Roman" w:eastAsia="Times New Roman" w:cs="Times New Roman"/>
          <w:sz w:val="24"/>
          <w:szCs w:val="24"/>
          <w:b/>
          <w:bCs/>
          <w:spacing w:val="32"/>
        </w:rPr>
        <w:t xml:space="preserve"> </w:t>
      </w:r>
      <w:r>
        <w:rPr>
          <w:rFonts w:ascii="SimSun" w:hAnsi="SimSun" w:eastAsia="SimSun" w:cs="SimSun"/>
          <w:sz w:val="24"/>
          <w:szCs w:val="24"/>
          <w:b/>
          <w:bCs/>
          <w:spacing w:val="-4"/>
        </w:rPr>
        <w:t>区域污染防治区划分</w:t>
      </w:r>
    </w:p>
    <w:p>
      <w:pPr>
        <w:pStyle w:val="BodyText"/>
        <w:spacing w:line="264" w:lineRule="auto"/>
        <w:rPr/>
      </w:pPr>
      <w:r/>
    </w:p>
    <w:p>
      <w:pPr>
        <w:ind w:left="106" w:right="84" w:firstLine="479"/>
        <w:spacing w:before="78" w:line="356" w:lineRule="auto"/>
        <w:jc w:val="both"/>
        <w:rPr>
          <w:rFonts w:ascii="SimSun" w:hAnsi="SimSun" w:eastAsia="SimSun" w:cs="SimSun"/>
          <w:sz w:val="24"/>
          <w:szCs w:val="24"/>
        </w:rPr>
      </w:pPr>
      <w:r>
        <w:rPr>
          <w:rFonts w:ascii="SimSun" w:hAnsi="SimSun" w:eastAsia="SimSun" w:cs="SimSun"/>
          <w:sz w:val="24"/>
          <w:szCs w:val="24"/>
          <w:spacing w:val="2"/>
        </w:rPr>
        <w:t>本项目加强厂区防渗等级，避免污染物入渗，采取分区防渗措施。参照《环</w:t>
      </w:r>
      <w:r>
        <w:rPr>
          <w:rFonts w:ascii="SimSun" w:hAnsi="SimSun" w:eastAsia="SimSun" w:cs="SimSun"/>
          <w:sz w:val="24"/>
          <w:szCs w:val="24"/>
          <w:spacing w:val="2"/>
        </w:rPr>
        <w:t>境影响评价技术导则  地下水环境》（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610-2016</w:t>
      </w:r>
      <w:r>
        <w:rPr>
          <w:rFonts w:ascii="SimSun" w:hAnsi="SimSun" w:eastAsia="SimSun" w:cs="SimSun"/>
          <w:sz w:val="24"/>
          <w:szCs w:val="24"/>
          <w:spacing w:val="9"/>
        </w:rPr>
        <w:t>），</w:t>
      </w:r>
      <w:r>
        <w:rPr>
          <w:rFonts w:ascii="SimSun" w:hAnsi="SimSun" w:eastAsia="SimSun" w:cs="SimSun"/>
          <w:sz w:val="24"/>
          <w:szCs w:val="24"/>
          <w:spacing w:val="2"/>
        </w:rPr>
        <w:t>将工程各功能单元</w:t>
      </w:r>
      <w:r>
        <w:rPr>
          <w:rFonts w:ascii="SimSun" w:hAnsi="SimSun" w:eastAsia="SimSun" w:cs="SimSun"/>
          <w:sz w:val="24"/>
          <w:szCs w:val="24"/>
          <w:spacing w:val="1"/>
        </w:rPr>
        <w:t>可能产</w:t>
      </w:r>
      <w:r>
        <w:rPr>
          <w:rFonts w:ascii="SimSun" w:hAnsi="SimSun" w:eastAsia="SimSun" w:cs="SimSun"/>
          <w:sz w:val="24"/>
          <w:szCs w:val="24"/>
          <w:spacing w:val="-2"/>
        </w:rPr>
        <w:t>生污染的地区，划分为重点防渗区、一般防渗区和简单防渗区。</w:t>
      </w:r>
    </w:p>
    <w:p>
      <w:pPr>
        <w:ind w:left="591"/>
        <w:spacing w:before="11"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）重点防渗区</w:t>
      </w:r>
    </w:p>
    <w:p>
      <w:pPr>
        <w:spacing w:before="163" w:line="219" w:lineRule="auto"/>
        <w:jc w:val="right"/>
        <w:rPr>
          <w:rFonts w:ascii="SimSun" w:hAnsi="SimSun" w:eastAsia="SimSun" w:cs="SimSun"/>
          <w:sz w:val="24"/>
          <w:szCs w:val="24"/>
        </w:rPr>
      </w:pPr>
      <w:r>
        <w:rPr>
          <w:rFonts w:ascii="SimSun" w:hAnsi="SimSun" w:eastAsia="SimSun" w:cs="SimSun"/>
          <w:sz w:val="24"/>
          <w:szCs w:val="24"/>
          <w:spacing w:val="-2"/>
        </w:rPr>
        <w:t>本项目重点防渗区为危险废物贮存间，危废间内</w:t>
      </w:r>
      <w:r>
        <w:rPr>
          <w:rFonts w:ascii="SimSun" w:hAnsi="SimSun" w:eastAsia="SimSun" w:cs="SimSun"/>
          <w:sz w:val="24"/>
          <w:szCs w:val="24"/>
          <w:spacing w:val="-3"/>
        </w:rPr>
        <w:t>采用抗渗混凝土地面及围裙，</w:t>
      </w:r>
    </w:p>
    <w:p>
      <w:pPr>
        <w:spacing w:line="219" w:lineRule="auto"/>
        <w:sectPr>
          <w:footerReference w:type="default" r:id="rId179"/>
          <w:pgSz w:w="11907" w:h="16839"/>
          <w:pgMar w:top="1375" w:right="1631" w:bottom="1235" w:left="1606" w:header="1035" w:footer="990" w:gutter="0"/>
        </w:sectPr>
        <w:rPr>
          <w:rFonts w:ascii="SimSun" w:hAnsi="SimSun" w:eastAsia="SimSun" w:cs="SimSun"/>
          <w:sz w:val="24"/>
          <w:szCs w:val="24"/>
        </w:rPr>
      </w:pPr>
    </w:p>
    <w:p>
      <w:pPr>
        <w:pStyle w:val="BodyText"/>
        <w:spacing w:line="263" w:lineRule="auto"/>
        <w:rPr/>
      </w:pPr>
      <w:r/>
    </w:p>
    <w:p>
      <w:pPr>
        <w:ind w:left="132"/>
        <w:spacing w:before="78" w:line="233" w:lineRule="auto"/>
        <w:rPr>
          <w:rFonts w:ascii="SimSun" w:hAnsi="SimSun" w:eastAsia="SimSun" w:cs="SimSun"/>
          <w:sz w:val="24"/>
          <w:szCs w:val="24"/>
        </w:rPr>
      </w:pPr>
      <w:r>
        <w:rPr>
          <w:rFonts w:ascii="SimSun" w:hAnsi="SimSun" w:eastAsia="SimSun" w:cs="SimSun"/>
          <w:sz w:val="24"/>
          <w:szCs w:val="24"/>
          <w:spacing w:val="-1"/>
        </w:rPr>
        <w:t>渗透系数≤</w:t>
      </w:r>
      <w:r>
        <w:rPr>
          <w:rFonts w:ascii="SimHei" w:hAnsi="SimHei" w:eastAsia="SimHei" w:cs="SimHei"/>
          <w:sz w:val="24"/>
          <w:szCs w:val="24"/>
          <w:spacing w:val="-1"/>
        </w:rPr>
        <w:t>10</w:t>
      </w:r>
      <w:r>
        <w:rPr>
          <w:rFonts w:ascii="SimHei" w:hAnsi="SimHei" w:eastAsia="SimHei" w:cs="SimHei"/>
          <w:sz w:val="12"/>
          <w:szCs w:val="12"/>
          <w:spacing w:val="-1"/>
          <w:position w:val="11"/>
        </w:rPr>
        <w:t>-10</w:t>
      </w:r>
      <w:r>
        <w:rPr>
          <w:rFonts w:ascii="SimHei" w:hAnsi="SimHei" w:eastAsia="SimHei" w:cs="SimHei"/>
          <w:sz w:val="24"/>
          <w:szCs w:val="24"/>
          <w:spacing w:val="-1"/>
        </w:rPr>
        <w:t>cm/s</w:t>
      </w:r>
      <w:r>
        <w:rPr>
          <w:rFonts w:ascii="SimSun" w:hAnsi="SimSun" w:eastAsia="SimSun" w:cs="SimSun"/>
          <w:sz w:val="24"/>
          <w:szCs w:val="24"/>
          <w:spacing w:val="-1"/>
        </w:rPr>
        <w:t>。</w:t>
      </w:r>
    </w:p>
    <w:p>
      <w:pPr>
        <w:ind w:left="618"/>
        <w:spacing w:before="180"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）一般防渗区</w:t>
      </w:r>
    </w:p>
    <w:p>
      <w:pPr>
        <w:ind w:left="133" w:right="162" w:firstLine="478"/>
        <w:spacing w:before="164" w:line="356" w:lineRule="auto"/>
        <w:rPr>
          <w:rFonts w:ascii="SimSun" w:hAnsi="SimSun" w:eastAsia="SimSun" w:cs="SimSun"/>
          <w:sz w:val="24"/>
          <w:szCs w:val="24"/>
        </w:rPr>
      </w:pPr>
      <w:r>
        <w:rPr>
          <w:rFonts w:ascii="SimSun" w:hAnsi="SimSun" w:eastAsia="SimSun" w:cs="SimSun"/>
          <w:sz w:val="24"/>
          <w:szCs w:val="24"/>
          <w:spacing w:val="1"/>
        </w:rPr>
        <w:t>本项目一般防渗区为牛舍、储粪库、防渗池，要求为设置人工材料防渗层，</w:t>
      </w:r>
      <w:r>
        <w:rPr>
          <w:rFonts w:ascii="SimSun" w:hAnsi="SimSun" w:eastAsia="SimSun" w:cs="SimSun"/>
          <w:sz w:val="24"/>
          <w:szCs w:val="24"/>
          <w:spacing w:val="-2"/>
        </w:rPr>
        <w:t>人工材料的渗透系数应小于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1.0×10</w:t>
      </w:r>
      <w:r>
        <w:rPr>
          <w:rFonts w:ascii="Times New Roman" w:hAnsi="Times New Roman" w:eastAsia="Times New Roman" w:cs="Times New Roman"/>
          <w:sz w:val="16"/>
          <w:szCs w:val="16"/>
          <w:spacing w:val="-2"/>
          <w:position w:val="10"/>
        </w:rPr>
        <w:t>-7</w:t>
      </w:r>
      <w:r>
        <w:rPr>
          <w:rFonts w:ascii="Times New Roman" w:hAnsi="Times New Roman" w:eastAsia="Times New Roman" w:cs="Times New Roman"/>
          <w:sz w:val="24"/>
          <w:szCs w:val="24"/>
          <w:spacing w:val="-2"/>
        </w:rPr>
        <w:t>cm/s</w:t>
      </w:r>
      <w:r>
        <w:rPr>
          <w:rFonts w:ascii="SimSun" w:hAnsi="SimSun" w:eastAsia="SimSun" w:cs="SimSun"/>
          <w:sz w:val="24"/>
          <w:szCs w:val="24"/>
          <w:spacing w:val="-3"/>
        </w:rPr>
        <w:t>，等效黏土层厚度不小于 </w:t>
      </w:r>
      <w:r>
        <w:rPr>
          <w:rFonts w:ascii="Times New Roman" w:hAnsi="Times New Roman" w:eastAsia="Times New Roman" w:cs="Times New Roman"/>
          <w:sz w:val="24"/>
          <w:szCs w:val="24"/>
          <w:spacing w:val="-3"/>
        </w:rPr>
        <w:t>1.0m</w:t>
      </w:r>
      <w:r>
        <w:rPr>
          <w:rFonts w:ascii="SimSun" w:hAnsi="SimSun" w:eastAsia="SimSun" w:cs="SimSun"/>
          <w:sz w:val="24"/>
          <w:szCs w:val="24"/>
          <w:spacing w:val="-3"/>
        </w:rPr>
        <w:t>。</w:t>
      </w:r>
    </w:p>
    <w:p>
      <w:pPr>
        <w:ind w:left="618"/>
        <w:spacing w:line="232"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）简单防渗区</w:t>
      </w:r>
    </w:p>
    <w:p>
      <w:pPr>
        <w:ind w:left="136" w:right="159" w:firstLine="476"/>
        <w:spacing w:before="163" w:line="372" w:lineRule="auto"/>
        <w:rPr>
          <w:rFonts w:ascii="SimSun" w:hAnsi="SimSun" w:eastAsia="SimSun" w:cs="SimSun"/>
          <w:sz w:val="24"/>
          <w:szCs w:val="24"/>
        </w:rPr>
      </w:pPr>
      <w:r>
        <w:rPr>
          <w:rFonts w:ascii="SimSun" w:hAnsi="SimSun" w:eastAsia="SimSun" w:cs="SimSun"/>
          <w:sz w:val="24"/>
          <w:szCs w:val="24"/>
          <w:spacing w:val="1"/>
        </w:rPr>
        <w:t>本项目简单防渗区为办公室、饲料库及厂区道路，要求地面进行硬化处理，</w:t>
      </w:r>
      <w:r>
        <w:rPr>
          <w:rFonts w:ascii="SimSun" w:hAnsi="SimSun" w:eastAsia="SimSun" w:cs="SimSun"/>
          <w:sz w:val="24"/>
          <w:szCs w:val="24"/>
          <w:spacing w:val="-2"/>
        </w:rPr>
        <w:t>具体防渗分区详见表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6-1</w:t>
      </w:r>
      <w:r>
        <w:rPr>
          <w:rFonts w:ascii="SimSun" w:hAnsi="SimSun" w:eastAsia="SimSun" w:cs="SimSun"/>
          <w:sz w:val="24"/>
          <w:szCs w:val="24"/>
          <w:spacing w:val="-2"/>
        </w:rPr>
        <w:t>。</w:t>
      </w:r>
    </w:p>
    <w:p>
      <w:pPr>
        <w:ind w:left="3047"/>
        <w:spacing w:before="46" w:line="234" w:lineRule="auto"/>
        <w:rPr>
          <w:rFonts w:ascii="SimSun" w:hAnsi="SimSun" w:eastAsia="SimSun" w:cs="SimSun"/>
          <w:sz w:val="24"/>
          <w:szCs w:val="24"/>
        </w:rPr>
      </w:pPr>
      <w:r>
        <w:rPr>
          <w:rFonts w:ascii="SimSun" w:hAnsi="SimSun" w:eastAsia="SimSun" w:cs="SimSun"/>
          <w:sz w:val="24"/>
          <w:szCs w:val="24"/>
          <w:b/>
          <w:bCs/>
          <w:spacing w:val="-6"/>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6"/>
        </w:rPr>
        <w:t>6-1</w:t>
      </w:r>
      <w:r>
        <w:rPr>
          <w:rFonts w:ascii="Times New Roman" w:hAnsi="Times New Roman" w:eastAsia="Times New Roman" w:cs="Times New Roman"/>
          <w:sz w:val="24"/>
          <w:szCs w:val="24"/>
          <w:b/>
          <w:bCs/>
          <w:spacing w:val="4"/>
        </w:rPr>
        <w:t xml:space="preserve">      </w:t>
      </w:r>
      <w:r>
        <w:rPr>
          <w:rFonts w:ascii="SimSun" w:hAnsi="SimSun" w:eastAsia="SimSun" w:cs="SimSun"/>
          <w:sz w:val="24"/>
          <w:szCs w:val="24"/>
          <w:b/>
          <w:bCs/>
          <w:spacing w:val="-6"/>
        </w:rPr>
        <w:t>防渗措施一览表</w:t>
      </w:r>
    </w:p>
    <w:p>
      <w:pPr>
        <w:spacing w:line="50" w:lineRule="exact"/>
        <w:rPr/>
      </w:pPr>
      <w:r/>
    </w:p>
    <w:tbl>
      <w:tblPr>
        <w:tblStyle w:val="TableNormal"/>
        <w:tblW w:w="873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2"/>
        <w:gridCol w:w="2667"/>
        <w:gridCol w:w="4374"/>
      </w:tblGrid>
      <w:tr>
        <w:trPr>
          <w:trHeight w:val="485" w:hRule="atLeast"/>
        </w:trPr>
        <w:tc>
          <w:tcPr>
            <w:tcW w:w="1692" w:type="dxa"/>
            <w:vAlign w:val="top"/>
            <w:tcBorders>
              <w:left w:val="nil"/>
              <w:top w:val="single" w:color="000000" w:sz="10" w:space="0"/>
            </w:tcBorders>
          </w:tcPr>
          <w:p>
            <w:pPr>
              <w:pStyle w:val="TableText"/>
              <w:ind w:left="453"/>
              <w:spacing w:before="139" w:line="221" w:lineRule="auto"/>
              <w:rPr/>
            </w:pPr>
            <w:r>
              <w:rPr>
                <w:b/>
                <w:bCs/>
                <w:spacing w:val="-6"/>
              </w:rPr>
              <w:t>防治分区</w:t>
            </w:r>
          </w:p>
        </w:tc>
        <w:tc>
          <w:tcPr>
            <w:tcW w:w="2667" w:type="dxa"/>
            <w:vAlign w:val="top"/>
            <w:tcBorders>
              <w:top w:val="single" w:color="000000" w:sz="10" w:space="0"/>
            </w:tcBorders>
          </w:tcPr>
          <w:p>
            <w:pPr>
              <w:pStyle w:val="TableText"/>
              <w:ind w:left="931"/>
              <w:spacing w:before="138" w:line="221" w:lineRule="auto"/>
              <w:rPr/>
            </w:pPr>
            <w:r>
              <w:rPr>
                <w:b/>
                <w:bCs/>
                <w:spacing w:val="-6"/>
              </w:rPr>
              <w:t>防治部位</w:t>
            </w:r>
          </w:p>
        </w:tc>
        <w:tc>
          <w:tcPr>
            <w:tcW w:w="4374" w:type="dxa"/>
            <w:vAlign w:val="top"/>
            <w:tcBorders>
              <w:right w:val="nil"/>
              <w:top w:val="single" w:color="000000" w:sz="10" w:space="0"/>
            </w:tcBorders>
          </w:tcPr>
          <w:p>
            <w:pPr>
              <w:pStyle w:val="TableText"/>
              <w:ind w:left="1783"/>
              <w:spacing w:before="138" w:line="221" w:lineRule="auto"/>
              <w:rPr/>
            </w:pPr>
            <w:r>
              <w:rPr>
                <w:b/>
                <w:bCs/>
                <w:spacing w:val="-7"/>
              </w:rPr>
              <w:t>防渗等级</w:t>
            </w:r>
          </w:p>
        </w:tc>
      </w:tr>
      <w:tr>
        <w:trPr>
          <w:trHeight w:val="818" w:hRule="atLeast"/>
        </w:trPr>
        <w:tc>
          <w:tcPr>
            <w:tcW w:w="1692" w:type="dxa"/>
            <w:vAlign w:val="top"/>
            <w:tcBorders>
              <w:left w:val="nil"/>
            </w:tcBorders>
          </w:tcPr>
          <w:p>
            <w:pPr>
              <w:pStyle w:val="TableText"/>
              <w:ind w:left="769" w:right="203" w:hanging="537"/>
              <w:spacing w:before="174" w:line="245" w:lineRule="auto"/>
              <w:rPr/>
            </w:pPr>
            <w:r>
              <w:rPr>
                <w:spacing w:val="-2"/>
              </w:rPr>
              <w:t>重点污染防治</w:t>
            </w:r>
            <w:r>
              <w:rPr/>
              <w:t>区</w:t>
            </w:r>
          </w:p>
        </w:tc>
        <w:tc>
          <w:tcPr>
            <w:tcW w:w="2667" w:type="dxa"/>
            <w:vAlign w:val="top"/>
          </w:tcPr>
          <w:p>
            <w:pPr>
              <w:spacing w:line="241" w:lineRule="auto"/>
              <w:rPr>
                <w:rFonts w:ascii="Arial"/>
                <w:sz w:val="21"/>
              </w:rPr>
            </w:pPr>
            <w:r/>
          </w:p>
          <w:p>
            <w:pPr>
              <w:pStyle w:val="TableText"/>
              <w:ind w:left="606"/>
              <w:spacing w:before="68" w:line="221" w:lineRule="auto"/>
              <w:rPr/>
            </w:pPr>
            <w:r>
              <w:rPr>
                <w:spacing w:val="-2"/>
              </w:rPr>
              <w:t>危险废物暂存间</w:t>
            </w:r>
          </w:p>
        </w:tc>
        <w:tc>
          <w:tcPr>
            <w:tcW w:w="4374" w:type="dxa"/>
            <w:vAlign w:val="top"/>
            <w:tcBorders>
              <w:right w:val="nil"/>
            </w:tcBorders>
          </w:tcPr>
          <w:p>
            <w:pPr>
              <w:pStyle w:val="TableText"/>
              <w:ind w:left="116"/>
              <w:spacing w:before="174" w:line="220" w:lineRule="auto"/>
              <w:rPr/>
            </w:pPr>
            <w:r>
              <w:rPr>
                <w:spacing w:val="-3"/>
              </w:rPr>
              <w:t>危废间内采用抗渗混凝土地面级围裙，渗透系</w:t>
            </w:r>
          </w:p>
          <w:p>
            <w:pPr>
              <w:pStyle w:val="TableText"/>
              <w:ind w:left="1613"/>
              <w:spacing w:line="290" w:lineRule="exact"/>
              <w:rPr>
                <w:rFonts w:ascii="Calibri" w:hAnsi="Calibri" w:eastAsia="Calibri" w:cs="Calibri"/>
              </w:rPr>
            </w:pPr>
            <w:r>
              <w:rPr>
                <w:position w:val="2"/>
              </w:rPr>
              <w:t>数≤</w:t>
            </w:r>
            <w:r>
              <w:rPr>
                <w:rFonts w:ascii="Calibri" w:hAnsi="Calibri" w:eastAsia="Calibri" w:cs="Calibri"/>
                <w:position w:val="2"/>
              </w:rPr>
              <w:t>10</w:t>
            </w:r>
            <w:r>
              <w:rPr>
                <w:rFonts w:ascii="Calibri" w:hAnsi="Calibri" w:eastAsia="Calibri" w:cs="Calibri"/>
                <w:sz w:val="13"/>
                <w:szCs w:val="13"/>
                <w:position w:val="11"/>
              </w:rPr>
              <w:t>-7</w:t>
            </w:r>
            <w:r>
              <w:rPr>
                <w:rFonts w:ascii="Calibri" w:hAnsi="Calibri" w:eastAsia="Calibri" w:cs="Calibri"/>
                <w:position w:val="2"/>
              </w:rPr>
              <w:t>cm/s</w:t>
            </w:r>
          </w:p>
        </w:tc>
      </w:tr>
      <w:tr>
        <w:trPr>
          <w:trHeight w:val="543" w:hRule="atLeast"/>
        </w:trPr>
        <w:tc>
          <w:tcPr>
            <w:tcW w:w="1692" w:type="dxa"/>
            <w:vAlign w:val="top"/>
            <w:tcBorders>
              <w:left w:val="nil"/>
            </w:tcBorders>
          </w:tcPr>
          <w:p>
            <w:pPr>
              <w:pStyle w:val="TableText"/>
              <w:ind w:left="769" w:right="203" w:hanging="535"/>
              <w:spacing w:before="46" w:line="214" w:lineRule="auto"/>
              <w:rPr/>
            </w:pPr>
            <w:r>
              <w:rPr>
                <w:spacing w:val="-2"/>
              </w:rPr>
              <w:t>一般污染防治</w:t>
            </w:r>
            <w:r>
              <w:rPr/>
              <w:t>区</w:t>
            </w:r>
          </w:p>
        </w:tc>
        <w:tc>
          <w:tcPr>
            <w:tcW w:w="2667" w:type="dxa"/>
            <w:vAlign w:val="top"/>
          </w:tcPr>
          <w:p>
            <w:pPr>
              <w:pStyle w:val="TableText"/>
              <w:ind w:left="294"/>
              <w:spacing w:before="181" w:line="221" w:lineRule="auto"/>
              <w:rPr/>
            </w:pPr>
            <w:r>
              <w:rPr>
                <w:spacing w:val="-1"/>
              </w:rPr>
              <w:t>牛舍、储粪库、防渗池</w:t>
            </w:r>
          </w:p>
        </w:tc>
        <w:tc>
          <w:tcPr>
            <w:tcW w:w="4374" w:type="dxa"/>
            <w:vAlign w:val="top"/>
            <w:tcBorders>
              <w:right w:val="nil"/>
            </w:tcBorders>
          </w:tcPr>
          <w:p>
            <w:pPr>
              <w:pStyle w:val="TableText"/>
              <w:ind w:left="428" w:right="105" w:hanging="315"/>
              <w:spacing w:before="46" w:line="214" w:lineRule="auto"/>
              <w:rPr/>
            </w:pPr>
            <w:r>
              <w:rPr>
                <w:spacing w:val="-3"/>
              </w:rPr>
              <w:t>底部为混凝土结构，应保证能达到黏土防渗层</w:t>
            </w:r>
            <w:r>
              <w:rPr>
                <w:rFonts w:ascii="Times New Roman" w:hAnsi="Times New Roman" w:eastAsia="Times New Roman" w:cs="Times New Roman"/>
                <w:spacing w:val="-2"/>
              </w:rPr>
              <w:t>Mb≥1.5m</w:t>
            </w:r>
            <w:r>
              <w:rPr>
                <w:rFonts w:ascii="Times New Roman" w:hAnsi="Times New Roman" w:eastAsia="Times New Roman" w:cs="Times New Roman"/>
                <w:spacing w:val="-24"/>
              </w:rPr>
              <w:t xml:space="preserve"> </w:t>
            </w:r>
            <w:r>
              <w:rPr>
                <w:spacing w:val="-2"/>
              </w:rPr>
              <w:t>，</w:t>
            </w:r>
            <w:r>
              <w:rPr>
                <w:rFonts w:ascii="Times New Roman" w:hAnsi="Times New Roman" w:eastAsia="Times New Roman" w:cs="Times New Roman"/>
                <w:spacing w:val="-2"/>
              </w:rPr>
              <w:t>K≤1×10</w:t>
            </w:r>
            <w:r>
              <w:rPr>
                <w:rFonts w:ascii="Times New Roman" w:hAnsi="Times New Roman" w:eastAsia="Times New Roman" w:cs="Times New Roman"/>
                <w:sz w:val="7"/>
                <w:szCs w:val="7"/>
                <w:spacing w:val="-2"/>
              </w:rPr>
              <w:t>-7</w:t>
            </w:r>
            <w:r>
              <w:rPr>
                <w:rFonts w:ascii="Times New Roman" w:hAnsi="Times New Roman" w:eastAsia="Times New Roman" w:cs="Times New Roman"/>
                <w:spacing w:val="-2"/>
              </w:rPr>
              <w:t>cm/s</w:t>
            </w:r>
            <w:r>
              <w:rPr>
                <w:rFonts w:ascii="Times New Roman" w:hAnsi="Times New Roman" w:eastAsia="Times New Roman" w:cs="Times New Roman"/>
                <w:spacing w:val="30"/>
                <w:w w:val="101"/>
              </w:rPr>
              <w:t xml:space="preserve"> </w:t>
            </w:r>
            <w:r>
              <w:rPr>
                <w:spacing w:val="-2"/>
              </w:rPr>
              <w:t>同等防渗性能</w:t>
            </w:r>
          </w:p>
        </w:tc>
      </w:tr>
      <w:tr>
        <w:trPr>
          <w:trHeight w:val="299" w:hRule="atLeast"/>
        </w:trPr>
        <w:tc>
          <w:tcPr>
            <w:tcW w:w="1692" w:type="dxa"/>
            <w:vAlign w:val="top"/>
            <w:tcBorders>
              <w:left w:val="nil"/>
              <w:bottom w:val="single" w:color="000000" w:sz="10" w:space="0"/>
            </w:tcBorders>
          </w:tcPr>
          <w:p>
            <w:pPr>
              <w:pStyle w:val="TableText"/>
              <w:ind w:left="338"/>
              <w:spacing w:before="51" w:line="209" w:lineRule="auto"/>
              <w:rPr/>
            </w:pPr>
            <w:r>
              <w:rPr>
                <w:spacing w:val="-2"/>
              </w:rPr>
              <w:t>简单防渗区</w:t>
            </w:r>
          </w:p>
        </w:tc>
        <w:tc>
          <w:tcPr>
            <w:tcW w:w="2667" w:type="dxa"/>
            <w:vAlign w:val="top"/>
            <w:tcBorders>
              <w:bottom w:val="single" w:color="000000" w:sz="10" w:space="0"/>
            </w:tcBorders>
          </w:tcPr>
          <w:p>
            <w:pPr>
              <w:pStyle w:val="TableText"/>
              <w:ind w:left="118"/>
              <w:spacing w:before="51" w:line="209" w:lineRule="auto"/>
              <w:rPr/>
            </w:pPr>
            <w:r>
              <w:rPr>
                <w:spacing w:val="-7"/>
              </w:rPr>
              <w:t>办公室、饲料库、厂区道路</w:t>
            </w:r>
          </w:p>
        </w:tc>
        <w:tc>
          <w:tcPr>
            <w:tcW w:w="4374" w:type="dxa"/>
            <w:vAlign w:val="top"/>
            <w:tcBorders>
              <w:right w:val="nil"/>
              <w:bottom w:val="single" w:color="000000" w:sz="10" w:space="0"/>
            </w:tcBorders>
          </w:tcPr>
          <w:p>
            <w:pPr>
              <w:pStyle w:val="TableText"/>
              <w:ind w:left="1350"/>
              <w:spacing w:before="51" w:line="209" w:lineRule="auto"/>
              <w:rPr/>
            </w:pPr>
            <w:r>
              <w:rPr>
                <w:spacing w:val="-1"/>
              </w:rPr>
              <w:t>进行一般地面硬化</w:t>
            </w:r>
          </w:p>
        </w:tc>
      </w:tr>
    </w:tbl>
    <w:p>
      <w:pPr>
        <w:pStyle w:val="BodyText"/>
        <w:spacing w:line="294" w:lineRule="auto"/>
        <w:rPr/>
      </w:pPr>
      <w:r/>
    </w:p>
    <w:p>
      <w:pPr>
        <w:ind w:left="131"/>
        <w:spacing w:before="79"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6.2.3 </w:t>
      </w:r>
      <w:r>
        <w:rPr>
          <w:rFonts w:ascii="SimSun" w:hAnsi="SimSun" w:eastAsia="SimSun" w:cs="SimSun"/>
          <w:sz w:val="24"/>
          <w:szCs w:val="24"/>
          <w:b/>
          <w:bCs/>
          <w:spacing w:val="-2"/>
        </w:rPr>
        <w:t>环境监测要求</w:t>
      </w:r>
    </w:p>
    <w:p>
      <w:pPr>
        <w:pStyle w:val="BodyText"/>
        <w:spacing w:line="264" w:lineRule="auto"/>
        <w:rPr/>
      </w:pPr>
      <w:r/>
    </w:p>
    <w:p>
      <w:pPr>
        <w:ind w:left="131" w:right="103" w:firstLine="480"/>
        <w:spacing w:before="79" w:line="359" w:lineRule="auto"/>
        <w:jc w:val="both"/>
        <w:rPr>
          <w:rFonts w:ascii="SimSun" w:hAnsi="SimSun" w:eastAsia="SimSun" w:cs="SimSun"/>
          <w:sz w:val="24"/>
          <w:szCs w:val="24"/>
        </w:rPr>
      </w:pPr>
      <w:r>
        <w:rPr>
          <w:rFonts w:ascii="SimSun" w:hAnsi="SimSun" w:eastAsia="SimSun" w:cs="SimSun"/>
          <w:sz w:val="24"/>
          <w:szCs w:val="24"/>
        </w:rPr>
        <w:t>本项目地下水评价工作等级为三级，《环境影响评价技术导则</w:t>
      </w:r>
      <w:r>
        <w:rPr>
          <w:rFonts w:ascii="Times New Roman" w:hAnsi="Times New Roman" w:eastAsia="Times New Roman" w:cs="Times New Roman"/>
          <w:sz w:val="24"/>
          <w:szCs w:val="24"/>
        </w:rPr>
        <w:t>-</w:t>
      </w:r>
      <w:r>
        <w:rPr>
          <w:rFonts w:ascii="SimSun" w:hAnsi="SimSun" w:eastAsia="SimSun" w:cs="SimSun"/>
          <w:sz w:val="24"/>
          <w:szCs w:val="24"/>
        </w:rPr>
        <w:t>地下水环境》</w:t>
      </w:r>
      <w:r>
        <w:rPr>
          <w:rFonts w:ascii="SimSun" w:hAnsi="SimSun" w:eastAsia="SimSun" w:cs="SimSun"/>
          <w:sz w:val="24"/>
          <w:szCs w:val="24"/>
          <w:spacing w:val="1"/>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HJ610-2016</w:t>
      </w:r>
      <w:r>
        <w:rPr>
          <w:rFonts w:ascii="SimSun" w:hAnsi="SimSun" w:eastAsia="SimSun" w:cs="SimSun"/>
          <w:sz w:val="24"/>
          <w:szCs w:val="24"/>
          <w:spacing w:val="-1"/>
        </w:rPr>
        <w:t>）中 </w:t>
      </w:r>
      <w:r>
        <w:rPr>
          <w:rFonts w:ascii="Times New Roman" w:hAnsi="Times New Roman" w:eastAsia="Times New Roman" w:cs="Times New Roman"/>
          <w:sz w:val="24"/>
          <w:szCs w:val="24"/>
          <w:spacing w:val="-1"/>
        </w:rPr>
        <w:t>11.3 </w:t>
      </w:r>
      <w:r>
        <w:rPr>
          <w:rFonts w:ascii="Times New Roman" w:hAnsi="Times New Roman" w:eastAsia="Times New Roman" w:cs="Times New Roman"/>
          <w:sz w:val="24"/>
          <w:szCs w:val="24"/>
          <w:spacing w:val="-2"/>
        </w:rPr>
        <w:t xml:space="preserve"> </w:t>
      </w:r>
      <w:r>
        <w:rPr>
          <w:rFonts w:ascii="SimSun" w:hAnsi="SimSun" w:eastAsia="SimSun" w:cs="SimSun"/>
          <w:sz w:val="24"/>
          <w:szCs w:val="24"/>
          <w:spacing w:val="-2"/>
        </w:rPr>
        <w:t>地下水环境监测与管理中要求，三级评价的建设项目，地</w:t>
      </w:r>
      <w:r>
        <w:rPr>
          <w:rFonts w:ascii="SimSun" w:hAnsi="SimSun" w:eastAsia="SimSun" w:cs="SimSun"/>
          <w:sz w:val="24"/>
          <w:szCs w:val="24"/>
          <w:spacing w:val="-3"/>
        </w:rPr>
        <w:t>下水跟踪监测点一般不少于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52"/>
        </w:rPr>
        <w:t xml:space="preserve"> </w:t>
      </w:r>
      <w:r>
        <w:rPr>
          <w:rFonts w:ascii="SimSun" w:hAnsi="SimSun" w:eastAsia="SimSun" w:cs="SimSun"/>
          <w:sz w:val="24"/>
          <w:szCs w:val="24"/>
          <w:spacing w:val="-3"/>
        </w:rPr>
        <w:t>个，应至少在建设项目场地下游布置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5"/>
          <w:w w:val="101"/>
        </w:rPr>
        <w:t xml:space="preserve"> </w:t>
      </w:r>
      <w:r>
        <w:rPr>
          <w:rFonts w:ascii="SimSun" w:hAnsi="SimSun" w:eastAsia="SimSun" w:cs="SimSun"/>
          <w:sz w:val="24"/>
          <w:szCs w:val="24"/>
          <w:spacing w:val="-3"/>
        </w:rPr>
        <w:t>个，本项目</w:t>
      </w:r>
      <w:r>
        <w:rPr>
          <w:rFonts w:ascii="SimSun" w:hAnsi="SimSun" w:eastAsia="SimSun" w:cs="SimSun"/>
          <w:sz w:val="24"/>
          <w:szCs w:val="24"/>
          <w:spacing w:val="-2"/>
        </w:rPr>
        <w:t>地下水跟踪监测布点情况详见表</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2"/>
        </w:rPr>
        <w:t>6-2</w:t>
      </w:r>
      <w:r>
        <w:rPr>
          <w:rFonts w:ascii="SimSun" w:hAnsi="SimSun" w:eastAsia="SimSun" w:cs="SimSun"/>
          <w:sz w:val="24"/>
          <w:szCs w:val="24"/>
          <w:spacing w:val="-2"/>
        </w:rPr>
        <w:t>。</w:t>
      </w:r>
    </w:p>
    <w:p>
      <w:pPr>
        <w:ind w:left="2504"/>
        <w:spacing w:before="1"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9"/>
        </w:rPr>
        <w:t xml:space="preserve"> </w:t>
      </w:r>
      <w:r>
        <w:rPr>
          <w:rFonts w:ascii="Times New Roman" w:hAnsi="Times New Roman" w:eastAsia="Times New Roman" w:cs="Times New Roman"/>
          <w:sz w:val="24"/>
          <w:szCs w:val="24"/>
          <w:b/>
          <w:bCs/>
          <w:spacing w:val="-2"/>
        </w:rPr>
        <w:t>6-2    </w:t>
      </w:r>
      <w:r>
        <w:rPr>
          <w:rFonts w:ascii="SimSun" w:hAnsi="SimSun" w:eastAsia="SimSun" w:cs="SimSun"/>
          <w:sz w:val="24"/>
          <w:szCs w:val="24"/>
          <w:b/>
          <w:bCs/>
          <w:spacing w:val="-2"/>
        </w:rPr>
        <w:t>地下水跟踪监测点位布置情况表</w:t>
      </w:r>
    </w:p>
    <w:p>
      <w:pPr>
        <w:spacing w:line="132" w:lineRule="exact"/>
        <w:rPr/>
      </w:pPr>
      <w:r/>
    </w:p>
    <w:tbl>
      <w:tblPr>
        <w:tblStyle w:val="TableNormal"/>
        <w:tblW w:w="8733"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0"/>
        <w:gridCol w:w="2645"/>
        <w:gridCol w:w="1109"/>
        <w:gridCol w:w="1906"/>
        <w:gridCol w:w="2233"/>
      </w:tblGrid>
      <w:tr>
        <w:trPr>
          <w:trHeight w:val="276" w:hRule="atLeast"/>
        </w:trPr>
        <w:tc>
          <w:tcPr>
            <w:tcW w:w="840" w:type="dxa"/>
            <w:vAlign w:val="top"/>
            <w:tcBorders>
              <w:top w:val="single" w:color="000000" w:sz="10" w:space="0"/>
              <w:left w:val="nil"/>
            </w:tcBorders>
          </w:tcPr>
          <w:p>
            <w:pPr>
              <w:pStyle w:val="TableText"/>
              <w:ind w:left="224"/>
              <w:spacing w:before="33" w:line="204" w:lineRule="auto"/>
              <w:rPr/>
            </w:pPr>
            <w:r>
              <w:rPr>
                <w:b/>
                <w:bCs/>
                <w:spacing w:val="-4"/>
              </w:rPr>
              <w:t>位置</w:t>
            </w:r>
          </w:p>
        </w:tc>
        <w:tc>
          <w:tcPr>
            <w:tcW w:w="2645" w:type="dxa"/>
            <w:vAlign w:val="top"/>
            <w:tcBorders>
              <w:top w:val="single" w:color="000000" w:sz="10" w:space="0"/>
            </w:tcBorders>
          </w:tcPr>
          <w:p>
            <w:pPr>
              <w:pStyle w:val="TableText"/>
              <w:ind w:left="1118"/>
              <w:spacing w:before="33" w:line="204" w:lineRule="auto"/>
              <w:rPr/>
            </w:pPr>
            <w:r>
              <w:rPr>
                <w:b/>
                <w:bCs/>
                <w:spacing w:val="-4"/>
              </w:rPr>
              <w:t>坐标</w:t>
            </w:r>
          </w:p>
        </w:tc>
        <w:tc>
          <w:tcPr>
            <w:tcW w:w="1109" w:type="dxa"/>
            <w:vAlign w:val="top"/>
            <w:tcBorders>
              <w:top w:val="single" w:color="000000" w:sz="10" w:space="0"/>
            </w:tcBorders>
          </w:tcPr>
          <w:p>
            <w:pPr>
              <w:pStyle w:val="TableText"/>
              <w:ind w:left="138"/>
              <w:spacing w:before="33" w:line="204" w:lineRule="auto"/>
              <w:rPr/>
            </w:pPr>
            <w:r>
              <w:rPr>
                <w:b/>
                <w:bCs/>
                <w:spacing w:val="-4"/>
              </w:rPr>
              <w:t>监测层位</w:t>
            </w:r>
          </w:p>
        </w:tc>
        <w:tc>
          <w:tcPr>
            <w:tcW w:w="1906" w:type="dxa"/>
            <w:vAlign w:val="top"/>
            <w:tcBorders>
              <w:top w:val="single" w:color="000000" w:sz="10" w:space="0"/>
            </w:tcBorders>
          </w:tcPr>
          <w:p>
            <w:pPr>
              <w:pStyle w:val="TableText"/>
              <w:ind w:left="537"/>
              <w:spacing w:before="33" w:line="204" w:lineRule="auto"/>
              <w:rPr/>
            </w:pPr>
            <w:r>
              <w:rPr>
                <w:b/>
                <w:bCs/>
                <w:spacing w:val="-4"/>
              </w:rPr>
              <w:t>监测频率</w:t>
            </w:r>
          </w:p>
        </w:tc>
        <w:tc>
          <w:tcPr>
            <w:tcW w:w="2233" w:type="dxa"/>
            <w:vAlign w:val="top"/>
            <w:tcBorders>
              <w:top w:val="single" w:color="000000" w:sz="10" w:space="0"/>
              <w:right w:val="nil"/>
            </w:tcBorders>
          </w:tcPr>
          <w:p>
            <w:pPr>
              <w:pStyle w:val="TableText"/>
              <w:ind w:left="700"/>
              <w:spacing w:before="33" w:line="204" w:lineRule="auto"/>
              <w:rPr/>
            </w:pPr>
            <w:r>
              <w:rPr>
                <w:b/>
                <w:bCs/>
                <w:spacing w:val="-4"/>
              </w:rPr>
              <w:t>监测项目</w:t>
            </w:r>
          </w:p>
        </w:tc>
      </w:tr>
      <w:tr>
        <w:trPr>
          <w:trHeight w:val="1099" w:hRule="atLeast"/>
        </w:trPr>
        <w:tc>
          <w:tcPr>
            <w:tcW w:w="840" w:type="dxa"/>
            <w:vAlign w:val="top"/>
            <w:tcBorders>
              <w:bottom w:val="single" w:color="000000" w:sz="10" w:space="0"/>
              <w:left w:val="nil"/>
            </w:tcBorders>
          </w:tcPr>
          <w:p>
            <w:pPr>
              <w:pStyle w:val="TableText"/>
              <w:ind w:left="224" w:right="199" w:hanging="1"/>
              <w:spacing w:before="305" w:line="243" w:lineRule="auto"/>
              <w:rPr/>
            </w:pPr>
            <w:r>
              <w:rPr>
                <w:spacing w:val="-3"/>
              </w:rPr>
              <w:t>储粪</w:t>
            </w:r>
            <w:r>
              <w:rPr>
                <w:spacing w:val="-4"/>
              </w:rPr>
              <w:t>库旁</w:t>
            </w:r>
          </w:p>
        </w:tc>
        <w:tc>
          <w:tcPr>
            <w:tcW w:w="2645" w:type="dxa"/>
            <w:vAlign w:val="top"/>
            <w:tcBorders>
              <w:bottom w:val="single" w:color="000000" w:sz="10" w:space="0"/>
            </w:tcBorders>
          </w:tcPr>
          <w:p>
            <w:pPr>
              <w:pStyle w:val="TableText"/>
              <w:ind w:left="161"/>
              <w:spacing w:before="307" w:line="234" w:lineRule="auto"/>
              <w:rPr/>
            </w:pPr>
            <w:r>
              <w:rPr>
                <w:spacing w:val="-7"/>
              </w:rPr>
              <w:t>东经：</w:t>
            </w:r>
            <w:r>
              <w:rPr>
                <w:rFonts w:ascii="Times New Roman" w:hAnsi="Times New Roman" w:eastAsia="Times New Roman" w:cs="Times New Roman"/>
                <w:spacing w:val="-7"/>
              </w:rPr>
              <w:t>116</w:t>
            </w:r>
            <w:r>
              <w:rPr>
                <w:rFonts w:ascii="Times New Roman" w:hAnsi="Times New Roman" w:eastAsia="Times New Roman" w:cs="Times New Roman"/>
                <w:spacing w:val="-27"/>
              </w:rPr>
              <w:t xml:space="preserve"> </w:t>
            </w:r>
            <w:r>
              <w:rPr>
                <w:spacing w:val="-7"/>
              </w:rPr>
              <w:t>°</w:t>
            </w:r>
            <w:r>
              <w:rPr>
                <w:spacing w:val="-80"/>
              </w:rPr>
              <w:t xml:space="preserve"> </w:t>
            </w:r>
            <w:r>
              <w:rPr>
                <w:rFonts w:ascii="Times New Roman" w:hAnsi="Times New Roman" w:eastAsia="Times New Roman" w:cs="Times New Roman"/>
                <w:spacing w:val="-7"/>
              </w:rPr>
              <w:t>11</w:t>
            </w:r>
            <w:r>
              <w:rPr>
                <w:rFonts w:ascii="Times New Roman" w:hAnsi="Times New Roman" w:eastAsia="Times New Roman" w:cs="Times New Roman"/>
                <w:spacing w:val="-15"/>
              </w:rPr>
              <w:t xml:space="preserve"> </w:t>
            </w:r>
            <w:r>
              <w:rPr>
                <w:spacing w:val="-7"/>
              </w:rPr>
              <w:t>′</w:t>
            </w:r>
            <w:r>
              <w:rPr>
                <w:rFonts w:ascii="Times New Roman" w:hAnsi="Times New Roman" w:eastAsia="Times New Roman" w:cs="Times New Roman"/>
                <w:spacing w:val="-7"/>
              </w:rPr>
              <w:t>56.748</w:t>
            </w:r>
            <w:r>
              <w:rPr>
                <w:rFonts w:ascii="Times New Roman" w:hAnsi="Times New Roman" w:eastAsia="Times New Roman" w:cs="Times New Roman"/>
                <w:spacing w:val="-13"/>
              </w:rPr>
              <w:t xml:space="preserve"> </w:t>
            </w:r>
            <w:r>
              <w:rPr>
                <w:spacing w:val="-7"/>
              </w:rPr>
              <w:t>″</w:t>
            </w:r>
          </w:p>
          <w:p>
            <w:pPr>
              <w:pStyle w:val="TableText"/>
              <w:ind w:left="203"/>
              <w:spacing w:before="7" w:line="235" w:lineRule="auto"/>
              <w:rPr/>
            </w:pPr>
            <w:r>
              <w:rPr>
                <w:spacing w:val="-5"/>
              </w:rPr>
              <w:t>北纬：</w:t>
            </w:r>
            <w:r>
              <w:rPr>
                <w:rFonts w:ascii="Times New Roman" w:hAnsi="Times New Roman" w:eastAsia="Times New Roman" w:cs="Times New Roman"/>
                <w:spacing w:val="-5"/>
              </w:rPr>
              <w:t>43</w:t>
            </w:r>
            <w:r>
              <w:rPr>
                <w:rFonts w:ascii="Times New Roman" w:hAnsi="Times New Roman" w:eastAsia="Times New Roman" w:cs="Times New Roman"/>
                <w:spacing w:val="-21"/>
              </w:rPr>
              <w:t xml:space="preserve"> </w:t>
            </w:r>
            <w:r>
              <w:rPr>
                <w:spacing w:val="-5"/>
              </w:rPr>
              <w:t>°</w:t>
            </w:r>
            <w:r>
              <w:rPr>
                <w:rFonts w:ascii="Times New Roman" w:hAnsi="Times New Roman" w:eastAsia="Times New Roman" w:cs="Times New Roman"/>
                <w:spacing w:val="-5"/>
              </w:rPr>
              <w:t>56</w:t>
            </w:r>
            <w:r>
              <w:rPr>
                <w:rFonts w:ascii="Times New Roman" w:hAnsi="Times New Roman" w:eastAsia="Times New Roman" w:cs="Times New Roman"/>
                <w:spacing w:val="-14"/>
              </w:rPr>
              <w:t xml:space="preserve"> </w:t>
            </w:r>
            <w:r>
              <w:rPr>
                <w:spacing w:val="-5"/>
              </w:rPr>
              <w:t>′</w:t>
            </w:r>
            <w:r>
              <w:rPr>
                <w:rFonts w:ascii="Times New Roman" w:hAnsi="Times New Roman" w:eastAsia="Times New Roman" w:cs="Times New Roman"/>
                <w:spacing w:val="-5"/>
              </w:rPr>
              <w:t>36.960</w:t>
            </w:r>
            <w:r>
              <w:rPr>
                <w:rFonts w:ascii="Times New Roman" w:hAnsi="Times New Roman" w:eastAsia="Times New Roman" w:cs="Times New Roman"/>
                <w:spacing w:val="-14"/>
              </w:rPr>
              <w:t xml:space="preserve"> </w:t>
            </w:r>
            <w:r>
              <w:rPr>
                <w:spacing w:val="-5"/>
              </w:rPr>
              <w:t>″</w:t>
            </w:r>
          </w:p>
        </w:tc>
        <w:tc>
          <w:tcPr>
            <w:tcW w:w="1109" w:type="dxa"/>
            <w:vAlign w:val="top"/>
            <w:tcBorders>
              <w:bottom w:val="single" w:color="000000" w:sz="10" w:space="0"/>
            </w:tcBorders>
          </w:tcPr>
          <w:p>
            <w:pPr>
              <w:pStyle w:val="TableText"/>
              <w:ind w:left="138"/>
              <w:spacing w:before="172" w:line="222" w:lineRule="auto"/>
              <w:rPr/>
            </w:pPr>
            <w:r>
              <w:rPr>
                <w:spacing w:val="-2"/>
              </w:rPr>
              <w:t>地表以下</w:t>
            </w:r>
          </w:p>
          <w:p>
            <w:pPr>
              <w:pStyle w:val="TableText"/>
              <w:ind w:left="452" w:right="131" w:hanging="314"/>
              <w:spacing w:before="18" w:line="241" w:lineRule="auto"/>
              <w:rPr/>
            </w:pPr>
            <w:r>
              <w:rPr>
                <w:spacing w:val="-2"/>
              </w:rPr>
              <w:t>第一含水</w:t>
            </w:r>
            <w:r>
              <w:rPr/>
              <w:t>层</w:t>
            </w:r>
          </w:p>
        </w:tc>
        <w:tc>
          <w:tcPr>
            <w:tcW w:w="1906" w:type="dxa"/>
            <w:vAlign w:val="top"/>
            <w:tcBorders>
              <w:bottom w:val="single" w:color="000000" w:sz="10" w:space="0"/>
            </w:tcBorders>
          </w:tcPr>
          <w:p>
            <w:pPr>
              <w:pStyle w:val="TableText"/>
              <w:ind w:left="226"/>
              <w:spacing w:before="35" w:line="221" w:lineRule="auto"/>
              <w:rPr/>
            </w:pPr>
            <w:r>
              <w:rPr/>
              <w:t>正常工况每年一</w:t>
            </w:r>
          </w:p>
          <w:p>
            <w:pPr>
              <w:pStyle w:val="TableText"/>
              <w:ind w:left="122"/>
              <w:spacing w:before="19" w:line="221" w:lineRule="auto"/>
              <w:rPr/>
            </w:pPr>
            <w:r>
              <w:rPr>
                <w:spacing w:val="-2"/>
              </w:rPr>
              <w:t>次，发生事故后加</w:t>
            </w:r>
          </w:p>
          <w:p>
            <w:pPr>
              <w:pStyle w:val="TableText"/>
              <w:ind w:left="117"/>
              <w:spacing w:before="23" w:line="221" w:lineRule="auto"/>
              <w:rPr/>
            </w:pPr>
            <w:r>
              <w:rPr>
                <w:spacing w:val="-1"/>
              </w:rPr>
              <w:t>密监测，直到污染</w:t>
            </w:r>
          </w:p>
          <w:p>
            <w:pPr>
              <w:pStyle w:val="TableText"/>
              <w:ind w:left="752"/>
              <w:spacing w:before="20" w:line="208" w:lineRule="auto"/>
              <w:rPr/>
            </w:pPr>
            <w:r>
              <w:rPr>
                <w:spacing w:val="-3"/>
              </w:rPr>
              <w:t>消除</w:t>
            </w:r>
          </w:p>
        </w:tc>
        <w:tc>
          <w:tcPr>
            <w:tcW w:w="2233" w:type="dxa"/>
            <w:vAlign w:val="top"/>
            <w:tcBorders>
              <w:bottom w:val="single" w:color="000000" w:sz="10" w:space="0"/>
              <w:right w:val="nil"/>
            </w:tcBorders>
          </w:tcPr>
          <w:p>
            <w:pPr>
              <w:pStyle w:val="TableText"/>
              <w:ind w:left="112" w:right="45" w:firstLine="137"/>
              <w:spacing w:before="37" w:line="231" w:lineRule="auto"/>
              <w:rPr/>
            </w:pPr>
            <w:r>
              <w:rPr>
                <w:rFonts w:ascii="Times New Roman" w:hAnsi="Times New Roman" w:eastAsia="Times New Roman" w:cs="Times New Roman"/>
              </w:rPr>
              <w:t>pH</w:t>
            </w:r>
            <w:r>
              <w:rPr/>
              <w:t>、氨氮、耗氧量 </w:t>
            </w:r>
            <w:r>
              <w:rPr>
                <w:spacing w:val="-2"/>
              </w:rPr>
              <w:t>（</w:t>
            </w:r>
            <w:r>
              <w:rPr>
                <w:rFonts w:ascii="Times New Roman" w:hAnsi="Times New Roman" w:eastAsia="Times New Roman" w:cs="Times New Roman"/>
                <w:spacing w:val="-2"/>
              </w:rPr>
              <w:t>COD</w:t>
            </w:r>
            <w:r>
              <w:rPr>
                <w:rFonts w:ascii="Times New Roman" w:hAnsi="Times New Roman" w:eastAsia="Times New Roman" w:cs="Times New Roman"/>
                <w:sz w:val="13"/>
                <w:szCs w:val="13"/>
                <w:spacing w:val="-2"/>
                <w:position w:val="-2"/>
              </w:rPr>
              <w:t>Mn</w:t>
            </w:r>
            <w:r>
              <w:rPr>
                <w:spacing w:val="-2"/>
              </w:rPr>
              <w:t>）、硫酸盐、</w:t>
            </w:r>
            <w:r>
              <w:rPr>
                <w:spacing w:val="6"/>
              </w:rPr>
              <w:t>硝酸盐氮、亚硝酸盐</w:t>
            </w:r>
            <w:r>
              <w:rPr>
                <w:spacing w:val="-9"/>
              </w:rPr>
              <w:t>氮、挥发分、石油类等</w:t>
            </w:r>
          </w:p>
        </w:tc>
      </w:tr>
    </w:tbl>
    <w:p>
      <w:pPr>
        <w:pStyle w:val="BodyText"/>
        <w:spacing w:line="295" w:lineRule="auto"/>
        <w:rPr/>
      </w:pPr>
      <w:r/>
    </w:p>
    <w:p>
      <w:pPr>
        <w:ind w:left="131"/>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6.2.4 </w:t>
      </w:r>
      <w:r>
        <w:rPr>
          <w:rFonts w:ascii="SimSun" w:hAnsi="SimSun" w:eastAsia="SimSun" w:cs="SimSun"/>
          <w:sz w:val="24"/>
          <w:szCs w:val="24"/>
          <w:b/>
          <w:bCs/>
          <w:spacing w:val="-2"/>
        </w:rPr>
        <w:t>监测数据管理</w:t>
      </w:r>
    </w:p>
    <w:p>
      <w:pPr>
        <w:pStyle w:val="BodyText"/>
        <w:spacing w:line="262" w:lineRule="auto"/>
        <w:rPr/>
      </w:pPr>
      <w:r/>
    </w:p>
    <w:p>
      <w:pPr>
        <w:ind w:left="129" w:right="115" w:firstLine="483"/>
        <w:spacing w:before="79" w:line="360" w:lineRule="auto"/>
        <w:jc w:val="both"/>
        <w:rPr>
          <w:rFonts w:ascii="SimSun" w:hAnsi="SimSun" w:eastAsia="SimSun" w:cs="SimSun"/>
          <w:sz w:val="24"/>
          <w:szCs w:val="24"/>
        </w:rPr>
      </w:pPr>
      <w:r>
        <w:rPr>
          <w:rFonts w:ascii="SimSun" w:hAnsi="SimSun" w:eastAsia="SimSun" w:cs="SimSun"/>
          <w:sz w:val="24"/>
          <w:szCs w:val="24"/>
          <w:spacing w:val="2"/>
        </w:rPr>
        <w:t>上述监测结果应按项目有关规定及时建立档案，并定期向厂安全环保部门汇</w:t>
      </w:r>
      <w:r>
        <w:rPr>
          <w:rFonts w:ascii="SimSun" w:hAnsi="SimSun" w:eastAsia="SimSun" w:cs="SimSun"/>
          <w:sz w:val="24"/>
          <w:szCs w:val="24"/>
          <w:spacing w:val="2"/>
        </w:rPr>
        <w:t>报，对于常规监测数据应该进行公开，特别是对项目所在区域的居民进行公开，</w:t>
      </w:r>
      <w:r>
        <w:rPr>
          <w:rFonts w:ascii="SimSun" w:hAnsi="SimSun" w:eastAsia="SimSun" w:cs="SimSun"/>
          <w:sz w:val="24"/>
          <w:szCs w:val="24"/>
          <w:spacing w:val="2"/>
        </w:rPr>
        <w:t>满足法律中关于知情权的要求。如发现异常或发生事故，加密监测频次，改为每</w:t>
      </w:r>
      <w:r>
        <w:rPr>
          <w:rFonts w:ascii="SimSun" w:hAnsi="SimSun" w:eastAsia="SimSun" w:cs="SimSun"/>
          <w:sz w:val="24"/>
          <w:szCs w:val="24"/>
          <w:spacing w:val="-1"/>
        </w:rPr>
        <w:t>天监测一次，并分析污染原因，确定泄漏污染源，及</w:t>
      </w:r>
      <w:r>
        <w:rPr>
          <w:rFonts w:ascii="SimSun" w:hAnsi="SimSun" w:eastAsia="SimSun" w:cs="SimSun"/>
          <w:sz w:val="24"/>
          <w:szCs w:val="24"/>
          <w:spacing w:val="-2"/>
        </w:rPr>
        <w:t>时采取对应应急措施。</w:t>
      </w:r>
    </w:p>
    <w:p>
      <w:pPr>
        <w:spacing w:line="360" w:lineRule="auto"/>
        <w:sectPr>
          <w:headerReference w:type="default" r:id="rId180"/>
          <w:footerReference w:type="default" r:id="rId181"/>
          <w:pgSz w:w="11907" w:h="16839"/>
          <w:pgMar w:top="1375" w:right="1593" w:bottom="1235" w:left="1579" w:header="1035" w:footer="990" w:gutter="0"/>
        </w:sectPr>
        <w:rPr>
          <w:rFonts w:ascii="SimSun" w:hAnsi="SimSun" w:eastAsia="SimSun" w:cs="SimSun"/>
          <w:sz w:val="24"/>
          <w:szCs w:val="24"/>
        </w:rPr>
      </w:pPr>
    </w:p>
    <w:p>
      <w:pPr>
        <w:pStyle w:val="BodyText"/>
        <w:spacing w:line="359"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6.2.5 </w:t>
      </w:r>
      <w:r>
        <w:rPr>
          <w:rFonts w:ascii="SimSun" w:hAnsi="SimSun" w:eastAsia="SimSun" w:cs="SimSun"/>
          <w:sz w:val="24"/>
          <w:szCs w:val="24"/>
          <w:b/>
          <w:bCs/>
          <w:spacing w:val="-2"/>
        </w:rPr>
        <w:t>地下水污染应急措施</w:t>
      </w:r>
    </w:p>
    <w:p>
      <w:pPr>
        <w:pStyle w:val="BodyText"/>
        <w:spacing w:line="265" w:lineRule="auto"/>
        <w:rPr/>
      </w:pPr>
      <w:r/>
    </w:p>
    <w:p>
      <w:pPr>
        <w:ind w:left="108" w:right="90" w:firstLine="476"/>
        <w:spacing w:before="78" w:line="359" w:lineRule="auto"/>
        <w:rPr>
          <w:rFonts w:ascii="SimSun" w:hAnsi="SimSun" w:eastAsia="SimSun" w:cs="SimSun"/>
          <w:sz w:val="24"/>
          <w:szCs w:val="24"/>
        </w:rPr>
      </w:pPr>
      <w:r>
        <w:rPr>
          <w:rFonts w:ascii="SimSun" w:hAnsi="SimSun" w:eastAsia="SimSun" w:cs="SimSun"/>
          <w:sz w:val="24"/>
          <w:szCs w:val="24"/>
          <w:spacing w:val="3"/>
        </w:rPr>
        <w:t>在厂区建设和运行期间应制定地下水污染应急措施，并在</w:t>
      </w:r>
      <w:r>
        <w:rPr>
          <w:rFonts w:ascii="SimSun" w:hAnsi="SimSun" w:eastAsia="SimSun" w:cs="SimSun"/>
          <w:sz w:val="24"/>
          <w:szCs w:val="24"/>
          <w:spacing w:val="2"/>
        </w:rPr>
        <w:t>发现厂区区域地下</w:t>
      </w:r>
      <w:r>
        <w:rPr>
          <w:rFonts w:ascii="SimSun" w:hAnsi="SimSun" w:eastAsia="SimSun" w:cs="SimSun"/>
          <w:sz w:val="24"/>
          <w:szCs w:val="24"/>
          <w:spacing w:val="-3"/>
        </w:rPr>
        <w:t>水受到污染时立刻启动应急措施，防止污染扩散，具体如下：</w:t>
      </w:r>
    </w:p>
    <w:p>
      <w:pPr>
        <w:ind w:left="111" w:right="99" w:firstLine="480"/>
        <w:spacing w:before="1"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）如发现泄漏，发生地下水污染事故，应立即向</w:t>
      </w:r>
      <w:r>
        <w:rPr>
          <w:rFonts w:ascii="SimSun" w:hAnsi="SimSun" w:eastAsia="SimSun" w:cs="SimSun"/>
          <w:sz w:val="24"/>
          <w:szCs w:val="24"/>
          <w:spacing w:val="-2"/>
        </w:rPr>
        <w:t>当地生态环境报告，调查</w:t>
      </w:r>
      <w:r>
        <w:rPr>
          <w:rFonts w:ascii="SimSun" w:hAnsi="SimSun" w:eastAsia="SimSun" w:cs="SimSun"/>
          <w:sz w:val="24"/>
          <w:szCs w:val="24"/>
          <w:spacing w:val="-8"/>
        </w:rPr>
        <w:t>并确认污染源位置；</w:t>
      </w:r>
    </w:p>
    <w:p>
      <w:pPr>
        <w:ind w:left="109" w:right="85" w:firstLine="482"/>
        <w:spacing w:before="179"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）若存在污染物、危险废物泄漏情况，应及时采取有效措施阻断确认的污</w:t>
      </w:r>
      <w:r>
        <w:rPr>
          <w:rFonts w:ascii="SimSun" w:hAnsi="SimSun" w:eastAsia="SimSun" w:cs="SimSun"/>
          <w:sz w:val="24"/>
          <w:szCs w:val="24"/>
          <w:spacing w:val="-2"/>
        </w:rPr>
        <w:t>染源，防止污染物继续泄漏到地下，导致土壤和地下水受污染</w:t>
      </w:r>
      <w:r>
        <w:rPr>
          <w:rFonts w:ascii="SimSun" w:hAnsi="SimSun" w:eastAsia="SimSun" w:cs="SimSun"/>
          <w:sz w:val="24"/>
          <w:szCs w:val="24"/>
          <w:spacing w:val="-3"/>
        </w:rPr>
        <w:t>范围扩大；</w:t>
      </w:r>
    </w:p>
    <w:p>
      <w:pPr>
        <w:ind w:left="111" w:right="96" w:firstLine="479"/>
        <w:spacing w:before="180"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）对项目区域及周边区域的地下水敏感点进行取样检测</w:t>
      </w:r>
      <w:r>
        <w:rPr>
          <w:rFonts w:ascii="SimSun" w:hAnsi="SimSun" w:eastAsia="SimSun" w:cs="SimSun"/>
          <w:sz w:val="24"/>
          <w:szCs w:val="24"/>
          <w:spacing w:val="-2"/>
        </w:rPr>
        <w:t>，确定水质是否受</w:t>
      </w:r>
      <w:r>
        <w:rPr>
          <w:rFonts w:ascii="SimSun" w:hAnsi="SimSun" w:eastAsia="SimSun" w:cs="SimSun"/>
          <w:sz w:val="24"/>
          <w:szCs w:val="24"/>
          <w:spacing w:val="-2"/>
        </w:rPr>
        <w:t>到影响，如果水质受到影响，应及时通知相关方，并立即停用受污染的地下水；</w:t>
      </w:r>
    </w:p>
    <w:p>
      <w:pPr>
        <w:ind w:left="104" w:right="140" w:firstLine="483"/>
        <w:spacing w:before="180" w:line="362" w:lineRule="auto"/>
        <w:rPr>
          <w:rFonts w:ascii="SimSun" w:hAnsi="SimSun" w:eastAsia="SimSun" w:cs="SimSun"/>
          <w:sz w:val="24"/>
          <w:szCs w:val="24"/>
        </w:rPr>
      </w:pPr>
      <w:r>
        <w:rPr>
          <w:rFonts w:ascii="SimSun" w:hAnsi="SimSun" w:eastAsia="SimSun" w:cs="SimSun"/>
          <w:sz w:val="24"/>
          <w:szCs w:val="24"/>
          <w:spacing w:val="1"/>
        </w:rPr>
        <w:t>综上分析，建设项目在落实好防渗、防污措施后，污染物能达到有效处理，</w:t>
      </w:r>
      <w:r>
        <w:rPr>
          <w:rFonts w:ascii="SimSun" w:hAnsi="SimSun" w:eastAsia="SimSun" w:cs="SimSun"/>
          <w:sz w:val="24"/>
          <w:szCs w:val="24"/>
          <w:spacing w:val="-2"/>
        </w:rPr>
        <w:t>对地下水水质影响较小，项目的建设不会产生其他环境地质问题。</w:t>
      </w:r>
    </w:p>
    <w:p>
      <w:pPr>
        <w:pStyle w:val="BodyText"/>
        <w:spacing w:line="290" w:lineRule="auto"/>
        <w:rPr/>
      </w:pPr>
      <w:r/>
    </w:p>
    <w:p>
      <w:pPr>
        <w:ind w:left="104"/>
        <w:spacing w:before="78" w:line="234" w:lineRule="auto"/>
        <w:outlineLvl w:val="1"/>
        <w:rPr>
          <w:rFonts w:ascii="SimSun" w:hAnsi="SimSun" w:eastAsia="SimSun" w:cs="SimSun"/>
          <w:sz w:val="24"/>
          <w:szCs w:val="24"/>
        </w:rPr>
      </w:pPr>
      <w:bookmarkStart w:name="bookmark33" w:id="40"/>
      <w:bookmarkEnd w:id="40"/>
      <w:r>
        <w:rPr>
          <w:rFonts w:ascii="Times New Roman" w:hAnsi="Times New Roman" w:eastAsia="Times New Roman" w:cs="Times New Roman"/>
          <w:sz w:val="24"/>
          <w:szCs w:val="24"/>
          <w:b/>
          <w:bCs/>
          <w:spacing w:val="-2"/>
        </w:rPr>
        <w:t>6.3 </w:t>
      </w:r>
      <w:r>
        <w:rPr>
          <w:rFonts w:ascii="SimSun" w:hAnsi="SimSun" w:eastAsia="SimSun" w:cs="SimSun"/>
          <w:sz w:val="24"/>
          <w:szCs w:val="24"/>
          <w:b/>
          <w:bCs/>
          <w:spacing w:val="-2"/>
        </w:rPr>
        <w:t>废气污染防治对策与建议</w:t>
      </w:r>
    </w:p>
    <w:p>
      <w:pPr>
        <w:pStyle w:val="BodyText"/>
        <w:spacing w:line="381" w:lineRule="auto"/>
        <w:rPr/>
      </w:pPr>
      <w:r/>
    </w:p>
    <w:p>
      <w:pPr>
        <w:ind w:left="104"/>
        <w:spacing w:before="78"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6.3.1 </w:t>
      </w:r>
      <w:r>
        <w:rPr>
          <w:rFonts w:ascii="SimSun" w:hAnsi="SimSun" w:eastAsia="SimSun" w:cs="SimSun"/>
          <w:sz w:val="24"/>
          <w:szCs w:val="24"/>
          <w:b/>
          <w:bCs/>
          <w:spacing w:val="-2"/>
        </w:rPr>
        <w:t>恶臭气体污染防治对策与建议</w:t>
      </w:r>
    </w:p>
    <w:p>
      <w:pPr>
        <w:pStyle w:val="BodyText"/>
        <w:spacing w:line="265" w:lineRule="auto"/>
        <w:rPr/>
      </w:pPr>
      <w:r/>
    </w:p>
    <w:p>
      <w:pPr>
        <w:ind w:left="594"/>
        <w:spacing w:before="79"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）正确的牛舍设计</w:t>
      </w:r>
    </w:p>
    <w:p>
      <w:pPr>
        <w:ind w:left="108" w:right="96" w:firstLine="478"/>
        <w:spacing w:before="160" w:line="290" w:lineRule="auto"/>
        <w:rPr>
          <w:rFonts w:ascii="SimSun" w:hAnsi="SimSun" w:eastAsia="SimSun" w:cs="SimSun"/>
          <w:sz w:val="24"/>
          <w:szCs w:val="24"/>
        </w:rPr>
      </w:pPr>
      <w:r>
        <w:rPr>
          <w:rFonts w:ascii="SimSun" w:hAnsi="SimSun" w:eastAsia="SimSun" w:cs="SimSun"/>
          <w:sz w:val="24"/>
          <w:szCs w:val="24"/>
          <w:spacing w:val="2"/>
        </w:rPr>
        <w:t>①加强通风：在牛舍设置通风口、风机等换气设备，定期进行通风换气，加</w:t>
      </w:r>
      <w:r>
        <w:rPr>
          <w:rFonts w:ascii="SimSun" w:hAnsi="SimSun" w:eastAsia="SimSun" w:cs="SimSun"/>
          <w:sz w:val="24"/>
          <w:szCs w:val="24"/>
          <w:spacing w:val="-6"/>
        </w:rPr>
        <w:t>快排除有害气体。</w:t>
      </w:r>
    </w:p>
    <w:p>
      <w:pPr>
        <w:ind w:left="106" w:firstLine="479"/>
        <w:spacing w:before="180" w:line="290" w:lineRule="auto"/>
        <w:rPr>
          <w:rFonts w:ascii="SimSun" w:hAnsi="SimSun" w:eastAsia="SimSun" w:cs="SimSun"/>
          <w:sz w:val="24"/>
          <w:szCs w:val="24"/>
        </w:rPr>
      </w:pPr>
      <w:r>
        <w:rPr>
          <w:rFonts w:ascii="SimSun" w:hAnsi="SimSun" w:eastAsia="SimSun" w:cs="SimSun"/>
          <w:sz w:val="24"/>
          <w:szCs w:val="24"/>
          <w:spacing w:val="-1"/>
        </w:rPr>
        <w:t>②牛舍设置垫料</w:t>
      </w:r>
      <w:r>
        <w:rPr>
          <w:rFonts w:ascii="Times New Roman" w:hAnsi="Times New Roman" w:eastAsia="Times New Roman" w:cs="Times New Roman"/>
          <w:sz w:val="24"/>
          <w:szCs w:val="24"/>
          <w:spacing w:val="-1"/>
        </w:rPr>
        <w:t>+</w:t>
      </w:r>
      <w:r>
        <w:rPr>
          <w:rFonts w:ascii="SimSun" w:hAnsi="SimSun" w:eastAsia="SimSun" w:cs="SimSun"/>
          <w:sz w:val="24"/>
          <w:szCs w:val="24"/>
          <w:spacing w:val="-1"/>
        </w:rPr>
        <w:t>发酵床菌种，可有效的较少恶臭气体的</w:t>
      </w:r>
      <w:r>
        <w:rPr>
          <w:rFonts w:ascii="SimSun" w:hAnsi="SimSun" w:eastAsia="SimSun" w:cs="SimSun"/>
          <w:sz w:val="24"/>
          <w:szCs w:val="24"/>
          <w:spacing w:val="-2"/>
        </w:rPr>
        <w:t>产生量，加强牛舍通</w:t>
      </w:r>
      <w:r>
        <w:rPr>
          <w:rFonts w:ascii="SimSun" w:hAnsi="SimSun" w:eastAsia="SimSun" w:cs="SimSun"/>
          <w:sz w:val="24"/>
          <w:szCs w:val="24"/>
          <w:spacing w:val="-2"/>
        </w:rPr>
        <w:t>风，减少臭气在牛舍的停留时间，降低臭气的排放浓度，能较好的减少臭气污染。</w:t>
      </w:r>
    </w:p>
    <w:p>
      <w:pPr>
        <w:ind w:left="585"/>
        <w:spacing w:before="181" w:line="217" w:lineRule="auto"/>
        <w:rPr>
          <w:rFonts w:ascii="SimSun" w:hAnsi="SimSun" w:eastAsia="SimSun" w:cs="SimSun"/>
          <w:sz w:val="24"/>
          <w:szCs w:val="24"/>
        </w:rPr>
      </w:pPr>
      <w:r>
        <w:rPr>
          <w:rFonts w:ascii="SimSun" w:hAnsi="SimSun" w:eastAsia="SimSun" w:cs="SimSun"/>
          <w:sz w:val="24"/>
          <w:szCs w:val="24"/>
          <w:spacing w:val="-2"/>
        </w:rPr>
        <w:t>③注意防潮保持舍内合适湿度，减少舍内微生物。</w:t>
      </w:r>
    </w:p>
    <w:p>
      <w:pPr>
        <w:ind w:left="591"/>
        <w:spacing w:before="186"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）工程抑臭措施</w:t>
      </w:r>
    </w:p>
    <w:p>
      <w:pPr>
        <w:ind w:left="114" w:right="98" w:firstLine="471"/>
        <w:spacing w:before="163" w:line="313" w:lineRule="auto"/>
        <w:rPr>
          <w:rFonts w:ascii="SimSun" w:hAnsi="SimSun" w:eastAsia="SimSun" w:cs="SimSun"/>
          <w:sz w:val="24"/>
          <w:szCs w:val="24"/>
        </w:rPr>
      </w:pPr>
      <w:r>
        <w:rPr>
          <w:rFonts w:ascii="SimSun" w:hAnsi="SimSun" w:eastAsia="SimSun" w:cs="SimSun"/>
          <w:sz w:val="24"/>
          <w:szCs w:val="24"/>
          <w:spacing w:val="2"/>
        </w:rPr>
        <w:t>①加强场区及场界的绿化，场区绿化以完全消灭裸露地面为原则，选择适宜</w:t>
      </w:r>
      <w:r>
        <w:rPr>
          <w:rFonts w:ascii="SimSun" w:hAnsi="SimSun" w:eastAsia="SimSun" w:cs="SimSun"/>
          <w:sz w:val="24"/>
          <w:szCs w:val="24"/>
          <w:spacing w:val="2"/>
        </w:rPr>
        <w:t>吸臭植物种类，广种花草树木，场界边缘地带种植高大树种形成多层防护林带，</w:t>
      </w:r>
      <w:r>
        <w:rPr>
          <w:rFonts w:ascii="SimSun" w:hAnsi="SimSun" w:eastAsia="SimSun" w:cs="SimSun"/>
          <w:sz w:val="24"/>
          <w:szCs w:val="24"/>
          <w:spacing w:val="-4"/>
        </w:rPr>
        <w:t>以降低恶臭污染的影响程度。</w:t>
      </w:r>
    </w:p>
    <w:p>
      <w:pPr>
        <w:ind w:left="111" w:right="20" w:firstLine="474"/>
        <w:spacing w:before="181" w:line="289" w:lineRule="auto"/>
        <w:rPr>
          <w:rFonts w:ascii="SimSun" w:hAnsi="SimSun" w:eastAsia="SimSun" w:cs="SimSun"/>
          <w:sz w:val="24"/>
          <w:szCs w:val="24"/>
        </w:rPr>
      </w:pPr>
      <w:r>
        <w:rPr>
          <w:rFonts w:ascii="SimSun" w:hAnsi="SimSun" w:eastAsia="SimSun" w:cs="SimSun"/>
          <w:sz w:val="24"/>
          <w:szCs w:val="24"/>
          <w:spacing w:val="-6"/>
        </w:rPr>
        <w:t>②牛舍设置垫料</w:t>
      </w:r>
      <w:r>
        <w:rPr>
          <w:rFonts w:ascii="Times New Roman" w:hAnsi="Times New Roman" w:eastAsia="Times New Roman" w:cs="Times New Roman"/>
          <w:sz w:val="24"/>
          <w:szCs w:val="24"/>
          <w:spacing w:val="-6"/>
        </w:rPr>
        <w:t>+</w:t>
      </w:r>
      <w:r>
        <w:rPr>
          <w:rFonts w:ascii="SimSun" w:hAnsi="SimSun" w:eastAsia="SimSun" w:cs="SimSun"/>
          <w:sz w:val="24"/>
          <w:szCs w:val="24"/>
          <w:spacing w:val="-6"/>
        </w:rPr>
        <w:t>发酵床菌种，每</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6"/>
        </w:rPr>
        <w:t>4 </w:t>
      </w:r>
      <w:r>
        <w:rPr>
          <w:rFonts w:ascii="SimSun" w:hAnsi="SimSun" w:eastAsia="SimSun" w:cs="SimSun"/>
          <w:sz w:val="24"/>
          <w:szCs w:val="24"/>
          <w:spacing w:val="-6"/>
        </w:rPr>
        <w:t>个月更换一次，对养殖区定期喷洒</w:t>
      </w:r>
      <w:r>
        <w:rPr>
          <w:rFonts w:ascii="SimSun" w:hAnsi="SimSun" w:eastAsia="SimSun" w:cs="SimSun"/>
          <w:sz w:val="24"/>
          <w:szCs w:val="24"/>
          <w:spacing w:val="-7"/>
        </w:rPr>
        <w:t>除臭剂，</w:t>
      </w:r>
      <w:r>
        <w:rPr>
          <w:rFonts w:ascii="SimSun" w:hAnsi="SimSun" w:eastAsia="SimSun" w:cs="SimSun"/>
          <w:sz w:val="24"/>
          <w:szCs w:val="24"/>
          <w:spacing w:val="-2"/>
        </w:rPr>
        <w:t>牛舍内、储粪库等投加生物菌除臭剂，可有效降低和削减恶臭污染物产生。</w:t>
      </w:r>
    </w:p>
    <w:p>
      <w:pPr>
        <w:ind w:left="587"/>
        <w:spacing w:before="181" w:line="219" w:lineRule="auto"/>
        <w:rPr>
          <w:rFonts w:ascii="SimSun" w:hAnsi="SimSun" w:eastAsia="SimSun" w:cs="SimSun"/>
          <w:sz w:val="24"/>
          <w:szCs w:val="24"/>
        </w:rPr>
      </w:pPr>
      <w:r>
        <w:rPr>
          <w:rFonts w:ascii="SimSun" w:hAnsi="SimSun" w:eastAsia="SimSun" w:cs="SimSun"/>
          <w:sz w:val="24"/>
          <w:szCs w:val="24"/>
          <w:spacing w:val="2"/>
        </w:rPr>
        <w:t>微生物除臭剂是遵循微生态工程原理，在充分借鉴国外先进复合微生物技术</w:t>
      </w:r>
    </w:p>
    <w:p>
      <w:pPr>
        <w:spacing w:line="219" w:lineRule="auto"/>
        <w:sectPr>
          <w:headerReference w:type="default" r:id="rId182"/>
          <w:footerReference w:type="default" r:id="rId183"/>
          <w:pgSz w:w="11907" w:h="16839"/>
          <w:pgMar w:top="1375" w:right="1612" w:bottom="1235" w:left="1606" w:header="1035" w:footer="992" w:gutter="0"/>
        </w:sectPr>
        <w:rPr>
          <w:rFonts w:ascii="SimSun" w:hAnsi="SimSun" w:eastAsia="SimSun" w:cs="SimSun"/>
          <w:sz w:val="24"/>
          <w:szCs w:val="24"/>
        </w:rPr>
      </w:pPr>
    </w:p>
    <w:p>
      <w:pPr>
        <w:pStyle w:val="BodyText"/>
        <w:spacing w:line="279" w:lineRule="auto"/>
        <w:rPr/>
      </w:pPr>
      <w:r/>
    </w:p>
    <w:p>
      <w:pPr>
        <w:ind w:left="131" w:right="206" w:firstLine="19"/>
        <w:spacing w:before="78" w:line="359" w:lineRule="auto"/>
        <w:jc w:val="both"/>
        <w:rPr>
          <w:rFonts w:ascii="SimSun" w:hAnsi="SimSun" w:eastAsia="SimSun" w:cs="SimSun"/>
          <w:sz w:val="24"/>
          <w:szCs w:val="24"/>
        </w:rPr>
      </w:pPr>
      <w:r>
        <w:rPr>
          <w:rFonts w:ascii="SimSun" w:hAnsi="SimSun" w:eastAsia="SimSun" w:cs="SimSun"/>
          <w:sz w:val="24"/>
          <w:szCs w:val="24"/>
          <w:spacing w:val="2"/>
        </w:rPr>
        <w:t>的基础上，采用微生态工程技术，精选多种有益微生物经复合发酵而</w:t>
      </w:r>
      <w:r>
        <w:rPr>
          <w:rFonts w:ascii="SimSun" w:hAnsi="SimSun" w:eastAsia="SimSun" w:cs="SimSun"/>
          <w:sz w:val="24"/>
          <w:szCs w:val="24"/>
          <w:spacing w:val="1"/>
        </w:rPr>
        <w:t>成的新型生</w:t>
      </w:r>
      <w:r>
        <w:rPr>
          <w:rFonts w:ascii="SimSun" w:hAnsi="SimSun" w:eastAsia="SimSun" w:cs="SimSun"/>
          <w:sz w:val="24"/>
          <w:szCs w:val="24"/>
          <w:spacing w:val="2"/>
        </w:rPr>
        <w:t>物除臭净化剂，主要成分为壳聚糖与植物纤维中提取的醇类配伍，制成的生物除</w:t>
      </w:r>
      <w:r>
        <w:rPr>
          <w:rFonts w:ascii="SimSun" w:hAnsi="SimSun" w:eastAsia="SimSun" w:cs="SimSun"/>
          <w:sz w:val="24"/>
          <w:szCs w:val="24"/>
          <w:spacing w:val="-1"/>
        </w:rPr>
        <w:t>臭剂。能有效去除</w:t>
      </w:r>
      <w:hyperlink w:history="true" r:id="rId186">
        <w:r>
          <w:rPr>
            <w:rFonts w:ascii="SimSun" w:hAnsi="SimSun" w:eastAsia="SimSun" w:cs="SimSun"/>
            <w:sz w:val="24"/>
            <w:szCs w:val="24"/>
            <w:spacing w:val="-1"/>
          </w:rPr>
          <w:t>硫化氢</w:t>
        </w:r>
      </w:hyperlink>
      <w:r>
        <w:rPr>
          <w:rFonts w:ascii="SimSun" w:hAnsi="SimSun" w:eastAsia="SimSun" w:cs="SimSun"/>
          <w:sz w:val="24"/>
          <w:szCs w:val="24"/>
          <w:spacing w:val="-1"/>
        </w:rPr>
        <w:t>、氨气等恶臭气体，除臭率和抑蝇率达</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1"/>
        </w:rPr>
        <w:t>75%</w:t>
      </w:r>
      <w:r>
        <w:rPr>
          <w:rFonts w:ascii="SimSun" w:hAnsi="SimSun" w:eastAsia="SimSun" w:cs="SimSun"/>
          <w:sz w:val="24"/>
          <w:szCs w:val="24"/>
          <w:spacing w:val="-1"/>
        </w:rPr>
        <w:t>以上。</w:t>
      </w:r>
    </w:p>
    <w:p>
      <w:pPr>
        <w:ind w:left="130" w:firstLine="484"/>
        <w:spacing w:line="358" w:lineRule="auto"/>
        <w:jc w:val="both"/>
        <w:rPr>
          <w:rFonts w:ascii="SimSun" w:hAnsi="SimSun" w:eastAsia="SimSun" w:cs="SimSun"/>
          <w:sz w:val="24"/>
          <w:szCs w:val="24"/>
        </w:rPr>
      </w:pPr>
      <w:r>
        <w:rPr>
          <w:rFonts w:ascii="SimSun" w:hAnsi="SimSun" w:eastAsia="SimSun" w:cs="SimSun"/>
          <w:sz w:val="24"/>
          <w:szCs w:val="24"/>
          <w:spacing w:val="-2"/>
        </w:rPr>
        <w:t>本项目采取恶臭治理措施满足</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HJ1029-2019</w:t>
      </w:r>
      <w:r>
        <w:rPr>
          <w:rFonts w:ascii="SimSun" w:hAnsi="SimSun" w:eastAsia="SimSun" w:cs="SimSun"/>
          <w:sz w:val="24"/>
          <w:szCs w:val="24"/>
          <w:spacing w:val="-3"/>
        </w:rPr>
        <w:t>《排污许可证申请与核发技术规范</w:t>
      </w:r>
      <w:r>
        <w:rPr>
          <w:rFonts w:ascii="SimSun" w:hAnsi="SimSun" w:eastAsia="SimSun" w:cs="SimSun"/>
          <w:sz w:val="24"/>
          <w:szCs w:val="24"/>
          <w:spacing w:val="3"/>
        </w:rPr>
        <w:t>畜禽养殖行业》中畜禽养殖行业排污单位恶臭无组织</w:t>
      </w:r>
      <w:r>
        <w:rPr>
          <w:rFonts w:ascii="SimSun" w:hAnsi="SimSun" w:eastAsia="SimSun" w:cs="SimSun"/>
          <w:sz w:val="24"/>
          <w:szCs w:val="24"/>
          <w:spacing w:val="2"/>
        </w:rPr>
        <w:t>排放控制要求，属于可行技</w:t>
      </w:r>
      <w:r>
        <w:rPr>
          <w:rFonts w:ascii="SimSun" w:hAnsi="SimSun" w:eastAsia="SimSun" w:cs="SimSun"/>
          <w:sz w:val="24"/>
          <w:szCs w:val="24"/>
          <w:spacing w:val="2"/>
        </w:rPr>
        <w:t>术，经采取上述措施后，项目产生的无组织恶臭气体各污染物排放浓度能够满足</w:t>
      </w:r>
      <w:r>
        <w:rPr>
          <w:rFonts w:ascii="SimSun" w:hAnsi="SimSun" w:eastAsia="SimSun" w:cs="SimSun"/>
          <w:sz w:val="24"/>
          <w:szCs w:val="24"/>
          <w:spacing w:val="8"/>
        </w:rPr>
        <w:t xml:space="preserve"> </w:t>
      </w:r>
      <w:r>
        <w:rPr>
          <w:rFonts w:ascii="Times New Roman" w:hAnsi="Times New Roman" w:eastAsia="Times New Roman" w:cs="Times New Roman"/>
          <w:sz w:val="24"/>
          <w:szCs w:val="24"/>
          <w:spacing w:val="-7"/>
        </w:rPr>
        <w:t>GB14554-93</w:t>
      </w:r>
      <w:r>
        <w:rPr>
          <w:rFonts w:ascii="SimSun" w:hAnsi="SimSun" w:eastAsia="SimSun" w:cs="SimSun"/>
          <w:sz w:val="24"/>
          <w:szCs w:val="24"/>
          <w:spacing w:val="-7"/>
        </w:rPr>
        <w:t>《恶臭污染物排放标准》中相应标准要求，臭气浓度满足</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7"/>
        </w:rPr>
        <w:t>GB18596-2001</w:t>
      </w:r>
      <w:r>
        <w:rPr>
          <w:rFonts w:ascii="Times New Roman" w:hAnsi="Times New Roman" w:eastAsia="Times New Roman" w:cs="Times New Roman"/>
          <w:sz w:val="24"/>
          <w:szCs w:val="24"/>
        </w:rPr>
        <w:t xml:space="preserve"> </w:t>
      </w:r>
      <w:r>
        <w:rPr>
          <w:rFonts w:ascii="SimSun" w:hAnsi="SimSun" w:eastAsia="SimSun" w:cs="SimSun"/>
          <w:sz w:val="24"/>
          <w:szCs w:val="24"/>
          <w:spacing w:val="2"/>
        </w:rPr>
        <w:t>《畜禽养殖业污染物排放标准》中表</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7</w:t>
      </w:r>
      <w:r>
        <w:rPr>
          <w:rFonts w:ascii="SimSun" w:hAnsi="SimSun" w:eastAsia="SimSun" w:cs="SimSun"/>
          <w:sz w:val="24"/>
          <w:szCs w:val="24"/>
          <w:spacing w:val="2"/>
        </w:rPr>
        <w:t>“集约化畜禽养殖业恶臭污染物排放标</w:t>
      </w:r>
      <w:r>
        <w:rPr>
          <w:rFonts w:ascii="SimSun" w:hAnsi="SimSun" w:eastAsia="SimSun" w:cs="SimSun"/>
          <w:sz w:val="24"/>
          <w:szCs w:val="24"/>
          <w:spacing w:val="1"/>
        </w:rPr>
        <w:t>准</w:t>
      </w:r>
      <w:r>
        <w:rPr>
          <w:rFonts w:ascii="SimSun" w:hAnsi="SimSun" w:eastAsia="SimSun" w:cs="SimSun"/>
          <w:sz w:val="24"/>
          <w:szCs w:val="24"/>
          <w:spacing w:val="-87"/>
        </w:rPr>
        <w:t xml:space="preserve"> </w:t>
      </w:r>
      <w:r>
        <w:rPr>
          <w:rFonts w:ascii="SimSun" w:hAnsi="SimSun" w:eastAsia="SimSun" w:cs="SimSun"/>
          <w:sz w:val="24"/>
          <w:szCs w:val="24"/>
          <w:spacing w:val="1"/>
        </w:rPr>
        <w:t>”</w:t>
      </w:r>
      <w:r>
        <w:rPr>
          <w:rFonts w:ascii="SimSun" w:hAnsi="SimSun" w:eastAsia="SimSun" w:cs="SimSun"/>
          <w:sz w:val="24"/>
          <w:szCs w:val="24"/>
          <w:spacing w:val="-3"/>
        </w:rPr>
        <w:t>的要求，对环境空气质量影响较小。</w:t>
      </w:r>
    </w:p>
    <w:p>
      <w:pPr>
        <w:ind w:left="131" w:right="208" w:firstLine="482"/>
        <w:spacing w:before="10" w:line="359" w:lineRule="auto"/>
        <w:rPr>
          <w:rFonts w:ascii="SimSun" w:hAnsi="SimSun" w:eastAsia="SimSun" w:cs="SimSun"/>
          <w:sz w:val="24"/>
          <w:szCs w:val="24"/>
        </w:rPr>
      </w:pPr>
      <w:r>
        <w:rPr>
          <w:rFonts w:ascii="SimSun" w:hAnsi="SimSun" w:eastAsia="SimSun" w:cs="SimSun"/>
          <w:sz w:val="24"/>
          <w:szCs w:val="24"/>
          <w:spacing w:val="-3"/>
        </w:rPr>
        <w:t>根据《排污许可证申请与核发技术规范</w:t>
      </w:r>
      <w:r>
        <w:rPr>
          <w:rFonts w:ascii="SimSun" w:hAnsi="SimSun" w:eastAsia="SimSun" w:cs="SimSun"/>
          <w:sz w:val="24"/>
          <w:szCs w:val="24"/>
          <w:spacing w:val="48"/>
        </w:rPr>
        <w:t xml:space="preserve"> </w:t>
      </w:r>
      <w:r>
        <w:rPr>
          <w:rFonts w:ascii="SimSun" w:hAnsi="SimSun" w:eastAsia="SimSun" w:cs="SimSun"/>
          <w:sz w:val="24"/>
          <w:szCs w:val="24"/>
          <w:spacing w:val="-3"/>
        </w:rPr>
        <w:t>畜禽养殖行业》（</w:t>
      </w:r>
      <w:r>
        <w:rPr>
          <w:rFonts w:ascii="Times New Roman" w:hAnsi="Times New Roman" w:eastAsia="Times New Roman" w:cs="Times New Roman"/>
          <w:sz w:val="24"/>
          <w:szCs w:val="24"/>
          <w:spacing w:val="-3"/>
        </w:rPr>
        <w:t>HJ1029—2019</w:t>
      </w:r>
      <w:r>
        <w:rPr>
          <w:rFonts w:ascii="SimSun" w:hAnsi="SimSun" w:eastAsia="SimSun" w:cs="SimSun"/>
          <w:sz w:val="24"/>
          <w:szCs w:val="24"/>
          <w:spacing w:val="-3"/>
        </w:rPr>
        <w:t>）表</w:t>
      </w:r>
      <w:r>
        <w:rPr>
          <w:rFonts w:ascii="Times New Roman" w:hAnsi="Times New Roman" w:eastAsia="Times New Roman" w:cs="Times New Roman"/>
          <w:sz w:val="24"/>
          <w:szCs w:val="24"/>
          <w:spacing w:val="-1"/>
        </w:rPr>
        <w:t>7 </w:t>
      </w:r>
      <w:r>
        <w:rPr>
          <w:rFonts w:ascii="SimSun" w:hAnsi="SimSun" w:eastAsia="SimSun" w:cs="SimSun"/>
          <w:sz w:val="24"/>
          <w:szCs w:val="24"/>
          <w:spacing w:val="-1"/>
        </w:rPr>
        <w:t>提出的畜禽养殖行业排污单位恶臭无组织排放控制要求，详见表</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1"/>
        </w:rPr>
        <w:t>6-3</w:t>
      </w:r>
      <w:r>
        <w:rPr>
          <w:rFonts w:ascii="SimSun" w:hAnsi="SimSun" w:eastAsia="SimSun" w:cs="SimSun"/>
          <w:sz w:val="24"/>
          <w:szCs w:val="24"/>
          <w:spacing w:val="-1"/>
        </w:rPr>
        <w:t>。</w:t>
      </w:r>
    </w:p>
    <w:p>
      <w:pPr>
        <w:ind w:left="1661"/>
        <w:spacing w:line="233"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6-3    </w:t>
      </w:r>
      <w:r>
        <w:rPr>
          <w:rFonts w:ascii="SimSun" w:hAnsi="SimSun" w:eastAsia="SimSun" w:cs="SimSun"/>
          <w:sz w:val="24"/>
          <w:szCs w:val="24"/>
          <w:b/>
          <w:bCs/>
          <w:spacing w:val="-2"/>
        </w:rPr>
        <w:t>畜禽养殖行业排污单位恶臭无组织排放控制要求</w:t>
      </w:r>
    </w:p>
    <w:p>
      <w:pPr>
        <w:spacing w:line="129" w:lineRule="exact"/>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81"/>
        <w:gridCol w:w="3505"/>
        <w:gridCol w:w="4249"/>
      </w:tblGrid>
      <w:tr>
        <w:trPr>
          <w:trHeight w:val="554" w:hRule="atLeast"/>
        </w:trPr>
        <w:tc>
          <w:tcPr>
            <w:tcW w:w="981" w:type="dxa"/>
            <w:vAlign w:val="top"/>
            <w:tcBorders>
              <w:left w:val="nil"/>
              <w:top w:val="single" w:color="000000" w:sz="10" w:space="0"/>
            </w:tcBorders>
          </w:tcPr>
          <w:p>
            <w:pPr>
              <w:pStyle w:val="TableText"/>
              <w:ind w:left="189"/>
              <w:spacing w:before="36" w:line="223" w:lineRule="auto"/>
              <w:rPr/>
            </w:pPr>
            <w:r>
              <w:rPr>
                <w:b/>
                <w:bCs/>
                <w:spacing w:val="-4"/>
              </w:rPr>
              <w:t>主要生</w:t>
            </w:r>
          </w:p>
          <w:p>
            <w:pPr>
              <w:pStyle w:val="TableText"/>
              <w:ind w:left="188"/>
              <w:spacing w:before="17" w:line="208" w:lineRule="auto"/>
              <w:rPr/>
            </w:pPr>
            <w:r>
              <w:rPr>
                <w:b/>
                <w:bCs/>
                <w:spacing w:val="-4"/>
              </w:rPr>
              <w:t>产设施</w:t>
            </w:r>
          </w:p>
        </w:tc>
        <w:tc>
          <w:tcPr>
            <w:tcW w:w="3505" w:type="dxa"/>
            <w:vAlign w:val="top"/>
            <w:tcBorders>
              <w:top w:val="single" w:color="000000" w:sz="10" w:space="0"/>
            </w:tcBorders>
          </w:tcPr>
          <w:p>
            <w:pPr>
              <w:pStyle w:val="TableText"/>
              <w:ind w:left="1335"/>
              <w:spacing w:before="170" w:line="221" w:lineRule="auto"/>
              <w:rPr/>
            </w:pPr>
            <w:r>
              <w:rPr>
                <w:b/>
                <w:bCs/>
                <w:spacing w:val="-3"/>
              </w:rPr>
              <w:t>控制要求</w:t>
            </w:r>
          </w:p>
        </w:tc>
        <w:tc>
          <w:tcPr>
            <w:tcW w:w="4249" w:type="dxa"/>
            <w:vAlign w:val="top"/>
            <w:tcBorders>
              <w:right w:val="nil"/>
              <w:top w:val="single" w:color="000000" w:sz="10" w:space="0"/>
            </w:tcBorders>
          </w:tcPr>
          <w:p>
            <w:pPr>
              <w:pStyle w:val="TableText"/>
              <w:ind w:left="1286"/>
              <w:spacing w:before="170" w:line="220" w:lineRule="auto"/>
              <w:rPr/>
            </w:pPr>
            <w:r>
              <w:rPr>
                <w:b/>
                <w:bCs/>
                <w:spacing w:val="-3"/>
              </w:rPr>
              <w:t>本项目拟采取措施</w:t>
            </w:r>
          </w:p>
        </w:tc>
      </w:tr>
      <w:tr>
        <w:trPr>
          <w:trHeight w:val="2719" w:hRule="atLeast"/>
        </w:trPr>
        <w:tc>
          <w:tcPr>
            <w:tcW w:w="981" w:type="dxa"/>
            <w:vAlign w:val="top"/>
            <w:tcBorders>
              <w:left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399" w:right="162" w:hanging="208"/>
              <w:spacing w:before="69" w:line="241" w:lineRule="auto"/>
              <w:rPr/>
            </w:pPr>
            <w:r>
              <w:rPr>
                <w:spacing w:val="-2"/>
              </w:rPr>
              <w:t>养殖栏</w:t>
            </w:r>
            <w:r>
              <w:rPr/>
              <w:t>舍</w:t>
            </w:r>
          </w:p>
        </w:tc>
        <w:tc>
          <w:tcPr>
            <w:tcW w:w="3505" w:type="dxa"/>
            <w:vAlign w:val="top"/>
          </w:tcPr>
          <w:p>
            <w:pPr>
              <w:pStyle w:val="TableText"/>
              <w:ind w:left="451"/>
              <w:spacing w:before="31" w:line="234" w:lineRule="auto"/>
              <w:rPr/>
            </w:pPr>
            <w:r>
              <w:rPr>
                <w:spacing w:val="-1"/>
              </w:rPr>
              <w:t>（</w:t>
            </w:r>
            <w:r>
              <w:rPr>
                <w:rFonts w:ascii="Times New Roman" w:hAnsi="Times New Roman" w:eastAsia="Times New Roman" w:cs="Times New Roman"/>
                <w:spacing w:val="-1"/>
              </w:rPr>
              <w:t>1</w:t>
            </w:r>
            <w:r>
              <w:rPr>
                <w:spacing w:val="-1"/>
              </w:rPr>
              <w:t>）选用益生菌配方饲料；</w:t>
            </w:r>
          </w:p>
          <w:p>
            <w:pPr>
              <w:pStyle w:val="TableText"/>
              <w:ind w:left="766"/>
              <w:spacing w:before="5" w:line="234" w:lineRule="auto"/>
              <w:rPr/>
            </w:pPr>
            <w:r>
              <w:rPr>
                <w:spacing w:val="-2"/>
              </w:rPr>
              <w:t>（</w:t>
            </w:r>
            <w:r>
              <w:rPr>
                <w:rFonts w:ascii="Times New Roman" w:hAnsi="Times New Roman" w:eastAsia="Times New Roman" w:cs="Times New Roman"/>
                <w:spacing w:val="-2"/>
              </w:rPr>
              <w:t>2</w:t>
            </w:r>
            <w:r>
              <w:rPr>
                <w:spacing w:val="-2"/>
              </w:rPr>
              <w:t>）及时清运粪污；</w:t>
            </w:r>
          </w:p>
          <w:p>
            <w:pPr>
              <w:pStyle w:val="TableText"/>
              <w:ind w:left="813" w:right="119" w:hanging="676"/>
              <w:spacing w:before="7" w:line="229" w:lineRule="auto"/>
              <w:rPr/>
            </w:pPr>
            <w:r>
              <w:rPr>
                <w:spacing w:val="-1"/>
              </w:rPr>
              <w:t>（</w:t>
            </w:r>
            <w:r>
              <w:rPr>
                <w:rFonts w:ascii="Times New Roman" w:hAnsi="Times New Roman" w:eastAsia="Times New Roman" w:cs="Times New Roman"/>
                <w:spacing w:val="-1"/>
              </w:rPr>
              <w:t>3</w:t>
            </w:r>
            <w:r>
              <w:rPr>
                <w:spacing w:val="-1"/>
              </w:rPr>
              <w:t>）向粪便或舍内投（铺）放吸附</w:t>
            </w:r>
            <w:r>
              <w:rPr>
                <w:spacing w:val="-4"/>
              </w:rPr>
              <w:t>剂减少臭气的散发；</w:t>
            </w:r>
          </w:p>
          <w:p>
            <w:pPr>
              <w:pStyle w:val="TableText"/>
              <w:ind w:left="502"/>
              <w:spacing w:before="23" w:line="234" w:lineRule="auto"/>
              <w:rPr/>
            </w:pPr>
            <w:r>
              <w:rPr>
                <w:spacing w:val="-1"/>
              </w:rPr>
              <w:t>（</w:t>
            </w:r>
            <w:r>
              <w:rPr>
                <w:rFonts w:ascii="Times New Roman" w:hAnsi="Times New Roman" w:eastAsia="Times New Roman" w:cs="Times New Roman"/>
                <w:spacing w:val="-1"/>
              </w:rPr>
              <w:t>4</w:t>
            </w:r>
            <w:r>
              <w:rPr>
                <w:spacing w:val="-1"/>
              </w:rPr>
              <w:t>）投加或喷洒除臭剂 ；</w:t>
            </w:r>
          </w:p>
          <w:p>
            <w:pPr>
              <w:pStyle w:val="TableText"/>
              <w:ind w:left="288" w:right="26" w:hanging="168"/>
              <w:spacing w:before="4" w:line="231" w:lineRule="auto"/>
              <w:rPr/>
            </w:pPr>
            <w:r>
              <w:rPr>
                <w:spacing w:val="-7"/>
              </w:rPr>
              <w:t>（</w:t>
            </w:r>
            <w:r>
              <w:rPr>
                <w:rFonts w:ascii="Times New Roman" w:hAnsi="Times New Roman" w:eastAsia="Times New Roman" w:cs="Times New Roman"/>
                <w:spacing w:val="-7"/>
              </w:rPr>
              <w:t>5</w:t>
            </w:r>
            <w:r>
              <w:rPr>
                <w:spacing w:val="-7"/>
              </w:rPr>
              <w:t>）集中通风排气经处理（喷淋法、</w:t>
            </w:r>
            <w:r>
              <w:rPr>
                <w:spacing w:val="-4"/>
              </w:rPr>
              <w:t>生物洗涤法、吸收等）后排放；</w:t>
            </w:r>
          </w:p>
          <w:p>
            <w:pPr>
              <w:pStyle w:val="TableText"/>
              <w:ind w:left="115" w:right="100" w:firstLine="21"/>
              <w:spacing w:before="19" w:line="231" w:lineRule="auto"/>
              <w:rPr/>
            </w:pPr>
            <w:r>
              <w:rPr>
                <w:spacing w:val="-1"/>
              </w:rPr>
              <w:t>（</w:t>
            </w:r>
            <w:r>
              <w:rPr>
                <w:rFonts w:ascii="Times New Roman" w:hAnsi="Times New Roman" w:eastAsia="Times New Roman" w:cs="Times New Roman"/>
                <w:spacing w:val="-1"/>
              </w:rPr>
              <w:t>6</w:t>
            </w:r>
            <w:r>
              <w:rPr>
                <w:spacing w:val="-1"/>
              </w:rPr>
              <w:t>）集中收集气体经处理（生物过</w:t>
            </w:r>
            <w:r>
              <w:rPr>
                <w:spacing w:val="-5"/>
              </w:rPr>
              <w:t>滤法、生物洗涤法、吸收法等）后由</w:t>
            </w:r>
          </w:p>
          <w:p>
            <w:pPr>
              <w:pStyle w:val="TableText"/>
              <w:ind w:left="1233"/>
              <w:spacing w:before="21" w:line="199" w:lineRule="auto"/>
              <w:rPr/>
            </w:pPr>
            <w:r>
              <w:rPr>
                <w:spacing w:val="-1"/>
              </w:rPr>
              <w:t>排气筒排放</w:t>
            </w:r>
          </w:p>
        </w:tc>
        <w:tc>
          <w:tcPr>
            <w:tcW w:w="4249" w:type="dxa"/>
            <w:vAlign w:val="top"/>
            <w:tcBorders>
              <w:right w:val="nil"/>
            </w:tcBorders>
          </w:tcPr>
          <w:p>
            <w:pPr>
              <w:spacing w:line="406" w:lineRule="auto"/>
              <w:rPr>
                <w:rFonts w:ascii="Arial"/>
                <w:sz w:val="21"/>
              </w:rPr>
            </w:pPr>
            <w:r/>
          </w:p>
          <w:p>
            <w:pPr>
              <w:pStyle w:val="TableText"/>
              <w:ind w:left="1503" w:right="105" w:hanging="1383"/>
              <w:spacing w:before="69" w:line="248" w:lineRule="auto"/>
              <w:rPr/>
            </w:pPr>
            <w:r>
              <w:rPr>
                <w:spacing w:val="-4"/>
              </w:rPr>
              <w:t>（</w:t>
            </w:r>
            <w:r>
              <w:rPr>
                <w:rFonts w:ascii="Times New Roman" w:hAnsi="Times New Roman" w:eastAsia="Times New Roman" w:cs="Times New Roman"/>
                <w:spacing w:val="-4"/>
              </w:rPr>
              <w:t>1</w:t>
            </w:r>
            <w:r>
              <w:rPr>
                <w:spacing w:val="-4"/>
              </w:rPr>
              <w:t>）及时清理牛舍，保持牛舍卫生通过加强</w:t>
            </w:r>
            <w:r>
              <w:rPr>
                <w:spacing w:val="-2"/>
              </w:rPr>
              <w:t>牛舍的通风。</w:t>
            </w:r>
          </w:p>
          <w:p>
            <w:pPr>
              <w:pStyle w:val="TableText"/>
              <w:ind w:left="1727" w:right="114" w:hanging="1607"/>
              <w:spacing w:before="61" w:line="247" w:lineRule="auto"/>
              <w:rPr/>
            </w:pPr>
            <w:r>
              <w:rPr>
                <w:spacing w:val="-5"/>
              </w:rPr>
              <w:t>（</w:t>
            </w:r>
            <w:r>
              <w:rPr>
                <w:rFonts w:ascii="Times New Roman" w:hAnsi="Times New Roman" w:eastAsia="Times New Roman" w:cs="Times New Roman"/>
                <w:spacing w:val="-5"/>
              </w:rPr>
              <w:t>2</w:t>
            </w:r>
            <w:r>
              <w:rPr>
                <w:spacing w:val="-5"/>
              </w:rPr>
              <w:t>）牛舍内定时喷洒除臭剂，减少恶臭气体</w:t>
            </w:r>
            <w:r>
              <w:rPr>
                <w:spacing w:val="-6"/>
              </w:rPr>
              <w:t>的产生。</w:t>
            </w:r>
          </w:p>
          <w:p>
            <w:pPr>
              <w:pStyle w:val="TableText"/>
              <w:ind w:left="555" w:right="119" w:hanging="421"/>
              <w:spacing w:before="62" w:line="247" w:lineRule="auto"/>
              <w:rPr/>
            </w:pPr>
            <w:r>
              <w:rPr>
                <w:spacing w:val="-1"/>
              </w:rPr>
              <w:t>（</w:t>
            </w:r>
            <w:r>
              <w:rPr>
                <w:rFonts w:ascii="Times New Roman" w:hAnsi="Times New Roman" w:eastAsia="Times New Roman" w:cs="Times New Roman"/>
                <w:spacing w:val="-1"/>
              </w:rPr>
              <w:t>3</w:t>
            </w:r>
            <w:r>
              <w:rPr>
                <w:spacing w:val="-1"/>
              </w:rPr>
              <w:t>）牛舍设置垫料</w:t>
            </w:r>
            <w:r>
              <w:rPr>
                <w:rFonts w:ascii="Times New Roman" w:hAnsi="Times New Roman" w:eastAsia="Times New Roman" w:cs="Times New Roman"/>
                <w:spacing w:val="-1"/>
              </w:rPr>
              <w:t>+</w:t>
            </w:r>
            <w:r>
              <w:rPr>
                <w:spacing w:val="-1"/>
              </w:rPr>
              <w:t>发酵床菌种，每</w:t>
            </w:r>
            <w:r>
              <w:rPr>
                <w:spacing w:val="-44"/>
              </w:rPr>
              <w:t xml:space="preserve"> </w:t>
            </w:r>
            <w:r>
              <w:rPr>
                <w:rFonts w:ascii="Times New Roman" w:hAnsi="Times New Roman" w:eastAsia="Times New Roman" w:cs="Times New Roman"/>
                <w:spacing w:val="-1"/>
              </w:rPr>
              <w:t>4 </w:t>
            </w:r>
            <w:r>
              <w:rPr>
                <w:spacing w:val="-1"/>
              </w:rPr>
              <w:t>个月</w:t>
            </w:r>
            <w:r>
              <w:rPr>
                <w:spacing w:val="-1"/>
              </w:rPr>
              <w:t>更换一次，减少恶臭气体的产生。</w:t>
            </w:r>
          </w:p>
        </w:tc>
      </w:tr>
      <w:tr>
        <w:trPr>
          <w:trHeight w:val="1634" w:hRule="atLeast"/>
        </w:trPr>
        <w:tc>
          <w:tcPr>
            <w:tcW w:w="981" w:type="dxa"/>
            <w:vAlign w:val="top"/>
            <w:tcBorders>
              <w:left w:val="nil"/>
            </w:tcBorders>
          </w:tcPr>
          <w:p>
            <w:pPr>
              <w:spacing w:line="378" w:lineRule="auto"/>
              <w:rPr>
                <w:rFonts w:ascii="Arial"/>
                <w:sz w:val="21"/>
              </w:rPr>
            </w:pPr>
            <w:r/>
          </w:p>
          <w:p>
            <w:pPr>
              <w:pStyle w:val="TableText"/>
              <w:ind w:left="208"/>
              <w:spacing w:before="68" w:line="221" w:lineRule="auto"/>
              <w:rPr/>
            </w:pPr>
            <w:r>
              <w:rPr>
                <w:spacing w:val="-6"/>
              </w:rPr>
              <w:t>固体粪</w:t>
            </w:r>
          </w:p>
          <w:p>
            <w:pPr>
              <w:pStyle w:val="TableText"/>
              <w:ind w:left="192"/>
              <w:spacing w:before="20" w:line="223" w:lineRule="auto"/>
              <w:rPr/>
            </w:pPr>
            <w:r>
              <w:rPr>
                <w:spacing w:val="-2"/>
              </w:rPr>
              <w:t>污处理</w:t>
            </w:r>
          </w:p>
          <w:p>
            <w:pPr>
              <w:pStyle w:val="TableText"/>
              <w:ind w:left="298"/>
              <w:spacing w:before="19" w:line="221" w:lineRule="auto"/>
              <w:rPr/>
            </w:pPr>
            <w:r>
              <w:rPr>
                <w:spacing w:val="-3"/>
              </w:rPr>
              <w:t>工程</w:t>
            </w:r>
          </w:p>
        </w:tc>
        <w:tc>
          <w:tcPr>
            <w:tcW w:w="3505" w:type="dxa"/>
            <w:vAlign w:val="top"/>
          </w:tcPr>
          <w:p>
            <w:pPr>
              <w:pStyle w:val="TableText"/>
              <w:ind w:left="660"/>
              <w:spacing w:before="41" w:line="234" w:lineRule="auto"/>
              <w:rPr/>
            </w:pPr>
            <w:r>
              <w:rPr>
                <w:spacing w:val="-4"/>
              </w:rPr>
              <w:t>（</w:t>
            </w:r>
            <w:r>
              <w:rPr>
                <w:rFonts w:ascii="Times New Roman" w:hAnsi="Times New Roman" w:eastAsia="Times New Roman" w:cs="Times New Roman"/>
                <w:spacing w:val="-4"/>
              </w:rPr>
              <w:t>1</w:t>
            </w:r>
            <w:r>
              <w:rPr>
                <w:spacing w:val="-4"/>
              </w:rPr>
              <w:t>）定期喷洒除臭剂；</w:t>
            </w:r>
          </w:p>
          <w:p>
            <w:pPr>
              <w:pStyle w:val="TableText"/>
              <w:ind w:left="557"/>
              <w:spacing w:before="5" w:line="234" w:lineRule="auto"/>
              <w:rPr/>
            </w:pPr>
            <w:r>
              <w:rPr>
                <w:spacing w:val="-1"/>
              </w:rPr>
              <w:t>（</w:t>
            </w:r>
            <w:r>
              <w:rPr>
                <w:rFonts w:ascii="Times New Roman" w:hAnsi="Times New Roman" w:eastAsia="Times New Roman" w:cs="Times New Roman"/>
                <w:spacing w:val="-1"/>
              </w:rPr>
              <w:t>2</w:t>
            </w:r>
            <w:r>
              <w:rPr>
                <w:spacing w:val="-1"/>
              </w:rPr>
              <w:t>）及时清运固体粪污；</w:t>
            </w:r>
          </w:p>
          <w:p>
            <w:pPr>
              <w:pStyle w:val="TableText"/>
              <w:ind w:left="240"/>
              <w:spacing w:before="6" w:line="234" w:lineRule="auto"/>
              <w:rPr/>
            </w:pPr>
            <w:r>
              <w:rPr>
                <w:spacing w:val="-3"/>
              </w:rPr>
              <w:t>（</w:t>
            </w:r>
            <w:r>
              <w:rPr>
                <w:rFonts w:ascii="Times New Roman" w:hAnsi="Times New Roman" w:eastAsia="Times New Roman" w:cs="Times New Roman"/>
                <w:spacing w:val="-3"/>
              </w:rPr>
              <w:t>3</w:t>
            </w:r>
            <w:r>
              <w:rPr>
                <w:spacing w:val="-3"/>
              </w:rPr>
              <w:t>）采用厌氧或好氧堆肥方式；</w:t>
            </w:r>
          </w:p>
          <w:p>
            <w:pPr>
              <w:pStyle w:val="TableText"/>
              <w:ind w:left="115" w:right="100" w:firstLine="21"/>
              <w:spacing w:before="4" w:line="231" w:lineRule="auto"/>
              <w:rPr/>
            </w:pPr>
            <w:r>
              <w:rPr>
                <w:spacing w:val="-1"/>
              </w:rPr>
              <w:t>（</w:t>
            </w:r>
            <w:r>
              <w:rPr>
                <w:rFonts w:ascii="Times New Roman" w:hAnsi="Times New Roman" w:eastAsia="Times New Roman" w:cs="Times New Roman"/>
                <w:spacing w:val="-1"/>
              </w:rPr>
              <w:t>4</w:t>
            </w:r>
            <w:r>
              <w:rPr>
                <w:spacing w:val="-1"/>
              </w:rPr>
              <w:t>）集中收集气体经处理（生物过</w:t>
            </w:r>
            <w:r>
              <w:rPr>
                <w:spacing w:val="-5"/>
              </w:rPr>
              <w:t>滤法、生物洗涤法、吸收法等）后由</w:t>
            </w:r>
          </w:p>
          <w:p>
            <w:pPr>
              <w:pStyle w:val="TableText"/>
              <w:ind w:left="1127"/>
              <w:spacing w:before="21" w:line="194" w:lineRule="auto"/>
              <w:rPr/>
            </w:pPr>
            <w:r>
              <w:rPr>
                <w:spacing w:val="-1"/>
              </w:rPr>
              <w:t>排气筒排放。</w:t>
            </w:r>
          </w:p>
        </w:tc>
        <w:tc>
          <w:tcPr>
            <w:tcW w:w="4249" w:type="dxa"/>
            <w:vAlign w:val="top"/>
            <w:tcBorders>
              <w:right w:val="nil"/>
            </w:tcBorders>
          </w:tcPr>
          <w:p>
            <w:pPr>
              <w:spacing w:line="340" w:lineRule="auto"/>
              <w:rPr>
                <w:rFonts w:ascii="Arial"/>
                <w:sz w:val="21"/>
              </w:rPr>
            </w:pPr>
            <w:r/>
          </w:p>
          <w:p>
            <w:pPr>
              <w:pStyle w:val="TableText"/>
              <w:ind w:left="113"/>
              <w:spacing w:before="68" w:line="220" w:lineRule="auto"/>
              <w:rPr/>
            </w:pPr>
            <w:r>
              <w:rPr>
                <w:spacing w:val="-5"/>
              </w:rPr>
              <w:t>废垫料及时清运至储粪库，定时喷洒除臭剂，</w:t>
            </w:r>
          </w:p>
          <w:p>
            <w:pPr>
              <w:pStyle w:val="TableText"/>
              <w:ind w:left="138"/>
              <w:spacing w:before="61" w:line="221" w:lineRule="auto"/>
              <w:rPr/>
            </w:pPr>
            <w:r>
              <w:rPr>
                <w:spacing w:val="-1"/>
              </w:rPr>
              <w:t>并且做到不在场区长期贮存，及时清运至有</w:t>
            </w:r>
          </w:p>
          <w:p>
            <w:pPr>
              <w:pStyle w:val="TableText"/>
              <w:ind w:left="1183"/>
              <w:spacing w:before="60" w:line="220" w:lineRule="auto"/>
              <w:rPr/>
            </w:pPr>
            <w:r>
              <w:rPr>
                <w:spacing w:val="-3"/>
              </w:rPr>
              <w:t>机肥厂生产有机肥。</w:t>
            </w:r>
          </w:p>
        </w:tc>
      </w:tr>
      <w:tr>
        <w:trPr>
          <w:trHeight w:val="2205" w:hRule="atLeast"/>
        </w:trPr>
        <w:tc>
          <w:tcPr>
            <w:tcW w:w="981" w:type="dxa"/>
            <w:vAlign w:val="top"/>
            <w:tcBorders>
              <w:left w:val="nil"/>
              <w:bottom w:val="single" w:color="000000" w:sz="10" w:space="0"/>
            </w:tcBorders>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pStyle w:val="TableText"/>
              <w:ind w:left="296"/>
              <w:spacing w:before="68" w:line="221" w:lineRule="auto"/>
              <w:rPr/>
            </w:pPr>
            <w:r>
              <w:rPr>
                <w:spacing w:val="-2"/>
              </w:rPr>
              <w:t>全场</w:t>
            </w:r>
          </w:p>
        </w:tc>
        <w:tc>
          <w:tcPr>
            <w:tcW w:w="3505" w:type="dxa"/>
            <w:vAlign w:val="top"/>
            <w:tcBorders>
              <w:bottom w:val="single" w:color="000000" w:sz="10" w:space="0"/>
            </w:tcBorders>
          </w:tcPr>
          <w:p>
            <w:pPr>
              <w:spacing w:line="261" w:lineRule="auto"/>
              <w:rPr>
                <w:rFonts w:ascii="Arial"/>
                <w:sz w:val="21"/>
              </w:rPr>
            </w:pPr>
            <w:r/>
          </w:p>
          <w:p>
            <w:pPr>
              <w:spacing w:line="262" w:lineRule="auto"/>
              <w:rPr>
                <w:rFonts w:ascii="Arial"/>
                <w:sz w:val="21"/>
              </w:rPr>
            </w:pPr>
            <w:r/>
          </w:p>
          <w:p>
            <w:pPr>
              <w:pStyle w:val="TableText"/>
              <w:ind w:left="346"/>
              <w:spacing w:before="68" w:line="234" w:lineRule="auto"/>
              <w:rPr/>
            </w:pPr>
            <w:r>
              <w:rPr>
                <w:spacing w:val="-3"/>
              </w:rPr>
              <w:t>（</w:t>
            </w:r>
            <w:r>
              <w:rPr>
                <w:rFonts w:ascii="Times New Roman" w:hAnsi="Times New Roman" w:eastAsia="Times New Roman" w:cs="Times New Roman"/>
                <w:spacing w:val="-3"/>
              </w:rPr>
              <w:t>1</w:t>
            </w:r>
            <w:r>
              <w:rPr>
                <w:spacing w:val="-3"/>
              </w:rPr>
              <w:t>）固体粪污规范还田利用；</w:t>
            </w:r>
          </w:p>
          <w:p>
            <w:pPr>
              <w:pStyle w:val="TableText"/>
              <w:ind w:left="183" w:right="130" w:hanging="46"/>
              <w:spacing w:before="3" w:line="231" w:lineRule="auto"/>
              <w:rPr/>
            </w:pPr>
            <w:r>
              <w:rPr>
                <w:spacing w:val="-2"/>
              </w:rPr>
              <w:t>（</w:t>
            </w:r>
            <w:r>
              <w:rPr>
                <w:rFonts w:ascii="Times New Roman" w:hAnsi="Times New Roman" w:eastAsia="Times New Roman" w:cs="Times New Roman"/>
                <w:spacing w:val="-2"/>
              </w:rPr>
              <w:t>2</w:t>
            </w:r>
            <w:r>
              <w:rPr>
                <w:spacing w:val="-2"/>
              </w:rPr>
              <w:t>）场区运输道路全硬化、及时清</w:t>
            </w:r>
            <w:r>
              <w:rPr>
                <w:spacing w:val="-1"/>
              </w:rPr>
              <w:t>扫、无积灰扬尘、定期洒水抑尘；</w:t>
            </w:r>
          </w:p>
          <w:p>
            <w:pPr>
              <w:pStyle w:val="TableText"/>
              <w:ind w:left="766"/>
              <w:spacing w:before="20" w:line="235" w:lineRule="auto"/>
              <w:rPr/>
            </w:pPr>
            <w:r>
              <w:rPr>
                <w:spacing w:val="-2"/>
              </w:rPr>
              <w:t>（</w:t>
            </w:r>
            <w:r>
              <w:rPr>
                <w:rFonts w:ascii="Times New Roman" w:hAnsi="Times New Roman" w:eastAsia="Times New Roman" w:cs="Times New Roman"/>
                <w:spacing w:val="-2"/>
              </w:rPr>
              <w:t>3</w:t>
            </w:r>
            <w:r>
              <w:rPr>
                <w:spacing w:val="-2"/>
              </w:rPr>
              <w:t>）加强场区绿化。</w:t>
            </w:r>
          </w:p>
        </w:tc>
        <w:tc>
          <w:tcPr>
            <w:tcW w:w="4249" w:type="dxa"/>
            <w:vAlign w:val="top"/>
            <w:tcBorders>
              <w:right w:val="nil"/>
              <w:bottom w:val="single" w:color="000000" w:sz="10" w:space="0"/>
            </w:tcBorders>
          </w:tcPr>
          <w:p>
            <w:pPr>
              <w:pStyle w:val="TableText"/>
              <w:ind w:left="120"/>
              <w:spacing w:before="68" w:line="234" w:lineRule="auto"/>
              <w:rPr/>
            </w:pPr>
            <w:r>
              <w:rPr>
                <w:spacing w:val="-4"/>
              </w:rPr>
              <w:t>（</w:t>
            </w:r>
            <w:r>
              <w:rPr>
                <w:rFonts w:ascii="Times New Roman" w:hAnsi="Times New Roman" w:eastAsia="Times New Roman" w:cs="Times New Roman"/>
                <w:spacing w:val="-4"/>
              </w:rPr>
              <w:t>1</w:t>
            </w:r>
            <w:r>
              <w:rPr>
                <w:spacing w:val="-4"/>
              </w:rPr>
              <w:t>）固体粪污定期外卖有机肥厂家生产有机</w:t>
            </w:r>
          </w:p>
          <w:p>
            <w:pPr>
              <w:pStyle w:val="TableText"/>
              <w:ind w:left="133"/>
              <w:spacing w:before="45" w:line="220" w:lineRule="auto"/>
              <w:rPr/>
            </w:pPr>
            <w:r>
              <w:rPr>
                <w:spacing w:val="-1"/>
              </w:rPr>
              <w:t>肥，符合就近资源化利用或委托第三方处理</w:t>
            </w:r>
          </w:p>
          <w:p>
            <w:pPr>
              <w:pStyle w:val="TableText"/>
              <w:ind w:left="1814"/>
              <w:spacing w:before="61" w:line="222" w:lineRule="auto"/>
              <w:rPr/>
            </w:pPr>
            <w:r>
              <w:rPr>
                <w:spacing w:val="-13"/>
              </w:rPr>
              <w:t>要求；</w:t>
            </w:r>
          </w:p>
          <w:p>
            <w:pPr>
              <w:pStyle w:val="TableText"/>
              <w:ind w:left="1183" w:right="90" w:hanging="1063"/>
              <w:spacing w:before="59" w:line="247" w:lineRule="auto"/>
              <w:rPr/>
            </w:pPr>
            <w:r>
              <w:rPr>
                <w:spacing w:val="-3"/>
              </w:rPr>
              <w:t>（</w:t>
            </w:r>
            <w:r>
              <w:rPr>
                <w:rFonts w:ascii="Times New Roman" w:hAnsi="Times New Roman" w:eastAsia="Times New Roman" w:cs="Times New Roman"/>
                <w:spacing w:val="-3"/>
              </w:rPr>
              <w:t>2</w:t>
            </w:r>
            <w:r>
              <w:rPr>
                <w:spacing w:val="-3"/>
              </w:rPr>
              <w:t>）牛尿随废垫料一同清运至储粪库暂存，</w:t>
            </w:r>
            <w:r>
              <w:rPr>
                <w:spacing w:val="-4"/>
              </w:rPr>
              <w:t>及时外运有机肥厂；</w:t>
            </w:r>
          </w:p>
          <w:p>
            <w:pPr>
              <w:pStyle w:val="TableText"/>
              <w:ind w:left="120"/>
              <w:spacing w:before="63" w:line="234" w:lineRule="auto"/>
              <w:rPr/>
            </w:pPr>
            <w:r>
              <w:rPr>
                <w:spacing w:val="-10"/>
              </w:rPr>
              <w:t>（</w:t>
            </w:r>
            <w:r>
              <w:rPr>
                <w:rFonts w:ascii="Times New Roman" w:hAnsi="Times New Roman" w:eastAsia="Times New Roman" w:cs="Times New Roman"/>
                <w:spacing w:val="-10"/>
              </w:rPr>
              <w:t>3</w:t>
            </w:r>
            <w:r>
              <w:rPr>
                <w:spacing w:val="-10"/>
              </w:rPr>
              <w:t>）厂区运输道路全部硬化，定期洒水抑尘；</w:t>
            </w:r>
          </w:p>
          <w:p>
            <w:pPr>
              <w:pStyle w:val="TableText"/>
              <w:ind w:left="403"/>
              <w:spacing w:before="45" w:line="224" w:lineRule="auto"/>
              <w:rPr/>
            </w:pPr>
            <w:r>
              <w:rPr>
                <w:spacing w:val="-2"/>
              </w:rPr>
              <w:t>（</w:t>
            </w:r>
            <w:r>
              <w:rPr>
                <w:rFonts w:ascii="Times New Roman" w:hAnsi="Times New Roman" w:eastAsia="Times New Roman" w:cs="Times New Roman"/>
                <w:spacing w:val="-2"/>
              </w:rPr>
              <w:t>4</w:t>
            </w:r>
            <w:r>
              <w:rPr>
                <w:spacing w:val="-2"/>
              </w:rPr>
              <w:t>）建议养殖场周边种植抗旱树木。</w:t>
            </w:r>
          </w:p>
        </w:tc>
      </w:tr>
    </w:tbl>
    <w:p>
      <w:pPr>
        <w:pStyle w:val="BodyText"/>
        <w:rPr/>
      </w:pPr>
      <w:r/>
    </w:p>
    <w:p>
      <w:pPr>
        <w:sectPr>
          <w:headerReference w:type="default" r:id="rId184"/>
          <w:footerReference w:type="default" r:id="rId185"/>
          <w:pgSz w:w="11907" w:h="16839"/>
          <w:pgMar w:top="1375" w:right="1502" w:bottom="1235" w:left="1579" w:header="1035" w:footer="990" w:gutter="0"/>
        </w:sectPr>
        <w:rPr/>
      </w:pPr>
    </w:p>
    <w:p>
      <w:pPr>
        <w:pStyle w:val="BodyText"/>
        <w:spacing w:line="280" w:lineRule="auto"/>
        <w:rPr/>
      </w:pPr>
      <w:r/>
    </w:p>
    <w:p>
      <w:pPr>
        <w:ind w:left="104"/>
        <w:spacing w:before="78" w:line="234" w:lineRule="auto"/>
        <w:rPr>
          <w:rFonts w:ascii="SimSun" w:hAnsi="SimSun" w:eastAsia="SimSun" w:cs="SimSun"/>
          <w:sz w:val="24"/>
          <w:szCs w:val="24"/>
        </w:rPr>
      </w:pPr>
      <w:r>
        <w:rPr>
          <w:rFonts w:ascii="Times New Roman" w:hAnsi="Times New Roman" w:eastAsia="Times New Roman" w:cs="Times New Roman"/>
          <w:sz w:val="24"/>
          <w:szCs w:val="24"/>
          <w:b/>
          <w:bCs/>
          <w:spacing w:val="-2"/>
        </w:rPr>
        <w:t>6.3.2 </w:t>
      </w:r>
      <w:r>
        <w:rPr>
          <w:rFonts w:ascii="SimSun" w:hAnsi="SimSun" w:eastAsia="SimSun" w:cs="SimSun"/>
          <w:sz w:val="24"/>
          <w:szCs w:val="24"/>
          <w:b/>
          <w:bCs/>
          <w:spacing w:val="-2"/>
        </w:rPr>
        <w:t>食堂油烟污染防治对策与建议</w:t>
      </w:r>
    </w:p>
    <w:p>
      <w:pPr>
        <w:pStyle w:val="BodyText"/>
        <w:spacing w:line="325" w:lineRule="auto"/>
        <w:rPr/>
      </w:pPr>
      <w:r/>
    </w:p>
    <w:p>
      <w:pPr>
        <w:ind w:left="107" w:firstLine="478"/>
        <w:spacing w:before="78" w:line="355" w:lineRule="auto"/>
        <w:jc w:val="both"/>
        <w:rPr>
          <w:rFonts w:ascii="SimSun" w:hAnsi="SimSun" w:eastAsia="SimSun" w:cs="SimSun"/>
          <w:sz w:val="24"/>
          <w:szCs w:val="24"/>
        </w:rPr>
      </w:pPr>
      <w:r>
        <w:rPr>
          <w:rFonts w:ascii="SimSun" w:hAnsi="SimSun" w:eastAsia="SimSun" w:cs="SimSun"/>
          <w:sz w:val="24"/>
          <w:szCs w:val="24"/>
          <w:spacing w:val="-3"/>
        </w:rPr>
        <w:t>本项目建成后企业食堂为小型饮食单位，油烟的产生浓度约为</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3"/>
        </w:rPr>
        <w:t>1.83mg/m</w:t>
      </w:r>
      <w:r>
        <w:rPr>
          <w:rFonts w:ascii="Times New Roman" w:hAnsi="Times New Roman" w:eastAsia="Times New Roman" w:cs="Times New Roman"/>
          <w:sz w:val="16"/>
          <w:szCs w:val="16"/>
          <w:spacing w:val="-3"/>
          <w:position w:val="10"/>
        </w:rPr>
        <w:t>3</w:t>
      </w:r>
      <w:r>
        <w:rPr>
          <w:rFonts w:ascii="SimSun" w:hAnsi="SimSun" w:eastAsia="SimSun" w:cs="SimSun"/>
          <w:sz w:val="24"/>
          <w:szCs w:val="24"/>
          <w:spacing w:val="-3"/>
        </w:rPr>
        <w:t>，采</w:t>
      </w:r>
      <w:r>
        <w:rPr>
          <w:rFonts w:ascii="SimSun" w:hAnsi="SimSun" w:eastAsia="SimSun" w:cs="SimSun"/>
          <w:sz w:val="24"/>
          <w:szCs w:val="24"/>
          <w:spacing w:val="-2"/>
        </w:rPr>
        <w:t>用油烟净化器（除烟效率</w:t>
      </w:r>
      <w:r>
        <w:rPr>
          <w:rFonts w:ascii="Times New Roman" w:hAnsi="Times New Roman" w:eastAsia="Times New Roman" w:cs="Times New Roman"/>
          <w:sz w:val="24"/>
          <w:szCs w:val="24"/>
          <w:spacing w:val="-2"/>
        </w:rPr>
        <w:t>≥60%</w:t>
      </w:r>
      <w:r>
        <w:rPr>
          <w:rFonts w:ascii="SimSun" w:hAnsi="SimSun" w:eastAsia="SimSun" w:cs="SimSun"/>
          <w:sz w:val="24"/>
          <w:szCs w:val="24"/>
          <w:spacing w:val="-2"/>
        </w:rPr>
        <w:t>）进行处理，经处理后油</w:t>
      </w:r>
      <w:r>
        <w:rPr>
          <w:rFonts w:ascii="SimSun" w:hAnsi="SimSun" w:eastAsia="SimSun" w:cs="SimSun"/>
          <w:sz w:val="24"/>
          <w:szCs w:val="24"/>
          <w:spacing w:val="-3"/>
        </w:rPr>
        <w:t>烟排放浓度为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0.73mg/m</w:t>
      </w:r>
      <w:r>
        <w:rPr>
          <w:rFonts w:ascii="Times New Roman" w:hAnsi="Times New Roman" w:eastAsia="Times New Roman" w:cs="Times New Roman"/>
          <w:sz w:val="16"/>
          <w:szCs w:val="16"/>
          <w:spacing w:val="-3"/>
          <w:position w:val="10"/>
        </w:rPr>
        <w:t>3</w:t>
      </w:r>
      <w:r>
        <w:rPr>
          <w:rFonts w:ascii="SimSun" w:hAnsi="SimSun" w:eastAsia="SimSun" w:cs="SimSun"/>
          <w:sz w:val="24"/>
          <w:szCs w:val="24"/>
          <w:spacing w:val="-3"/>
        </w:rPr>
        <w:t>，</w:t>
      </w:r>
      <w:r>
        <w:rPr>
          <w:rFonts w:ascii="SimSun" w:hAnsi="SimSun" w:eastAsia="SimSun" w:cs="SimSun"/>
          <w:sz w:val="24"/>
          <w:szCs w:val="24"/>
          <w:spacing w:val="-1"/>
        </w:rPr>
        <w:t>能够满足</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GB18483—2001</w:t>
      </w:r>
      <w:r>
        <w:rPr>
          <w:rFonts w:ascii="SimSun" w:hAnsi="SimSun" w:eastAsia="SimSun" w:cs="SimSun"/>
          <w:sz w:val="24"/>
          <w:szCs w:val="24"/>
          <w:spacing w:val="-1"/>
        </w:rPr>
        <w:t>《饮食业油烟排放标准》中的最高允</w:t>
      </w:r>
      <w:r>
        <w:rPr>
          <w:rFonts w:ascii="SimSun" w:hAnsi="SimSun" w:eastAsia="SimSun" w:cs="SimSun"/>
          <w:sz w:val="24"/>
          <w:szCs w:val="24"/>
          <w:spacing w:val="-2"/>
        </w:rPr>
        <w:t>许排放浓度</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2"/>
        </w:rPr>
        <w:t>2mg/m</w:t>
      </w:r>
      <w:r>
        <w:rPr>
          <w:rFonts w:ascii="Times New Roman" w:hAnsi="Times New Roman" w:eastAsia="Times New Roman" w:cs="Times New Roman"/>
          <w:sz w:val="16"/>
          <w:szCs w:val="16"/>
          <w:spacing w:val="-2"/>
          <w:position w:val="10"/>
        </w:rPr>
        <w:t>3</w:t>
      </w:r>
      <w:r>
        <w:rPr>
          <w:rFonts w:ascii="SimSun" w:hAnsi="SimSun" w:eastAsia="SimSun" w:cs="SimSun"/>
          <w:sz w:val="24"/>
          <w:szCs w:val="24"/>
          <w:spacing w:val="-1"/>
        </w:rPr>
        <w:t>限值要求。处理后烟气经室内烟道高空外排，排气筒</w:t>
      </w:r>
      <w:r>
        <w:rPr>
          <w:rFonts w:ascii="SimSun" w:hAnsi="SimSun" w:eastAsia="SimSun" w:cs="SimSun"/>
          <w:sz w:val="24"/>
          <w:szCs w:val="24"/>
          <w:spacing w:val="-2"/>
        </w:rPr>
        <w:t>高度高出屋顶</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2"/>
        </w:rPr>
        <w:t>1m</w:t>
      </w:r>
      <w:r>
        <w:rPr>
          <w:rFonts w:ascii="SimSun" w:hAnsi="SimSun" w:eastAsia="SimSun" w:cs="SimSun"/>
          <w:sz w:val="24"/>
          <w:szCs w:val="24"/>
          <w:spacing w:val="-2"/>
        </w:rPr>
        <w:t>。</w:t>
      </w:r>
    </w:p>
    <w:p>
      <w:pPr>
        <w:spacing w:before="17" w:line="233" w:lineRule="auto"/>
        <w:jc w:val="right"/>
        <w:rPr>
          <w:rFonts w:ascii="SimSun" w:hAnsi="SimSun" w:eastAsia="SimSun" w:cs="SimSun"/>
          <w:sz w:val="24"/>
          <w:szCs w:val="24"/>
        </w:rPr>
      </w:pPr>
      <w:r>
        <w:rPr>
          <w:rFonts w:ascii="SimSun" w:hAnsi="SimSun" w:eastAsia="SimSun" w:cs="SimSun"/>
          <w:sz w:val="24"/>
          <w:szCs w:val="24"/>
          <w:spacing w:val="-5"/>
        </w:rPr>
        <w:t>采取油烟净化器进行处理，处理效率</w:t>
      </w:r>
      <w:r>
        <w:rPr>
          <w:rFonts w:ascii="Times New Roman" w:hAnsi="Times New Roman" w:eastAsia="Times New Roman" w:cs="Times New Roman"/>
          <w:sz w:val="24"/>
          <w:szCs w:val="24"/>
          <w:spacing w:val="-5"/>
        </w:rPr>
        <w:t>≥60%</w:t>
      </w:r>
      <w:r>
        <w:rPr>
          <w:rFonts w:ascii="SimSun" w:hAnsi="SimSun" w:eastAsia="SimSun" w:cs="SimSun"/>
          <w:sz w:val="24"/>
          <w:szCs w:val="24"/>
          <w:spacing w:val="-5"/>
        </w:rPr>
        <w:t>，其油烟净化器处理原理流程如下：</w:t>
      </w:r>
    </w:p>
    <w:p>
      <w:pPr>
        <w:ind w:left="591"/>
        <w:spacing w:before="163"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）吸入污染的空气</w:t>
      </w:r>
    </w:p>
    <w:p>
      <w:pPr>
        <w:ind w:left="591"/>
        <w:spacing w:before="16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）预处理器</w:t>
      </w:r>
    </w:p>
    <w:p>
      <w:pPr>
        <w:ind w:left="584"/>
        <w:spacing w:before="161" w:line="217" w:lineRule="auto"/>
        <w:rPr>
          <w:rFonts w:ascii="SimSun" w:hAnsi="SimSun" w:eastAsia="SimSun" w:cs="SimSun"/>
          <w:sz w:val="24"/>
          <w:szCs w:val="24"/>
        </w:rPr>
      </w:pPr>
      <w:r>
        <w:rPr>
          <w:rFonts w:ascii="SimSun" w:hAnsi="SimSun" w:eastAsia="SimSun" w:cs="SimSun"/>
          <w:sz w:val="24"/>
          <w:szCs w:val="24"/>
          <w:spacing w:val="-3"/>
        </w:rPr>
        <w:t>①过滤吸入空气中的大型颗粒，提高整体净化率；</w:t>
      </w:r>
    </w:p>
    <w:p>
      <w:pPr>
        <w:ind w:left="583"/>
        <w:spacing w:before="186" w:line="217" w:lineRule="auto"/>
        <w:rPr>
          <w:rFonts w:ascii="SimSun" w:hAnsi="SimSun" w:eastAsia="SimSun" w:cs="SimSun"/>
          <w:sz w:val="24"/>
          <w:szCs w:val="24"/>
        </w:rPr>
      </w:pPr>
      <w:r>
        <w:rPr>
          <w:rFonts w:ascii="SimSun" w:hAnsi="SimSun" w:eastAsia="SimSun" w:cs="SimSun"/>
          <w:sz w:val="24"/>
          <w:szCs w:val="24"/>
          <w:spacing w:val="-6"/>
        </w:rPr>
        <w:t>②稳定风速。</w:t>
      </w:r>
    </w:p>
    <w:p>
      <w:pPr>
        <w:ind w:left="591"/>
        <w:spacing w:before="182"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）高压静电离子发生器</w:t>
      </w:r>
    </w:p>
    <w:p>
      <w:pPr>
        <w:ind w:left="586"/>
        <w:spacing w:before="165" w:line="220" w:lineRule="auto"/>
        <w:rPr>
          <w:rFonts w:ascii="SimSun" w:hAnsi="SimSun" w:eastAsia="SimSun" w:cs="SimSun"/>
          <w:sz w:val="24"/>
          <w:szCs w:val="24"/>
        </w:rPr>
      </w:pPr>
      <w:r>
        <w:rPr>
          <w:rFonts w:ascii="SimSun" w:hAnsi="SimSun" w:eastAsia="SimSun" w:cs="SimSun"/>
          <w:sz w:val="24"/>
          <w:szCs w:val="24"/>
          <w:spacing w:val="-3"/>
        </w:rPr>
        <w:t>使通过第一段滤网的粒子带有阴性电极。</w:t>
      </w:r>
    </w:p>
    <w:p>
      <w:pPr>
        <w:ind w:left="591"/>
        <w:spacing w:before="180" w:line="233"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）电集尘板</w:t>
      </w:r>
    </w:p>
    <w:p>
      <w:pPr>
        <w:ind w:left="105" w:right="78" w:firstLine="478"/>
        <w:spacing w:before="164" w:line="290" w:lineRule="auto"/>
        <w:rPr>
          <w:rFonts w:ascii="SimSun" w:hAnsi="SimSun" w:eastAsia="SimSun" w:cs="SimSun"/>
          <w:sz w:val="24"/>
          <w:szCs w:val="24"/>
        </w:rPr>
      </w:pPr>
      <w:r>
        <w:rPr>
          <w:rFonts w:ascii="SimSun" w:hAnsi="SimSun" w:eastAsia="SimSun" w:cs="SimSun"/>
          <w:sz w:val="24"/>
          <w:szCs w:val="24"/>
          <w:spacing w:val="3"/>
        </w:rPr>
        <w:t>①运用同极相斥，异极相吸的原理，使通过静</w:t>
      </w:r>
      <w:r>
        <w:rPr>
          <w:rFonts w:ascii="SimSun" w:hAnsi="SimSun" w:eastAsia="SimSun" w:cs="SimSun"/>
          <w:sz w:val="24"/>
          <w:szCs w:val="24"/>
          <w:spacing w:val="2"/>
        </w:rPr>
        <w:t>电发生器的阳极的粒子吸附在</w:t>
      </w:r>
      <w:r>
        <w:rPr>
          <w:rFonts w:ascii="SimSun" w:hAnsi="SimSun" w:eastAsia="SimSun" w:cs="SimSun"/>
          <w:sz w:val="24"/>
          <w:szCs w:val="24"/>
          <w:spacing w:val="-7"/>
        </w:rPr>
        <w:t>集尘板的阴极板上；</w:t>
      </w:r>
    </w:p>
    <w:p>
      <w:pPr>
        <w:ind w:left="583"/>
        <w:spacing w:before="182" w:line="231" w:lineRule="auto"/>
        <w:rPr>
          <w:rFonts w:ascii="SimSun" w:hAnsi="SimSun" w:eastAsia="SimSun" w:cs="SimSun"/>
          <w:sz w:val="24"/>
          <w:szCs w:val="24"/>
        </w:rPr>
      </w:pPr>
      <w:r>
        <w:rPr>
          <w:rFonts w:ascii="SimSun" w:hAnsi="SimSun" w:eastAsia="SimSun" w:cs="SimSun"/>
          <w:sz w:val="24"/>
          <w:szCs w:val="24"/>
          <w:spacing w:val="-3"/>
        </w:rPr>
        <w:t>②对各种污染粒子的集尘效率达</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60%</w:t>
      </w:r>
      <w:r>
        <w:rPr>
          <w:rFonts w:ascii="SimSun" w:hAnsi="SimSun" w:eastAsia="SimSun" w:cs="SimSun"/>
          <w:sz w:val="24"/>
          <w:szCs w:val="24"/>
          <w:spacing w:val="-3"/>
        </w:rPr>
        <w:t>以上。</w:t>
      </w:r>
    </w:p>
    <w:p>
      <w:pPr>
        <w:ind w:left="591"/>
        <w:spacing w:before="167"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5</w:t>
      </w:r>
      <w:r>
        <w:rPr>
          <w:rFonts w:ascii="SimSun" w:hAnsi="SimSun" w:eastAsia="SimSun" w:cs="SimSun"/>
          <w:sz w:val="24"/>
          <w:szCs w:val="24"/>
          <w:spacing w:val="-5"/>
        </w:rPr>
        <w:t>）活性炭滤网</w:t>
      </w:r>
    </w:p>
    <w:p>
      <w:pPr>
        <w:ind w:left="589"/>
        <w:spacing w:before="161" w:line="220" w:lineRule="auto"/>
        <w:rPr>
          <w:rFonts w:ascii="SimSun" w:hAnsi="SimSun" w:eastAsia="SimSun" w:cs="SimSun"/>
          <w:sz w:val="24"/>
          <w:szCs w:val="24"/>
        </w:rPr>
      </w:pPr>
      <w:r>
        <w:rPr>
          <w:rFonts w:ascii="SimSun" w:hAnsi="SimSun" w:eastAsia="SimSun" w:cs="SimSun"/>
          <w:sz w:val="24"/>
          <w:szCs w:val="24"/>
          <w:spacing w:val="-4"/>
        </w:rPr>
        <w:t>去除最后的剩余物质及异味。</w:t>
      </w:r>
    </w:p>
    <w:p>
      <w:pPr>
        <w:ind w:left="591"/>
        <w:spacing w:before="183"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）排出净化后的洁净空气</w:t>
      </w:r>
    </w:p>
    <w:p>
      <w:pPr>
        <w:ind w:left="109" w:firstLine="478"/>
        <w:spacing w:before="160" w:line="362" w:lineRule="auto"/>
        <w:rPr>
          <w:rFonts w:ascii="SimSun" w:hAnsi="SimSun" w:eastAsia="SimSun" w:cs="SimSun"/>
          <w:sz w:val="24"/>
          <w:szCs w:val="24"/>
        </w:rPr>
      </w:pPr>
      <w:r>
        <w:rPr>
          <w:rFonts w:ascii="SimSun" w:hAnsi="SimSun" w:eastAsia="SimSun" w:cs="SimSun"/>
          <w:sz w:val="24"/>
          <w:szCs w:val="24"/>
          <w:spacing w:val="-2"/>
        </w:rPr>
        <w:t>综上，养殖场恶臭气体及食堂油烟经采取有效治理</w:t>
      </w:r>
      <w:r>
        <w:rPr>
          <w:rFonts w:ascii="SimSun" w:hAnsi="SimSun" w:eastAsia="SimSun" w:cs="SimSun"/>
          <w:sz w:val="24"/>
          <w:szCs w:val="24"/>
          <w:spacing w:val="-3"/>
        </w:rPr>
        <w:t>措施后，均能够达标排放，</w:t>
      </w:r>
      <w:r>
        <w:rPr>
          <w:rFonts w:ascii="SimSun" w:hAnsi="SimSun" w:eastAsia="SimSun" w:cs="SimSun"/>
          <w:sz w:val="24"/>
          <w:szCs w:val="24"/>
          <w:spacing w:val="-3"/>
        </w:rPr>
        <w:t>不会对项目周围环境空气产生较大不良影响。</w:t>
      </w:r>
    </w:p>
    <w:p>
      <w:pPr>
        <w:pStyle w:val="BodyText"/>
        <w:spacing w:line="290" w:lineRule="auto"/>
        <w:rPr/>
      </w:pPr>
      <w:r/>
    </w:p>
    <w:p>
      <w:pPr>
        <w:ind w:left="104"/>
        <w:spacing w:before="79" w:line="234" w:lineRule="auto"/>
        <w:outlineLvl w:val="1"/>
        <w:rPr>
          <w:rFonts w:ascii="SimSun" w:hAnsi="SimSun" w:eastAsia="SimSun" w:cs="SimSun"/>
          <w:sz w:val="24"/>
          <w:szCs w:val="24"/>
        </w:rPr>
      </w:pPr>
      <w:bookmarkStart w:name="bookmark34" w:id="41"/>
      <w:bookmarkEnd w:id="41"/>
      <w:r>
        <w:rPr>
          <w:rFonts w:ascii="Times New Roman" w:hAnsi="Times New Roman" w:eastAsia="Times New Roman" w:cs="Times New Roman"/>
          <w:sz w:val="24"/>
          <w:szCs w:val="24"/>
          <w:b/>
          <w:bCs/>
          <w:spacing w:val="-4"/>
        </w:rPr>
        <w:t>6.4</w:t>
      </w:r>
      <w:r>
        <w:rPr>
          <w:rFonts w:ascii="Times New Roman" w:hAnsi="Times New Roman" w:eastAsia="Times New Roman" w:cs="Times New Roman"/>
          <w:sz w:val="24"/>
          <w:szCs w:val="24"/>
          <w:b/>
          <w:bCs/>
          <w:spacing w:val="26"/>
          <w:w w:val="101"/>
        </w:rPr>
        <w:t xml:space="preserve"> </w:t>
      </w:r>
      <w:r>
        <w:rPr>
          <w:rFonts w:ascii="SimSun" w:hAnsi="SimSun" w:eastAsia="SimSun" w:cs="SimSun"/>
          <w:sz w:val="24"/>
          <w:szCs w:val="24"/>
          <w:b/>
          <w:bCs/>
          <w:spacing w:val="-4"/>
        </w:rPr>
        <w:t>噪声污染防治对策与建议</w:t>
      </w:r>
    </w:p>
    <w:p>
      <w:pPr>
        <w:pStyle w:val="BodyText"/>
        <w:spacing w:line="300" w:lineRule="auto"/>
        <w:rPr/>
      </w:pPr>
      <w:r/>
    </w:p>
    <w:p>
      <w:pPr>
        <w:ind w:left="116" w:right="78" w:firstLine="471"/>
        <w:spacing w:before="78" w:line="359" w:lineRule="auto"/>
        <w:rPr>
          <w:rFonts w:ascii="SimSun" w:hAnsi="SimSun" w:eastAsia="SimSun" w:cs="SimSun"/>
          <w:sz w:val="24"/>
          <w:szCs w:val="24"/>
        </w:rPr>
      </w:pPr>
      <w:r>
        <w:rPr>
          <w:rFonts w:ascii="SimSun" w:hAnsi="SimSun" w:eastAsia="SimSun" w:cs="SimSun"/>
          <w:sz w:val="24"/>
          <w:szCs w:val="24"/>
          <w:spacing w:val="2"/>
        </w:rPr>
        <w:t>为了减轻各类噪声对周围声环境影响，根据各类噪声的声源特征，提出以下</w:t>
      </w:r>
      <w:r>
        <w:rPr>
          <w:rFonts w:ascii="SimSun" w:hAnsi="SimSun" w:eastAsia="SimSun" w:cs="SimSun"/>
          <w:sz w:val="24"/>
          <w:szCs w:val="24"/>
          <w:spacing w:val="-10"/>
        </w:rPr>
        <w:t>噪声防治措施：</w:t>
      </w:r>
    </w:p>
    <w:p>
      <w:pPr>
        <w:ind w:left="591"/>
        <w:spacing w:before="1"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）设备选型时尽量选择低噪变频设备，从源头上控制噪声源的产生。</w:t>
      </w:r>
    </w:p>
    <w:p>
      <w:pPr>
        <w:ind w:left="111" w:right="78" w:firstLine="480"/>
        <w:spacing w:before="165" w:line="28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）设备安装时应加防振设施，风机出口要加消音器和消</w:t>
      </w:r>
      <w:r>
        <w:rPr>
          <w:rFonts w:ascii="SimSun" w:hAnsi="SimSun" w:eastAsia="SimSun" w:cs="SimSun"/>
          <w:sz w:val="24"/>
          <w:szCs w:val="24"/>
          <w:spacing w:val="-2"/>
        </w:rPr>
        <w:t>声风道，风机和风</w:t>
      </w:r>
      <w:r>
        <w:rPr>
          <w:rFonts w:ascii="SimSun" w:hAnsi="SimSun" w:eastAsia="SimSun" w:cs="SimSun"/>
          <w:sz w:val="24"/>
          <w:szCs w:val="24"/>
          <w:spacing w:val="2"/>
        </w:rPr>
        <w:t>管采用软接头连接，水泵出入口处装避振喉，降低噪声传播，降低设备噪声对场</w:t>
      </w:r>
    </w:p>
    <w:p>
      <w:pPr>
        <w:spacing w:line="288" w:lineRule="auto"/>
        <w:sectPr>
          <w:headerReference w:type="default" r:id="rId187"/>
          <w:footerReference w:type="default" r:id="rId188"/>
          <w:pgSz w:w="11907" w:h="16839"/>
          <w:pgMar w:top="1375" w:right="1630" w:bottom="1235" w:left="1606" w:header="1035" w:footer="992" w:gutter="0"/>
        </w:sectPr>
        <w:rPr>
          <w:rFonts w:ascii="SimSun" w:hAnsi="SimSun" w:eastAsia="SimSun" w:cs="SimSun"/>
          <w:sz w:val="24"/>
          <w:szCs w:val="24"/>
        </w:rPr>
      </w:pPr>
    </w:p>
    <w:p>
      <w:pPr>
        <w:pStyle w:val="BodyText"/>
        <w:spacing w:line="280" w:lineRule="auto"/>
        <w:rPr/>
      </w:pPr>
      <w:r/>
    </w:p>
    <w:p>
      <w:pPr>
        <w:ind w:left="111"/>
        <w:spacing w:before="78" w:line="220" w:lineRule="auto"/>
        <w:rPr>
          <w:rFonts w:ascii="SimSun" w:hAnsi="SimSun" w:eastAsia="SimSun" w:cs="SimSun"/>
          <w:sz w:val="24"/>
          <w:szCs w:val="24"/>
        </w:rPr>
      </w:pPr>
      <w:r>
        <w:rPr>
          <w:rFonts w:ascii="SimSun" w:hAnsi="SimSun" w:eastAsia="SimSun" w:cs="SimSun"/>
          <w:sz w:val="24"/>
          <w:szCs w:val="24"/>
          <w:spacing w:val="-5"/>
        </w:rPr>
        <w:t>界周围声环境的影响。</w:t>
      </w:r>
    </w:p>
    <w:p>
      <w:pPr>
        <w:ind w:left="110" w:right="86" w:firstLine="481"/>
        <w:spacing w:before="178"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）选用隔声及消音性能较好的建筑材料，操作室采用双层复合板、双层隔</w:t>
      </w:r>
      <w:r>
        <w:rPr>
          <w:rFonts w:ascii="SimSun" w:hAnsi="SimSun" w:eastAsia="SimSun" w:cs="SimSun"/>
          <w:sz w:val="24"/>
          <w:szCs w:val="24"/>
          <w:spacing w:val="-2"/>
        </w:rPr>
        <w:t>声门及门窗密封装置，减轻噪声对操作人员的危害和对环境的影响。</w:t>
      </w:r>
    </w:p>
    <w:p>
      <w:pPr>
        <w:ind w:left="106" w:right="77" w:firstLine="485"/>
        <w:spacing w:before="178" w:line="31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）加强对高噪设备的管理和维护，随着使用年限的增加</w:t>
      </w:r>
      <w:r>
        <w:rPr>
          <w:rFonts w:ascii="SimSun" w:hAnsi="SimSun" w:eastAsia="SimSun" w:cs="SimSun"/>
          <w:sz w:val="24"/>
          <w:szCs w:val="24"/>
          <w:spacing w:val="-2"/>
        </w:rPr>
        <w:t>，有些设备噪声可</w:t>
      </w:r>
      <w:r>
        <w:rPr>
          <w:rFonts w:ascii="SimSun" w:hAnsi="SimSun" w:eastAsia="SimSun" w:cs="SimSun"/>
          <w:sz w:val="24"/>
          <w:szCs w:val="24"/>
          <w:spacing w:val="2"/>
        </w:rPr>
        <w:t>能有所增加，故应在有关环保人员的统一管理下，定期检查、监测，发现噪声超</w:t>
      </w:r>
      <w:r>
        <w:rPr>
          <w:rFonts w:ascii="SimSun" w:hAnsi="SimSun" w:eastAsia="SimSun" w:cs="SimSun"/>
          <w:sz w:val="24"/>
          <w:szCs w:val="24"/>
          <w:spacing w:val="-5"/>
        </w:rPr>
        <w:t>标要及时治理和维修。</w:t>
      </w:r>
    </w:p>
    <w:p>
      <w:pPr>
        <w:ind w:left="591"/>
        <w:spacing w:before="183"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）加强场区内及场界的环境绿化，因地制宜选择树种。</w:t>
      </w:r>
    </w:p>
    <w:p>
      <w:pPr>
        <w:ind w:left="106" w:right="80" w:firstLine="480"/>
        <w:spacing w:before="162" w:line="361" w:lineRule="auto"/>
        <w:rPr>
          <w:rFonts w:ascii="SimSun" w:hAnsi="SimSun" w:eastAsia="SimSun" w:cs="SimSun"/>
          <w:sz w:val="24"/>
          <w:szCs w:val="24"/>
        </w:rPr>
      </w:pPr>
      <w:r>
        <w:rPr>
          <w:rFonts w:ascii="SimSun" w:hAnsi="SimSun" w:eastAsia="SimSun" w:cs="SimSun"/>
          <w:sz w:val="24"/>
          <w:szCs w:val="24"/>
          <w:spacing w:val="-1"/>
        </w:rPr>
        <w:t>经过上述降噪措施后，养殖场场界噪声满足</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GB12348-2008</w:t>
      </w:r>
      <w:r>
        <w:rPr>
          <w:rFonts w:ascii="SimSun" w:hAnsi="SimSun" w:eastAsia="SimSun" w:cs="SimSun"/>
          <w:sz w:val="24"/>
          <w:szCs w:val="24"/>
          <w:spacing w:val="-1"/>
        </w:rPr>
        <w:t>《工业企业</w:t>
      </w:r>
      <w:r>
        <w:rPr>
          <w:rFonts w:ascii="SimSun" w:hAnsi="SimSun" w:eastAsia="SimSun" w:cs="SimSun"/>
          <w:sz w:val="24"/>
          <w:szCs w:val="24"/>
          <w:spacing w:val="-2"/>
        </w:rPr>
        <w:t>厂界环</w:t>
      </w:r>
      <w:r>
        <w:rPr>
          <w:rFonts w:ascii="SimSun" w:hAnsi="SimSun" w:eastAsia="SimSun" w:cs="SimSun"/>
          <w:sz w:val="24"/>
          <w:szCs w:val="24"/>
          <w:spacing w:val="-2"/>
        </w:rPr>
        <w:t>境噪声排放标准》中</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类区及</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 </w:t>
      </w:r>
      <w:r>
        <w:rPr>
          <w:rFonts w:ascii="SimSun" w:hAnsi="SimSun" w:eastAsia="SimSun" w:cs="SimSun"/>
          <w:sz w:val="24"/>
          <w:szCs w:val="24"/>
          <w:spacing w:val="-2"/>
        </w:rPr>
        <w:t>类区标准要求，对周围</w:t>
      </w:r>
      <w:r>
        <w:rPr>
          <w:rFonts w:ascii="SimSun" w:hAnsi="SimSun" w:eastAsia="SimSun" w:cs="SimSun"/>
          <w:sz w:val="24"/>
          <w:szCs w:val="24"/>
          <w:spacing w:val="-3"/>
        </w:rPr>
        <w:t>声环境影响较小。</w:t>
      </w:r>
    </w:p>
    <w:p>
      <w:pPr>
        <w:pStyle w:val="BodyText"/>
        <w:spacing w:line="294" w:lineRule="auto"/>
        <w:rPr/>
      </w:pPr>
      <w:r/>
    </w:p>
    <w:p>
      <w:pPr>
        <w:ind w:left="104"/>
        <w:spacing w:before="79" w:line="234" w:lineRule="auto"/>
        <w:outlineLvl w:val="1"/>
        <w:rPr>
          <w:rFonts w:ascii="SimSun" w:hAnsi="SimSun" w:eastAsia="SimSun" w:cs="SimSun"/>
          <w:sz w:val="24"/>
          <w:szCs w:val="24"/>
        </w:rPr>
      </w:pPr>
      <w:bookmarkStart w:name="bookmark35" w:id="42"/>
      <w:bookmarkEnd w:id="42"/>
      <w:r>
        <w:rPr>
          <w:rFonts w:ascii="Times New Roman" w:hAnsi="Times New Roman" w:eastAsia="Times New Roman" w:cs="Times New Roman"/>
          <w:sz w:val="24"/>
          <w:szCs w:val="24"/>
          <w:b/>
          <w:bCs/>
          <w:spacing w:val="-4"/>
        </w:rPr>
        <w:t>6.5</w:t>
      </w:r>
      <w:r>
        <w:rPr>
          <w:rFonts w:ascii="Times New Roman" w:hAnsi="Times New Roman" w:eastAsia="Times New Roman" w:cs="Times New Roman"/>
          <w:sz w:val="24"/>
          <w:szCs w:val="24"/>
          <w:b/>
          <w:bCs/>
          <w:spacing w:val="30"/>
          <w:w w:val="101"/>
        </w:rPr>
        <w:t xml:space="preserve"> </w:t>
      </w:r>
      <w:r>
        <w:rPr>
          <w:rFonts w:ascii="SimSun" w:hAnsi="SimSun" w:eastAsia="SimSun" w:cs="SimSun"/>
          <w:sz w:val="24"/>
          <w:szCs w:val="24"/>
          <w:b/>
          <w:bCs/>
          <w:spacing w:val="-4"/>
        </w:rPr>
        <w:t>固废物污染防治对策与建议</w:t>
      </w:r>
    </w:p>
    <w:p>
      <w:pPr>
        <w:pStyle w:val="BodyText"/>
        <w:spacing w:line="300" w:lineRule="auto"/>
        <w:rPr/>
      </w:pPr>
      <w:r/>
    </w:p>
    <w:p>
      <w:pPr>
        <w:ind w:left="105" w:right="74" w:firstLine="480"/>
        <w:spacing w:before="78" w:line="359" w:lineRule="auto"/>
        <w:rPr>
          <w:rFonts w:ascii="SimSun" w:hAnsi="SimSun" w:eastAsia="SimSun" w:cs="SimSun"/>
          <w:sz w:val="24"/>
          <w:szCs w:val="24"/>
        </w:rPr>
      </w:pPr>
      <w:r>
        <w:rPr>
          <w:rFonts w:ascii="SimSun" w:hAnsi="SimSun" w:eastAsia="SimSun" w:cs="SimSun"/>
          <w:sz w:val="24"/>
          <w:szCs w:val="24"/>
          <w:spacing w:val="3"/>
        </w:rPr>
        <w:t>养殖场固废物主要来自废垫料、防疫废物、病死</w:t>
      </w:r>
      <w:r>
        <w:rPr>
          <w:rFonts w:ascii="SimSun" w:hAnsi="SimSun" w:eastAsia="SimSun" w:cs="SimSun"/>
          <w:sz w:val="24"/>
          <w:szCs w:val="24"/>
          <w:spacing w:val="2"/>
        </w:rPr>
        <w:t>牛、餐厨垃圾、消毒剂废包</w:t>
      </w:r>
      <w:r>
        <w:rPr>
          <w:rFonts w:ascii="SimSun" w:hAnsi="SimSun" w:eastAsia="SimSun" w:cs="SimSun"/>
          <w:sz w:val="24"/>
          <w:szCs w:val="24"/>
          <w:spacing w:val="-3"/>
        </w:rPr>
        <w:t>装袋等。</w:t>
      </w:r>
    </w:p>
    <w:p>
      <w:pPr>
        <w:ind w:left="591"/>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）一般固体废物</w:t>
      </w:r>
    </w:p>
    <w:p>
      <w:pPr>
        <w:ind w:left="105" w:right="77" w:firstLine="480"/>
        <w:spacing w:before="162" w:line="359" w:lineRule="auto"/>
        <w:rPr>
          <w:rFonts w:ascii="SimSun" w:hAnsi="SimSun" w:eastAsia="SimSun" w:cs="SimSun"/>
          <w:sz w:val="24"/>
          <w:szCs w:val="24"/>
        </w:rPr>
      </w:pPr>
      <w:r>
        <w:rPr>
          <w:rFonts w:ascii="SimSun" w:hAnsi="SimSun" w:eastAsia="SimSun" w:cs="SimSun"/>
          <w:sz w:val="24"/>
          <w:szCs w:val="24"/>
          <w:spacing w:val="2"/>
        </w:rPr>
        <w:t>本项目牛舍铺设垫料，牛尿及牛粪进入垫料，废垫料暂存于储粪库，最终外</w:t>
      </w:r>
      <w:r>
        <w:rPr>
          <w:rFonts w:ascii="SimSun" w:hAnsi="SimSun" w:eastAsia="SimSun" w:cs="SimSun"/>
          <w:sz w:val="24"/>
          <w:szCs w:val="24"/>
          <w:spacing w:val="2"/>
        </w:rPr>
        <w:t>卖有机肥厂生产有机肥，病死牛委托相关单位进行无害化处置，生活垃圾集中堆</w:t>
      </w:r>
      <w:r>
        <w:rPr>
          <w:rFonts w:ascii="SimSun" w:hAnsi="SimSun" w:eastAsia="SimSun" w:cs="SimSun"/>
          <w:sz w:val="24"/>
          <w:szCs w:val="24"/>
          <w:spacing w:val="2"/>
        </w:rPr>
        <w:t>放，定期交由环卫部门进行统一处理，餐厨垃圾每日使用加盖塑料桶进行收集，</w:t>
      </w:r>
      <w:r>
        <w:rPr>
          <w:rFonts w:ascii="SimSun" w:hAnsi="SimSun" w:eastAsia="SimSun" w:cs="SimSun"/>
          <w:sz w:val="24"/>
          <w:szCs w:val="24"/>
          <w:spacing w:val="-3"/>
        </w:rPr>
        <w:t>定期交由环卫部门进行统一处理。</w:t>
      </w:r>
    </w:p>
    <w:p>
      <w:pPr>
        <w:ind w:left="104" w:right="77" w:firstLine="484"/>
        <w:spacing w:before="1" w:line="356" w:lineRule="auto"/>
        <w:jc w:val="both"/>
        <w:rPr>
          <w:rFonts w:ascii="SimSun" w:hAnsi="SimSun" w:eastAsia="SimSun" w:cs="SimSun"/>
          <w:sz w:val="24"/>
          <w:szCs w:val="24"/>
        </w:rPr>
      </w:pPr>
      <w:r>
        <w:rPr>
          <w:rFonts w:ascii="SimSun" w:hAnsi="SimSun" w:eastAsia="SimSun" w:cs="SimSun"/>
          <w:sz w:val="24"/>
          <w:szCs w:val="24"/>
          <w:spacing w:val="2"/>
        </w:rPr>
        <w:t>项目一般工业固体废物贮存场地需满足《一般工业固体废物贮存和填埋污染</w:t>
      </w:r>
      <w:r>
        <w:rPr>
          <w:rFonts w:ascii="SimSun" w:hAnsi="SimSun" w:eastAsia="SimSun" w:cs="SimSun"/>
          <w:sz w:val="24"/>
          <w:szCs w:val="24"/>
        </w:rPr>
        <w:t>控制标准》</w:t>
      </w:r>
      <w:r>
        <w:rPr>
          <w:rFonts w:ascii="Times New Roman" w:hAnsi="Times New Roman" w:eastAsia="Times New Roman" w:cs="Times New Roman"/>
          <w:sz w:val="24"/>
          <w:szCs w:val="24"/>
        </w:rPr>
        <w:t>(GB18599-2020)  </w:t>
      </w:r>
      <w:r>
        <w:rPr>
          <w:rFonts w:ascii="SimSun" w:hAnsi="SimSun" w:eastAsia="SimSun" w:cs="SimSun"/>
          <w:sz w:val="24"/>
          <w:szCs w:val="24"/>
        </w:rPr>
        <w:t>标准要求，并专人负</w:t>
      </w:r>
      <w:r>
        <w:rPr>
          <w:rFonts w:ascii="SimSun" w:hAnsi="SimSun" w:eastAsia="SimSun" w:cs="SimSun"/>
          <w:sz w:val="24"/>
          <w:szCs w:val="24"/>
          <w:spacing w:val="-1"/>
        </w:rPr>
        <w:t>责固体废物的收集、贮存，同时</w:t>
      </w:r>
      <w:r>
        <w:rPr>
          <w:rFonts w:ascii="SimSun" w:hAnsi="SimSun" w:eastAsia="SimSun" w:cs="SimSun"/>
          <w:sz w:val="24"/>
          <w:szCs w:val="24"/>
          <w:spacing w:val="-3"/>
        </w:rPr>
        <w:t>配合地方要求进行集中处置。临时堆放场应满足如下条件：</w:t>
      </w:r>
    </w:p>
    <w:p>
      <w:pPr>
        <w:ind w:left="109" w:right="77" w:firstLine="475"/>
        <w:spacing w:before="12" w:line="296" w:lineRule="auto"/>
        <w:rPr>
          <w:rFonts w:ascii="SimSun" w:hAnsi="SimSun" w:eastAsia="SimSun" w:cs="SimSun"/>
          <w:sz w:val="24"/>
          <w:szCs w:val="24"/>
        </w:rPr>
      </w:pPr>
      <w:r>
        <w:rPr>
          <w:rFonts w:ascii="SimSun" w:hAnsi="SimSun" w:eastAsia="SimSun" w:cs="SimSun"/>
          <w:sz w:val="24"/>
          <w:szCs w:val="24"/>
          <w:spacing w:val="3"/>
        </w:rPr>
        <w:t>①临时堆放场应选在防渗性能好的地基上天然</w:t>
      </w:r>
      <w:r>
        <w:rPr>
          <w:rFonts w:ascii="SimSun" w:hAnsi="SimSun" w:eastAsia="SimSun" w:cs="SimSun"/>
          <w:sz w:val="24"/>
          <w:szCs w:val="24"/>
          <w:spacing w:val="2"/>
        </w:rPr>
        <w:t>基础层地表距地下水位的距离</w:t>
      </w:r>
      <w:r>
        <w:rPr>
          <w:rFonts w:ascii="SimSun" w:hAnsi="SimSun" w:eastAsia="SimSun" w:cs="SimSun"/>
          <w:sz w:val="24"/>
          <w:szCs w:val="24"/>
          <w:spacing w:val="-5"/>
        </w:rPr>
        <w:t>不得小于</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5"/>
        </w:rPr>
        <w:t>1.5m</w:t>
      </w:r>
      <w:r>
        <w:rPr>
          <w:rFonts w:ascii="SimSun" w:hAnsi="SimSun" w:eastAsia="SimSun" w:cs="SimSun"/>
          <w:sz w:val="24"/>
          <w:szCs w:val="24"/>
          <w:spacing w:val="-5"/>
        </w:rPr>
        <w:t>；</w:t>
      </w:r>
    </w:p>
    <w:p>
      <w:pPr>
        <w:ind w:left="583"/>
        <w:spacing w:before="165" w:line="217" w:lineRule="auto"/>
        <w:rPr>
          <w:rFonts w:ascii="SimSun" w:hAnsi="SimSun" w:eastAsia="SimSun" w:cs="SimSun"/>
          <w:sz w:val="24"/>
          <w:szCs w:val="24"/>
        </w:rPr>
      </w:pPr>
      <w:r>
        <w:rPr>
          <w:rFonts w:ascii="SimSun" w:hAnsi="SimSun" w:eastAsia="SimSun" w:cs="SimSun"/>
          <w:sz w:val="24"/>
          <w:szCs w:val="24"/>
          <w:spacing w:val="-2"/>
        </w:rPr>
        <w:t>②临时堆放场四周应建有围墙，防止固体废物流失以及造成粉尘污染；</w:t>
      </w:r>
    </w:p>
    <w:p>
      <w:pPr>
        <w:ind w:left="583"/>
        <w:spacing w:before="184" w:line="231" w:lineRule="auto"/>
        <w:rPr>
          <w:rFonts w:ascii="SimSun" w:hAnsi="SimSun" w:eastAsia="SimSun" w:cs="SimSun"/>
          <w:sz w:val="24"/>
          <w:szCs w:val="24"/>
        </w:rPr>
      </w:pPr>
      <w:r>
        <w:rPr>
          <w:rFonts w:ascii="SimSun" w:hAnsi="SimSun" w:eastAsia="SimSun" w:cs="SimSun"/>
          <w:sz w:val="24"/>
          <w:szCs w:val="24"/>
          <w:spacing w:val="-2"/>
        </w:rPr>
        <w:t>③为了便于管理，临时堆放场应按</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GB15562</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设置环境保护图形标志；</w:t>
      </w:r>
    </w:p>
    <w:p>
      <w:pPr>
        <w:ind w:left="583"/>
        <w:spacing w:before="168" w:line="217" w:lineRule="auto"/>
        <w:rPr>
          <w:rFonts w:ascii="SimSun" w:hAnsi="SimSun" w:eastAsia="SimSun" w:cs="SimSun"/>
          <w:sz w:val="24"/>
          <w:szCs w:val="24"/>
        </w:rPr>
      </w:pPr>
      <w:r>
        <w:rPr>
          <w:rFonts w:ascii="SimSun" w:hAnsi="SimSun" w:eastAsia="SimSun" w:cs="SimSun"/>
          <w:sz w:val="24"/>
          <w:szCs w:val="24"/>
          <w:spacing w:val="-1"/>
        </w:rPr>
        <w:t>④物料、固体废物暂存场所需配备完善的封闭措施；</w:t>
      </w:r>
    </w:p>
    <w:p>
      <w:pPr>
        <w:ind w:left="583"/>
        <w:spacing w:before="183" w:line="217" w:lineRule="auto"/>
        <w:rPr>
          <w:rFonts w:ascii="SimSun" w:hAnsi="SimSun" w:eastAsia="SimSun" w:cs="SimSun"/>
          <w:sz w:val="24"/>
          <w:szCs w:val="24"/>
        </w:rPr>
      </w:pPr>
      <w:r>
        <w:rPr>
          <w:rFonts w:ascii="SimSun" w:hAnsi="SimSun" w:eastAsia="SimSun" w:cs="SimSun"/>
          <w:sz w:val="24"/>
          <w:szCs w:val="24"/>
          <w:spacing w:val="-3"/>
        </w:rPr>
        <w:t>⑤粉状固体废物应尽量使用袋装收集，避免散存；</w:t>
      </w:r>
    </w:p>
    <w:p>
      <w:pPr>
        <w:ind w:left="583"/>
        <w:spacing w:before="186" w:line="217" w:lineRule="auto"/>
        <w:rPr>
          <w:rFonts w:ascii="SimSun" w:hAnsi="SimSun" w:eastAsia="SimSun" w:cs="SimSun"/>
          <w:sz w:val="24"/>
          <w:szCs w:val="24"/>
        </w:rPr>
      </w:pPr>
      <w:r>
        <w:rPr>
          <w:rFonts w:ascii="SimSun" w:hAnsi="SimSun" w:eastAsia="SimSun" w:cs="SimSun"/>
          <w:sz w:val="24"/>
          <w:szCs w:val="24"/>
          <w:spacing w:val="-2"/>
        </w:rPr>
        <w:t>⑥物料及固体废物运输过程中应使用苫布等设施进行遮盖，避免扬尘；</w:t>
      </w:r>
    </w:p>
    <w:p>
      <w:pPr>
        <w:spacing w:line="217" w:lineRule="auto"/>
        <w:sectPr>
          <w:headerReference w:type="default" r:id="rId177"/>
          <w:footerReference w:type="default" r:id="rId189"/>
          <w:pgSz w:w="11907" w:h="16839"/>
          <w:pgMar w:top="1375" w:right="1631" w:bottom="1235" w:left="1606" w:header="1035" w:footer="992" w:gutter="0"/>
        </w:sectPr>
        <w:rPr>
          <w:rFonts w:ascii="SimSun" w:hAnsi="SimSun" w:eastAsia="SimSun" w:cs="SimSun"/>
          <w:sz w:val="24"/>
          <w:szCs w:val="24"/>
        </w:rPr>
      </w:pPr>
    </w:p>
    <w:p>
      <w:pPr>
        <w:pStyle w:val="BodyText"/>
        <w:spacing w:line="280" w:lineRule="auto"/>
        <w:rPr/>
      </w:pPr>
      <w:r/>
    </w:p>
    <w:p>
      <w:pPr>
        <w:ind w:left="105" w:right="112" w:firstLine="478"/>
        <w:spacing w:before="78" w:line="289" w:lineRule="auto"/>
        <w:rPr>
          <w:rFonts w:ascii="SimSun" w:hAnsi="SimSun" w:eastAsia="SimSun" w:cs="SimSun"/>
          <w:sz w:val="24"/>
          <w:szCs w:val="24"/>
        </w:rPr>
      </w:pPr>
      <w:r>
        <w:rPr>
          <w:rFonts w:ascii="SimSun" w:hAnsi="SimSun" w:eastAsia="SimSun" w:cs="SimSun"/>
          <w:sz w:val="24"/>
          <w:szCs w:val="24"/>
          <w:spacing w:val="2"/>
        </w:rPr>
        <w:t>⑦物料及固体废物外运应制定完善的运输处</w:t>
      </w:r>
      <w:r>
        <w:rPr>
          <w:rFonts w:ascii="SimSun" w:hAnsi="SimSun" w:eastAsia="SimSun" w:cs="SimSun"/>
          <w:sz w:val="24"/>
          <w:szCs w:val="24"/>
          <w:spacing w:val="1"/>
        </w:rPr>
        <w:t>理计划，尽量采取少次、多量、</w:t>
      </w:r>
      <w:r>
        <w:rPr>
          <w:rFonts w:ascii="SimSun" w:hAnsi="SimSun" w:eastAsia="SimSun" w:cs="SimSun"/>
          <w:sz w:val="24"/>
          <w:szCs w:val="24"/>
          <w:spacing w:val="-4"/>
        </w:rPr>
        <w:t>集中。</w:t>
      </w:r>
    </w:p>
    <w:p>
      <w:pPr>
        <w:ind w:left="591"/>
        <w:spacing w:before="182"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）危险废物</w:t>
      </w:r>
    </w:p>
    <w:p>
      <w:pPr>
        <w:ind w:left="112" w:right="81" w:firstLine="473"/>
        <w:spacing w:before="161" w:line="362" w:lineRule="auto"/>
        <w:rPr>
          <w:rFonts w:ascii="SimSun" w:hAnsi="SimSun" w:eastAsia="SimSun" w:cs="SimSun"/>
          <w:sz w:val="24"/>
          <w:szCs w:val="24"/>
        </w:rPr>
      </w:pPr>
      <w:r>
        <w:rPr>
          <w:rFonts w:ascii="SimSun" w:hAnsi="SimSun" w:eastAsia="SimSun" w:cs="SimSun"/>
          <w:sz w:val="24"/>
          <w:szCs w:val="24"/>
          <w:spacing w:val="2"/>
        </w:rPr>
        <w:t>本项目涉及的危险废物主要为消毒剂废包装袋及防疫废物，贮存于危险废物</w:t>
      </w:r>
      <w:r>
        <w:rPr>
          <w:rFonts w:ascii="SimSun" w:hAnsi="SimSun" w:eastAsia="SimSun" w:cs="SimSun"/>
          <w:sz w:val="24"/>
          <w:szCs w:val="24"/>
          <w:spacing w:val="-9"/>
        </w:rPr>
        <w:t>暂存间内。</w:t>
      </w:r>
    </w:p>
    <w:p>
      <w:pPr>
        <w:ind w:left="584"/>
        <w:spacing w:before="71" w:line="217" w:lineRule="auto"/>
        <w:rPr>
          <w:rFonts w:ascii="SimSun" w:hAnsi="SimSun" w:eastAsia="SimSun" w:cs="SimSun"/>
          <w:sz w:val="24"/>
          <w:szCs w:val="24"/>
        </w:rPr>
      </w:pPr>
      <w:r>
        <w:rPr>
          <w:rFonts w:ascii="SimSun" w:hAnsi="SimSun" w:eastAsia="SimSun" w:cs="SimSun"/>
          <w:sz w:val="24"/>
          <w:szCs w:val="24"/>
          <w:spacing w:val="-1"/>
        </w:rPr>
        <w:t>①危险废物处置措施可行性分析</w:t>
      </w:r>
    </w:p>
    <w:p>
      <w:pPr>
        <w:ind w:left="588"/>
        <w:spacing w:before="184" w:line="220" w:lineRule="auto"/>
        <w:rPr>
          <w:rFonts w:ascii="SimSun" w:hAnsi="SimSun" w:eastAsia="SimSun" w:cs="SimSun"/>
          <w:sz w:val="24"/>
          <w:szCs w:val="24"/>
        </w:rPr>
      </w:pPr>
      <w:r>
        <w:rPr>
          <w:rFonts w:ascii="SimSun" w:hAnsi="SimSun" w:eastAsia="SimSun" w:cs="SimSun"/>
          <w:sz w:val="24"/>
          <w:szCs w:val="24"/>
          <w:spacing w:val="-2"/>
        </w:rPr>
        <w:t>危险废物的贮存容器</w:t>
      </w:r>
    </w:p>
    <w:p>
      <w:pPr>
        <w:ind w:left="106" w:right="77" w:firstLine="478"/>
        <w:spacing w:before="184" w:line="360" w:lineRule="auto"/>
        <w:rPr>
          <w:rFonts w:ascii="SimSun" w:hAnsi="SimSun" w:eastAsia="SimSun" w:cs="SimSun"/>
          <w:sz w:val="24"/>
          <w:szCs w:val="24"/>
        </w:rPr>
      </w:pPr>
      <w:r>
        <w:rPr>
          <w:rFonts w:ascii="SimSun" w:hAnsi="SimSun" w:eastAsia="SimSun" w:cs="SimSun"/>
          <w:sz w:val="24"/>
          <w:szCs w:val="24"/>
          <w:spacing w:val="3"/>
        </w:rPr>
        <w:t>对于不同形态的危险废物需由专门容器进行贮</w:t>
      </w:r>
      <w:r>
        <w:rPr>
          <w:rFonts w:ascii="SimSun" w:hAnsi="SimSun" w:eastAsia="SimSun" w:cs="SimSun"/>
          <w:sz w:val="24"/>
          <w:szCs w:val="24"/>
          <w:spacing w:val="2"/>
        </w:rPr>
        <w:t>存，本项目消毒剂废包装袋需</w:t>
      </w:r>
      <w:r>
        <w:rPr>
          <w:rFonts w:ascii="SimSun" w:hAnsi="SimSun" w:eastAsia="SimSun" w:cs="SimSun"/>
          <w:sz w:val="24"/>
          <w:szCs w:val="24"/>
          <w:spacing w:val="-3"/>
        </w:rPr>
        <w:t>要袋装贮存，防疫废物桶装贮存，应符合以下要求：</w:t>
      </w:r>
    </w:p>
    <w:p>
      <w:pPr>
        <w:ind w:left="584"/>
        <w:spacing w:line="233" w:lineRule="auto"/>
        <w:rPr>
          <w:rFonts w:ascii="SimSun" w:hAnsi="SimSun" w:eastAsia="SimSun" w:cs="SimSun"/>
          <w:sz w:val="24"/>
          <w:szCs w:val="24"/>
        </w:rPr>
      </w:pPr>
      <w:r>
        <w:rPr>
          <w:rFonts w:ascii="Times New Roman" w:hAnsi="Times New Roman" w:eastAsia="Times New Roman" w:cs="Times New Roman"/>
          <w:sz w:val="24"/>
          <w:szCs w:val="24"/>
          <w:spacing w:val="-3"/>
        </w:rPr>
        <w:t>a.</w:t>
      </w:r>
      <w:r>
        <w:rPr>
          <w:rFonts w:ascii="SimSun" w:hAnsi="SimSun" w:eastAsia="SimSun" w:cs="SimSun"/>
          <w:sz w:val="24"/>
          <w:szCs w:val="24"/>
          <w:spacing w:val="-3"/>
        </w:rPr>
        <w:t>应当使用符合标准的容器盛装危险废物。</w:t>
      </w:r>
    </w:p>
    <w:p>
      <w:pPr>
        <w:ind w:left="575"/>
        <w:spacing w:before="164" w:line="233" w:lineRule="auto"/>
        <w:rPr>
          <w:rFonts w:ascii="SimSun" w:hAnsi="SimSun" w:eastAsia="SimSun" w:cs="SimSun"/>
          <w:sz w:val="24"/>
          <w:szCs w:val="24"/>
        </w:rPr>
      </w:pPr>
      <w:r>
        <w:rPr>
          <w:rFonts w:ascii="Times New Roman" w:hAnsi="Times New Roman" w:eastAsia="Times New Roman" w:cs="Times New Roman"/>
          <w:sz w:val="24"/>
          <w:szCs w:val="24"/>
          <w:spacing w:val="-2"/>
        </w:rPr>
        <w:t>b.</w:t>
      </w:r>
      <w:r>
        <w:rPr>
          <w:rFonts w:ascii="SimSun" w:hAnsi="SimSun" w:eastAsia="SimSun" w:cs="SimSun"/>
          <w:sz w:val="24"/>
          <w:szCs w:val="24"/>
          <w:spacing w:val="-2"/>
        </w:rPr>
        <w:t>装载危险废物的容器及材质要满足相应的强度要求。</w:t>
      </w:r>
    </w:p>
    <w:p>
      <w:pPr>
        <w:ind w:left="584"/>
        <w:spacing w:before="166" w:line="233" w:lineRule="auto"/>
        <w:rPr>
          <w:rFonts w:ascii="SimSun" w:hAnsi="SimSun" w:eastAsia="SimSun" w:cs="SimSun"/>
          <w:sz w:val="24"/>
          <w:szCs w:val="24"/>
        </w:rPr>
      </w:pPr>
      <w:r>
        <w:rPr>
          <w:rFonts w:ascii="Times New Roman" w:hAnsi="Times New Roman" w:eastAsia="Times New Roman" w:cs="Times New Roman"/>
          <w:sz w:val="24"/>
          <w:szCs w:val="24"/>
          <w:spacing w:val="-3"/>
        </w:rPr>
        <w:t>c.</w:t>
      </w:r>
      <w:r>
        <w:rPr>
          <w:rFonts w:ascii="SimSun" w:hAnsi="SimSun" w:eastAsia="SimSun" w:cs="SimSun"/>
          <w:sz w:val="24"/>
          <w:szCs w:val="24"/>
          <w:spacing w:val="-3"/>
        </w:rPr>
        <w:t>装载危险废物的容器必须完好无损。</w:t>
      </w:r>
    </w:p>
    <w:p>
      <w:pPr>
        <w:ind w:left="583"/>
        <w:spacing w:before="164" w:line="213" w:lineRule="auto"/>
        <w:rPr>
          <w:rFonts w:ascii="SimSun" w:hAnsi="SimSun" w:eastAsia="SimSun" w:cs="SimSun"/>
          <w:sz w:val="24"/>
          <w:szCs w:val="24"/>
        </w:rPr>
      </w:pPr>
      <w:r>
        <w:rPr>
          <w:rFonts w:ascii="Times New Roman" w:hAnsi="Times New Roman" w:eastAsia="Times New Roman" w:cs="Times New Roman"/>
          <w:sz w:val="24"/>
          <w:szCs w:val="24"/>
        </w:rPr>
        <w:t>d.</w:t>
      </w:r>
      <w:r>
        <w:rPr>
          <w:rFonts w:ascii="SimSun" w:hAnsi="SimSun" w:eastAsia="SimSun" w:cs="SimSun"/>
          <w:sz w:val="24"/>
          <w:szCs w:val="24"/>
        </w:rPr>
        <w:t>盛装危险废物的容器材质和衬里要与危险废物相</w:t>
      </w:r>
      <w:r>
        <w:rPr>
          <w:rFonts w:ascii="SimSun" w:hAnsi="SimSun" w:eastAsia="SimSun" w:cs="SimSun"/>
          <w:sz w:val="24"/>
          <w:szCs w:val="24"/>
          <w:spacing w:val="-1"/>
        </w:rPr>
        <w:t>容</w:t>
      </w:r>
      <w:r>
        <w:rPr>
          <w:rFonts w:ascii="Times New Roman" w:hAnsi="Times New Roman" w:eastAsia="Times New Roman" w:cs="Times New Roman"/>
          <w:sz w:val="24"/>
          <w:szCs w:val="24"/>
          <w:spacing w:val="-1"/>
        </w:rPr>
        <w:t>(</w:t>
      </w:r>
      <w:r>
        <w:rPr>
          <w:rFonts w:ascii="SimSun" w:hAnsi="SimSun" w:eastAsia="SimSun" w:cs="SimSun"/>
          <w:sz w:val="24"/>
          <w:szCs w:val="24"/>
          <w:spacing w:val="-1"/>
        </w:rPr>
        <w:t>不相互反映</w:t>
      </w:r>
      <w:r>
        <w:rPr>
          <w:rFonts w:ascii="Times New Roman" w:hAnsi="Times New Roman" w:eastAsia="Times New Roman" w:cs="Times New Roman"/>
          <w:sz w:val="24"/>
          <w:szCs w:val="24"/>
          <w:spacing w:val="-1"/>
        </w:rPr>
        <w:t>)</w:t>
      </w:r>
      <w:r>
        <w:rPr>
          <w:rFonts w:ascii="SimSun" w:hAnsi="SimSun" w:eastAsia="SimSun" w:cs="SimSun"/>
          <w:sz w:val="24"/>
          <w:szCs w:val="24"/>
          <w:spacing w:val="-1"/>
        </w:rPr>
        <w:t>。</w:t>
      </w:r>
    </w:p>
    <w:p>
      <w:pPr>
        <w:ind w:left="584"/>
        <w:spacing w:before="193" w:line="233" w:lineRule="auto"/>
        <w:rPr>
          <w:rFonts w:ascii="SimSun" w:hAnsi="SimSun" w:eastAsia="SimSun" w:cs="SimSun"/>
          <w:sz w:val="24"/>
          <w:szCs w:val="24"/>
        </w:rPr>
      </w:pPr>
      <w:r>
        <w:rPr>
          <w:rFonts w:ascii="Times New Roman" w:hAnsi="Times New Roman" w:eastAsia="Times New Roman" w:cs="Times New Roman"/>
          <w:sz w:val="24"/>
          <w:szCs w:val="24"/>
          <w:spacing w:val="-2"/>
        </w:rPr>
        <w:t>e.</w:t>
      </w:r>
      <w:r>
        <w:rPr>
          <w:rFonts w:ascii="SimSun" w:hAnsi="SimSun" w:eastAsia="SimSun" w:cs="SimSun"/>
          <w:sz w:val="24"/>
          <w:szCs w:val="24"/>
          <w:spacing w:val="-2"/>
        </w:rPr>
        <w:t>液体危险废物可注入开孔直径不超过</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70 </w:t>
      </w:r>
      <w:r>
        <w:rPr>
          <w:rFonts w:ascii="SimSun" w:hAnsi="SimSun" w:eastAsia="SimSun" w:cs="SimSun"/>
          <w:sz w:val="24"/>
          <w:szCs w:val="24"/>
          <w:spacing w:val="-2"/>
        </w:rPr>
        <w:t>毫米并有放气孔的桶中。</w:t>
      </w:r>
    </w:p>
    <w:p>
      <w:pPr>
        <w:ind w:left="585"/>
        <w:spacing w:before="164" w:line="234" w:lineRule="auto"/>
        <w:rPr>
          <w:rFonts w:ascii="SimSun" w:hAnsi="SimSun" w:eastAsia="SimSun" w:cs="SimSun"/>
          <w:sz w:val="24"/>
          <w:szCs w:val="24"/>
        </w:rPr>
      </w:pPr>
      <w:r>
        <w:rPr>
          <w:rFonts w:ascii="Times New Roman" w:hAnsi="Times New Roman" w:eastAsia="Times New Roman" w:cs="Times New Roman"/>
          <w:sz w:val="24"/>
          <w:szCs w:val="24"/>
          <w:spacing w:val="-4"/>
        </w:rPr>
        <w:t>f.</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固体和液体危险废物分区分质放置。</w:t>
      </w:r>
    </w:p>
    <w:p>
      <w:pPr>
        <w:ind w:left="588"/>
        <w:spacing w:before="164" w:line="220" w:lineRule="auto"/>
        <w:rPr>
          <w:rFonts w:ascii="SimSun" w:hAnsi="SimSun" w:eastAsia="SimSun" w:cs="SimSun"/>
          <w:sz w:val="24"/>
          <w:szCs w:val="24"/>
        </w:rPr>
      </w:pPr>
      <w:r>
        <w:rPr>
          <w:rFonts w:ascii="SimSun" w:hAnsi="SimSun" w:eastAsia="SimSun" w:cs="SimSun"/>
          <w:sz w:val="24"/>
          <w:szCs w:val="24"/>
          <w:spacing w:val="-2"/>
        </w:rPr>
        <w:t>危险废物的贮存设施（危险废物暂存间）</w:t>
      </w:r>
    </w:p>
    <w:p>
      <w:pPr>
        <w:ind w:left="105" w:right="65" w:firstLine="480"/>
        <w:spacing w:before="182" w:line="360" w:lineRule="auto"/>
        <w:rPr>
          <w:rFonts w:ascii="SimSun" w:hAnsi="SimSun" w:eastAsia="SimSun" w:cs="SimSun"/>
          <w:sz w:val="24"/>
          <w:szCs w:val="24"/>
        </w:rPr>
      </w:pPr>
      <w:r>
        <w:rPr>
          <w:rFonts w:ascii="SimSun" w:hAnsi="SimSun" w:eastAsia="SimSun" w:cs="SimSun"/>
          <w:sz w:val="24"/>
          <w:szCs w:val="24"/>
          <w:spacing w:val="-3"/>
        </w:rPr>
        <w:t>本项目危险废物产生量为</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3"/>
        </w:rPr>
        <w:t>0.6t/a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，年产生危废总量小于 </w:t>
      </w:r>
      <w:r>
        <w:rPr>
          <w:rFonts w:ascii="Times New Roman" w:hAnsi="Times New Roman" w:eastAsia="Times New Roman" w:cs="Times New Roman"/>
          <w:sz w:val="24"/>
          <w:szCs w:val="24"/>
          <w:spacing w:val="-3"/>
        </w:rPr>
        <w:t>10t</w:t>
      </w:r>
      <w:r>
        <w:rPr>
          <w:rFonts w:ascii="Times New Roman" w:hAnsi="Times New Roman" w:eastAsia="Times New Roman" w:cs="Times New Roman"/>
          <w:sz w:val="24"/>
          <w:szCs w:val="24"/>
          <w:spacing w:val="21"/>
          <w:w w:val="101"/>
        </w:rPr>
        <w:t xml:space="preserve"> </w:t>
      </w:r>
      <w:r>
        <w:rPr>
          <w:rFonts w:ascii="SimSun" w:hAnsi="SimSun" w:eastAsia="SimSun" w:cs="SimSun"/>
          <w:sz w:val="24"/>
          <w:szCs w:val="24"/>
          <w:spacing w:val="-3"/>
        </w:rPr>
        <w:t>且未纳入危险废物</w:t>
      </w:r>
      <w:r>
        <w:rPr>
          <w:rFonts w:ascii="SimSun" w:hAnsi="SimSun" w:eastAsia="SimSun" w:cs="SimSun"/>
          <w:sz w:val="24"/>
          <w:szCs w:val="24"/>
          <w:spacing w:val="18"/>
        </w:rPr>
        <w:t>环境重点监管单位，</w:t>
      </w:r>
      <w:r>
        <w:rPr>
          <w:rFonts w:ascii="SimSun" w:hAnsi="SimSun" w:eastAsia="SimSun" w:cs="SimSun"/>
          <w:sz w:val="24"/>
          <w:szCs w:val="24"/>
          <w:spacing w:val="109"/>
        </w:rPr>
        <w:t xml:space="preserve"> </w:t>
      </w:r>
      <w:r>
        <w:rPr>
          <w:rFonts w:ascii="SimSun" w:hAnsi="SimSun" w:eastAsia="SimSun" w:cs="SimSun"/>
          <w:sz w:val="24"/>
          <w:szCs w:val="24"/>
          <w:spacing w:val="18"/>
        </w:rPr>
        <w:t>属于《危险废物管理计划和管理台账制定技术导则》</w:t>
      </w:r>
      <w:r>
        <w:rPr>
          <w:rFonts w:ascii="SimSun" w:hAnsi="SimSun" w:eastAsia="SimSun" w:cs="SimSun"/>
          <w:sz w:val="24"/>
          <w:szCs w:val="24"/>
        </w:rPr>
        <w:t xml:space="preserve"> </w:t>
      </w:r>
      <w:r>
        <w:rPr>
          <w:rFonts w:ascii="SimSun" w:hAnsi="SimSun" w:eastAsia="SimSun" w:cs="SimSun"/>
          <w:sz w:val="24"/>
          <w:szCs w:val="24"/>
        </w:rPr>
        <w:t>（</w:t>
      </w:r>
      <w:r>
        <w:rPr>
          <w:rFonts w:ascii="Times New Roman" w:hAnsi="Times New Roman" w:eastAsia="Times New Roman" w:cs="Times New Roman"/>
          <w:sz w:val="24"/>
          <w:szCs w:val="24"/>
        </w:rPr>
        <w:t>HJ1259-2022</w:t>
      </w:r>
      <w:r>
        <w:rPr>
          <w:rFonts w:ascii="SimSun" w:hAnsi="SimSun" w:eastAsia="SimSun" w:cs="SimSun"/>
          <w:sz w:val="24"/>
          <w:szCs w:val="24"/>
        </w:rPr>
        <w:t>）中危险废物登记管理单位，本项目危废间</w:t>
      </w:r>
      <w:r>
        <w:rPr>
          <w:rFonts w:ascii="SimSun" w:hAnsi="SimSun" w:eastAsia="SimSun" w:cs="SimSun"/>
          <w:sz w:val="24"/>
          <w:szCs w:val="24"/>
          <w:spacing w:val="-1"/>
        </w:rPr>
        <w:t>属于《危险废物贮存污</w:t>
      </w:r>
      <w:r>
        <w:rPr>
          <w:rFonts w:ascii="SimSun" w:hAnsi="SimSun" w:eastAsia="SimSun" w:cs="SimSun"/>
          <w:sz w:val="24"/>
          <w:szCs w:val="24"/>
          <w:spacing w:val="-1"/>
        </w:rPr>
        <w:t>染控制标准》（</w:t>
      </w:r>
      <w:r>
        <w:rPr>
          <w:rFonts w:ascii="Times New Roman" w:hAnsi="Times New Roman" w:eastAsia="Times New Roman" w:cs="Times New Roman"/>
          <w:sz w:val="24"/>
          <w:szCs w:val="24"/>
          <w:spacing w:val="-1"/>
        </w:rPr>
        <w:t>GB18597-2023</w:t>
      </w:r>
      <w:r>
        <w:rPr>
          <w:rFonts w:ascii="SimSun" w:hAnsi="SimSun" w:eastAsia="SimSun" w:cs="SimSun"/>
          <w:sz w:val="24"/>
          <w:szCs w:val="24"/>
          <w:spacing w:val="-2"/>
        </w:rPr>
        <w:t>）中提出的贮存点。</w:t>
      </w:r>
    </w:p>
    <w:p>
      <w:pPr>
        <w:ind w:left="108" w:right="77" w:firstLine="479"/>
        <w:spacing w:before="2" w:line="357" w:lineRule="auto"/>
        <w:rPr>
          <w:rFonts w:ascii="SimSun" w:hAnsi="SimSun" w:eastAsia="SimSun" w:cs="SimSun"/>
          <w:sz w:val="24"/>
          <w:szCs w:val="24"/>
        </w:rPr>
      </w:pPr>
      <w:r>
        <w:rPr>
          <w:rFonts w:ascii="SimSun" w:hAnsi="SimSun" w:eastAsia="SimSun" w:cs="SimSun"/>
          <w:sz w:val="24"/>
          <w:szCs w:val="24"/>
          <w:spacing w:val="2"/>
        </w:rPr>
        <w:t>危险废物在交有资质单位进行处置前，须在厂区设置危废暂存场所，本项目</w:t>
      </w:r>
      <w:r>
        <w:rPr>
          <w:rFonts w:ascii="SimSun" w:hAnsi="SimSun" w:eastAsia="SimSun" w:cs="SimSun"/>
          <w:sz w:val="24"/>
          <w:szCs w:val="24"/>
          <w:spacing w:val="-2"/>
        </w:rPr>
        <w:t>危险废物暂存间建筑面积</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10m</w:t>
      </w:r>
      <w:r>
        <w:rPr>
          <w:rFonts w:ascii="Times New Roman" w:hAnsi="Times New Roman" w:eastAsia="Times New Roman" w:cs="Times New Roman"/>
          <w:sz w:val="16"/>
          <w:szCs w:val="16"/>
          <w:spacing w:val="-2"/>
          <w:position w:val="10"/>
        </w:rPr>
        <w:t>2</w:t>
      </w:r>
      <w:r>
        <w:rPr>
          <w:rFonts w:ascii="SimSun" w:hAnsi="SimSun" w:eastAsia="SimSun" w:cs="SimSun"/>
          <w:sz w:val="24"/>
          <w:szCs w:val="24"/>
          <w:spacing w:val="-2"/>
        </w:rPr>
        <w:t>，设有排风装置，加强危废</w:t>
      </w:r>
      <w:r>
        <w:rPr>
          <w:rFonts w:ascii="SimSun" w:hAnsi="SimSun" w:eastAsia="SimSun" w:cs="SimSun"/>
          <w:sz w:val="24"/>
          <w:szCs w:val="24"/>
          <w:spacing w:val="-3"/>
        </w:rPr>
        <w:t>间内空气流通。</w:t>
      </w:r>
    </w:p>
    <w:p>
      <w:pPr>
        <w:ind w:left="104" w:right="77" w:firstLine="481"/>
        <w:spacing w:line="360" w:lineRule="auto"/>
        <w:jc w:val="both"/>
        <w:rPr>
          <w:rFonts w:ascii="SimSun" w:hAnsi="SimSun" w:eastAsia="SimSun" w:cs="SimSun"/>
          <w:sz w:val="24"/>
          <w:szCs w:val="24"/>
        </w:rPr>
      </w:pPr>
      <w:r>
        <w:rPr>
          <w:rFonts w:ascii="SimSun" w:hAnsi="SimSun" w:eastAsia="SimSun" w:cs="SimSun"/>
          <w:sz w:val="24"/>
          <w:szCs w:val="24"/>
          <w:spacing w:val="2"/>
        </w:rPr>
        <w:t>本项目危险废物主要为消毒剂废包装袋及防疫废物，基本不会产生挥发性有</w:t>
      </w:r>
      <w:r>
        <w:rPr>
          <w:rFonts w:ascii="SimSun" w:hAnsi="SimSun" w:eastAsia="SimSun" w:cs="SimSun"/>
          <w:sz w:val="24"/>
          <w:szCs w:val="24"/>
          <w:spacing w:val="2"/>
        </w:rPr>
        <w:t>机物，废检疫盒基本不会产生废气污染物，故本项目废暂存间不需设置废气净化</w:t>
      </w:r>
      <w:r>
        <w:rPr>
          <w:rFonts w:ascii="SimSun" w:hAnsi="SimSun" w:eastAsia="SimSun" w:cs="SimSun"/>
          <w:sz w:val="24"/>
          <w:szCs w:val="24"/>
          <w:spacing w:val="-2"/>
        </w:rPr>
        <w:t>装置，并通过排风装置加强危废暂存间空气流通。</w:t>
      </w:r>
    </w:p>
    <w:p>
      <w:pPr>
        <w:ind w:left="586"/>
        <w:spacing w:before="1" w:line="218" w:lineRule="auto"/>
        <w:rPr>
          <w:rFonts w:ascii="SimSun" w:hAnsi="SimSun" w:eastAsia="SimSun" w:cs="SimSun"/>
          <w:sz w:val="24"/>
          <w:szCs w:val="24"/>
        </w:rPr>
      </w:pPr>
      <w:r>
        <w:rPr>
          <w:rFonts w:ascii="SimSun" w:hAnsi="SimSun" w:eastAsia="SimSun" w:cs="SimSun"/>
          <w:sz w:val="24"/>
          <w:szCs w:val="24"/>
          <w:spacing w:val="-3"/>
        </w:rPr>
        <w:t>本项目危废暂存间污染控制要求一般规定如下：</w:t>
      </w:r>
    </w:p>
    <w:p>
      <w:pPr>
        <w:ind w:left="105" w:right="69" w:firstLine="479"/>
        <w:spacing w:before="184" w:line="351" w:lineRule="auto"/>
        <w:rPr>
          <w:rFonts w:ascii="SimSun" w:hAnsi="SimSun" w:eastAsia="SimSun" w:cs="SimSun"/>
          <w:sz w:val="24"/>
          <w:szCs w:val="24"/>
        </w:rPr>
      </w:pPr>
      <w:r>
        <w:rPr>
          <w:rFonts w:ascii="Times New Roman" w:hAnsi="Times New Roman" w:eastAsia="Times New Roman" w:cs="Times New Roman"/>
          <w:sz w:val="24"/>
          <w:szCs w:val="24"/>
          <w:spacing w:val="-2"/>
        </w:rPr>
        <w:t>a.</w:t>
      </w:r>
      <w:r>
        <w:rPr>
          <w:rFonts w:ascii="SimSun" w:hAnsi="SimSun" w:eastAsia="SimSun" w:cs="SimSun"/>
          <w:sz w:val="24"/>
          <w:szCs w:val="24"/>
          <w:spacing w:val="-2"/>
        </w:rPr>
        <w:t>贮存设施应根据危险废物的形态、物理化学性质、包装形式和污染物</w:t>
      </w:r>
      <w:r>
        <w:rPr>
          <w:rFonts w:ascii="SimSun" w:hAnsi="SimSun" w:eastAsia="SimSun" w:cs="SimSun"/>
          <w:sz w:val="24"/>
          <w:szCs w:val="24"/>
          <w:spacing w:val="-3"/>
        </w:rPr>
        <w:t>迁移途</w:t>
      </w:r>
      <w:r>
        <w:rPr>
          <w:rFonts w:ascii="SimSun" w:hAnsi="SimSun" w:eastAsia="SimSun" w:cs="SimSun"/>
          <w:sz w:val="24"/>
          <w:szCs w:val="24"/>
          <w:spacing w:val="2"/>
        </w:rPr>
        <w:t>径，采取必要的防风、防晒、防雨、防漏、防渗、防腐以及其他环境污染防治措</w:t>
      </w:r>
    </w:p>
    <w:p>
      <w:pPr>
        <w:spacing w:line="351" w:lineRule="auto"/>
        <w:sectPr>
          <w:footerReference w:type="default" r:id="rId190"/>
          <w:pgSz w:w="11907" w:h="16839"/>
          <w:pgMar w:top="1375" w:right="1631" w:bottom="1235" w:left="1606" w:header="1035" w:footer="992" w:gutter="0"/>
        </w:sectPr>
        <w:rPr>
          <w:rFonts w:ascii="SimSun" w:hAnsi="SimSun" w:eastAsia="SimSun" w:cs="SimSun"/>
          <w:sz w:val="24"/>
          <w:szCs w:val="24"/>
        </w:rPr>
      </w:pPr>
    </w:p>
    <w:p>
      <w:pPr>
        <w:pStyle w:val="BodyText"/>
        <w:spacing w:line="359" w:lineRule="auto"/>
        <w:rPr/>
      </w:pPr>
      <w:r/>
    </w:p>
    <w:p>
      <w:pPr>
        <w:ind w:left="104"/>
        <w:spacing w:before="78" w:line="220" w:lineRule="auto"/>
        <w:rPr>
          <w:rFonts w:ascii="SimSun" w:hAnsi="SimSun" w:eastAsia="SimSun" w:cs="SimSun"/>
          <w:sz w:val="24"/>
          <w:szCs w:val="24"/>
        </w:rPr>
      </w:pPr>
      <w:r>
        <w:rPr>
          <w:rFonts w:ascii="SimSun" w:hAnsi="SimSun" w:eastAsia="SimSun" w:cs="SimSun"/>
          <w:sz w:val="24"/>
          <w:szCs w:val="24"/>
          <w:spacing w:val="-4"/>
        </w:rPr>
        <w:t>施，不应露天堆放危险废物。</w:t>
      </w:r>
    </w:p>
    <w:p>
      <w:pPr>
        <w:ind w:left="106" w:right="67" w:firstLine="469"/>
        <w:spacing w:before="181" w:line="290" w:lineRule="auto"/>
        <w:rPr>
          <w:rFonts w:ascii="SimSun" w:hAnsi="SimSun" w:eastAsia="SimSun" w:cs="SimSun"/>
          <w:sz w:val="24"/>
          <w:szCs w:val="24"/>
        </w:rPr>
      </w:pPr>
      <w:r>
        <w:rPr>
          <w:rFonts w:ascii="Times New Roman" w:hAnsi="Times New Roman" w:eastAsia="Times New Roman" w:cs="Times New Roman"/>
          <w:sz w:val="24"/>
          <w:szCs w:val="24"/>
          <w:spacing w:val="-2"/>
        </w:rPr>
        <w:t>b.</w:t>
      </w:r>
      <w:r>
        <w:rPr>
          <w:rFonts w:ascii="SimSun" w:hAnsi="SimSun" w:eastAsia="SimSun" w:cs="SimSun"/>
          <w:sz w:val="24"/>
          <w:szCs w:val="24"/>
          <w:spacing w:val="-2"/>
        </w:rPr>
        <w:t>贮存设施应根据危险废物的类别、数量、形态、物理化学性质</w:t>
      </w:r>
      <w:r>
        <w:rPr>
          <w:rFonts w:ascii="SimSun" w:hAnsi="SimSun" w:eastAsia="SimSun" w:cs="SimSun"/>
          <w:sz w:val="24"/>
          <w:szCs w:val="24"/>
          <w:spacing w:val="-3"/>
        </w:rPr>
        <w:t>和污染防治等</w:t>
      </w:r>
      <w:r>
        <w:rPr>
          <w:rFonts w:ascii="SimSun" w:hAnsi="SimSun" w:eastAsia="SimSun" w:cs="SimSun"/>
          <w:sz w:val="24"/>
          <w:szCs w:val="24"/>
          <w:spacing w:val="-2"/>
        </w:rPr>
        <w:t>要求设置必要的贮存分区，避免不相容的危险废物接触、混合。</w:t>
      </w:r>
    </w:p>
    <w:p>
      <w:pPr>
        <w:ind w:left="119" w:right="70" w:firstLine="464"/>
        <w:spacing w:before="183" w:line="289" w:lineRule="auto"/>
        <w:rPr>
          <w:rFonts w:ascii="SimSun" w:hAnsi="SimSun" w:eastAsia="SimSun" w:cs="SimSun"/>
          <w:sz w:val="24"/>
          <w:szCs w:val="24"/>
        </w:rPr>
      </w:pPr>
      <w:r>
        <w:rPr>
          <w:rFonts w:ascii="Times New Roman" w:hAnsi="Times New Roman" w:eastAsia="Times New Roman" w:cs="Times New Roman"/>
          <w:sz w:val="24"/>
          <w:szCs w:val="24"/>
          <w:spacing w:val="-2"/>
        </w:rPr>
        <w:t>c.</w:t>
      </w:r>
      <w:r>
        <w:rPr>
          <w:rFonts w:ascii="SimSun" w:hAnsi="SimSun" w:eastAsia="SimSun" w:cs="SimSun"/>
          <w:sz w:val="24"/>
          <w:szCs w:val="24"/>
          <w:spacing w:val="-2"/>
        </w:rPr>
        <w:t>贮存设施或贮存分区内地面、墙面裙脚、堵截泄漏的围堰、接触危险</w:t>
      </w:r>
      <w:r>
        <w:rPr>
          <w:rFonts w:ascii="SimSun" w:hAnsi="SimSun" w:eastAsia="SimSun" w:cs="SimSun"/>
          <w:sz w:val="24"/>
          <w:szCs w:val="24"/>
          <w:spacing w:val="-3"/>
        </w:rPr>
        <w:t>废物的</w:t>
      </w:r>
      <w:r>
        <w:rPr>
          <w:rFonts w:ascii="SimSun" w:hAnsi="SimSun" w:eastAsia="SimSun" w:cs="SimSun"/>
          <w:sz w:val="24"/>
          <w:szCs w:val="24"/>
          <w:spacing w:val="-3"/>
        </w:rPr>
        <w:t>隔板和墙体等应采用坚固的材料建造，表面无裂缝。</w:t>
      </w:r>
    </w:p>
    <w:p>
      <w:pPr>
        <w:ind w:left="583"/>
        <w:spacing w:before="183" w:line="233" w:lineRule="auto"/>
        <w:rPr>
          <w:rFonts w:ascii="SimSun" w:hAnsi="SimSun" w:eastAsia="SimSun" w:cs="SimSun"/>
          <w:sz w:val="24"/>
          <w:szCs w:val="24"/>
        </w:rPr>
      </w:pPr>
      <w:r>
        <w:rPr>
          <w:rFonts w:ascii="Times New Roman" w:hAnsi="Times New Roman" w:eastAsia="Times New Roman" w:cs="Times New Roman"/>
          <w:sz w:val="24"/>
          <w:szCs w:val="24"/>
          <w:spacing w:val="-3"/>
        </w:rPr>
        <w:t>d.</w:t>
      </w:r>
      <w:r>
        <w:rPr>
          <w:rFonts w:ascii="SimSun" w:hAnsi="SimSun" w:eastAsia="SimSun" w:cs="SimSun"/>
          <w:sz w:val="24"/>
          <w:szCs w:val="24"/>
          <w:spacing w:val="-3"/>
        </w:rPr>
        <w:t>贮存设施地面与裙脚应采取表面防渗措施；</w:t>
      </w:r>
    </w:p>
    <w:p>
      <w:pPr>
        <w:ind w:left="104" w:right="1" w:firstLine="480"/>
        <w:spacing w:before="165" w:line="313" w:lineRule="auto"/>
        <w:rPr>
          <w:rFonts w:ascii="SimSun" w:hAnsi="SimSun" w:eastAsia="SimSun" w:cs="SimSun"/>
          <w:sz w:val="24"/>
          <w:szCs w:val="24"/>
        </w:rPr>
      </w:pPr>
      <w:r>
        <w:rPr>
          <w:rFonts w:ascii="Times New Roman" w:hAnsi="Times New Roman" w:eastAsia="Times New Roman" w:cs="Times New Roman"/>
          <w:sz w:val="24"/>
          <w:szCs w:val="24"/>
          <w:spacing w:val="-9"/>
        </w:rPr>
        <w:t>e.</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9"/>
        </w:rPr>
        <w:t>同一贮存设施宜采用相同的防渗、防腐工艺（包括防渗、</w:t>
      </w:r>
      <w:r>
        <w:rPr>
          <w:rFonts w:ascii="SimSun" w:hAnsi="SimSun" w:eastAsia="SimSun" w:cs="SimSun"/>
          <w:sz w:val="24"/>
          <w:szCs w:val="24"/>
          <w:spacing w:val="-10"/>
        </w:rPr>
        <w:t>防腐结构或材料</w:t>
      </w:r>
      <w:r>
        <w:rPr>
          <w:rFonts w:ascii="SimSun" w:hAnsi="SimSun" w:eastAsia="SimSun" w:cs="SimSun"/>
          <w:sz w:val="24"/>
          <w:szCs w:val="24"/>
          <w:spacing w:val="-28"/>
        </w:rPr>
        <w:t>）</w:t>
      </w:r>
      <w:r>
        <w:rPr>
          <w:rFonts w:ascii="SimSun" w:hAnsi="SimSun" w:eastAsia="SimSun" w:cs="SimSun"/>
          <w:sz w:val="24"/>
          <w:szCs w:val="24"/>
          <w:spacing w:val="-30"/>
        </w:rPr>
        <w:t xml:space="preserve"> </w:t>
      </w:r>
      <w:r>
        <w:rPr>
          <w:rFonts w:ascii="SimSun" w:hAnsi="SimSun" w:eastAsia="SimSun" w:cs="SimSun"/>
          <w:sz w:val="24"/>
          <w:szCs w:val="24"/>
          <w:spacing w:val="-28"/>
        </w:rPr>
        <w:t>，</w:t>
      </w:r>
      <w:r>
        <w:rPr>
          <w:rFonts w:ascii="SimSun" w:hAnsi="SimSun" w:eastAsia="SimSun" w:cs="SimSun"/>
          <w:sz w:val="24"/>
          <w:szCs w:val="24"/>
          <w:spacing w:val="-5"/>
        </w:rPr>
        <w:t>防渗、防腐材料 应覆盖所有可能与废物及其渗滤液</w:t>
      </w:r>
      <w:r>
        <w:rPr>
          <w:rFonts w:ascii="SimSun" w:hAnsi="SimSun" w:eastAsia="SimSun" w:cs="SimSun"/>
          <w:sz w:val="24"/>
          <w:szCs w:val="24"/>
          <w:spacing w:val="-6"/>
        </w:rPr>
        <w:t>、渗漏液等接触的构筑物表面；</w:t>
      </w:r>
      <w:r>
        <w:rPr>
          <w:rFonts w:ascii="SimSun" w:hAnsi="SimSun" w:eastAsia="SimSun" w:cs="SimSun"/>
          <w:sz w:val="24"/>
          <w:szCs w:val="24"/>
          <w:spacing w:val="-2"/>
        </w:rPr>
        <w:t>采用不同防渗、防腐工艺应分别建设贮存分区。</w:t>
      </w:r>
    </w:p>
    <w:p>
      <w:pPr>
        <w:ind w:left="585"/>
        <w:spacing w:before="183" w:line="233" w:lineRule="auto"/>
        <w:rPr>
          <w:rFonts w:ascii="SimSun" w:hAnsi="SimSun" w:eastAsia="SimSun" w:cs="SimSun"/>
          <w:sz w:val="24"/>
          <w:szCs w:val="24"/>
        </w:rPr>
      </w:pPr>
      <w:r>
        <w:rPr>
          <w:rFonts w:ascii="Times New Roman" w:hAnsi="Times New Roman" w:eastAsia="Times New Roman" w:cs="Times New Roman"/>
          <w:sz w:val="24"/>
          <w:szCs w:val="24"/>
          <w:spacing w:val="-2"/>
        </w:rPr>
        <w:t>f.</w:t>
      </w:r>
      <w:r>
        <w:rPr>
          <w:rFonts w:ascii="SimSun" w:hAnsi="SimSun" w:eastAsia="SimSun" w:cs="SimSun"/>
          <w:sz w:val="24"/>
          <w:szCs w:val="24"/>
          <w:spacing w:val="-2"/>
        </w:rPr>
        <w:t>贮存设施应采取技术和管理措施防止无关人员进入。</w:t>
      </w:r>
    </w:p>
    <w:p>
      <w:pPr>
        <w:ind w:left="586"/>
        <w:spacing w:before="165" w:line="220" w:lineRule="auto"/>
        <w:rPr>
          <w:rFonts w:ascii="SimSun" w:hAnsi="SimSun" w:eastAsia="SimSun" w:cs="SimSun"/>
          <w:sz w:val="24"/>
          <w:szCs w:val="24"/>
        </w:rPr>
      </w:pPr>
      <w:r>
        <w:rPr>
          <w:rFonts w:ascii="SimSun" w:hAnsi="SimSun" w:eastAsia="SimSun" w:cs="SimSun"/>
          <w:sz w:val="24"/>
          <w:szCs w:val="24"/>
          <w:spacing w:val="-6"/>
        </w:rPr>
        <w:t>贮存过程污染控制要求：</w:t>
      </w:r>
    </w:p>
    <w:p>
      <w:pPr>
        <w:ind w:left="584"/>
        <w:spacing w:before="182" w:line="233" w:lineRule="auto"/>
        <w:rPr>
          <w:rFonts w:ascii="SimSun" w:hAnsi="SimSun" w:eastAsia="SimSun" w:cs="SimSun"/>
          <w:sz w:val="24"/>
          <w:szCs w:val="24"/>
        </w:rPr>
      </w:pPr>
      <w:r>
        <w:rPr>
          <w:rFonts w:ascii="Times New Roman" w:hAnsi="Times New Roman" w:eastAsia="Times New Roman" w:cs="Times New Roman"/>
          <w:sz w:val="24"/>
          <w:szCs w:val="24"/>
          <w:spacing w:val="-1"/>
        </w:rPr>
        <w:t>a.</w:t>
      </w:r>
      <w:r>
        <w:rPr>
          <w:rFonts w:ascii="SimSun" w:hAnsi="SimSun" w:eastAsia="SimSun" w:cs="SimSun"/>
          <w:sz w:val="24"/>
          <w:szCs w:val="24"/>
          <w:spacing w:val="-1"/>
        </w:rPr>
        <w:t>贮存点应具有固定的区域边界，并应采取与</w:t>
      </w:r>
      <w:r>
        <w:rPr>
          <w:rFonts w:ascii="SimSun" w:hAnsi="SimSun" w:eastAsia="SimSun" w:cs="SimSun"/>
          <w:sz w:val="24"/>
          <w:szCs w:val="24"/>
          <w:spacing w:val="-2"/>
        </w:rPr>
        <w:t>其他区域进行隔离的措施。</w:t>
      </w:r>
    </w:p>
    <w:p>
      <w:pPr>
        <w:ind w:left="575"/>
        <w:spacing w:before="165" w:line="233" w:lineRule="auto"/>
        <w:rPr>
          <w:rFonts w:ascii="SimSun" w:hAnsi="SimSun" w:eastAsia="SimSun" w:cs="SimSun"/>
          <w:sz w:val="24"/>
          <w:szCs w:val="24"/>
        </w:rPr>
      </w:pPr>
      <w:r>
        <w:rPr>
          <w:rFonts w:ascii="Times New Roman" w:hAnsi="Times New Roman" w:eastAsia="Times New Roman" w:cs="Times New Roman"/>
          <w:sz w:val="24"/>
          <w:szCs w:val="24"/>
          <w:spacing w:val="-1"/>
        </w:rPr>
        <w:t>b.</w:t>
      </w:r>
      <w:r>
        <w:rPr>
          <w:rFonts w:ascii="SimSun" w:hAnsi="SimSun" w:eastAsia="SimSun" w:cs="SimSun"/>
          <w:sz w:val="24"/>
          <w:szCs w:val="24"/>
          <w:spacing w:val="-1"/>
        </w:rPr>
        <w:t>贮存点应采取防风、防雨、防晒和防止危险废物流失、扬散等</w:t>
      </w:r>
      <w:r>
        <w:rPr>
          <w:rFonts w:ascii="SimSun" w:hAnsi="SimSun" w:eastAsia="SimSun" w:cs="SimSun"/>
          <w:sz w:val="24"/>
          <w:szCs w:val="24"/>
          <w:spacing w:val="-2"/>
        </w:rPr>
        <w:t>措施。</w:t>
      </w:r>
    </w:p>
    <w:p>
      <w:pPr>
        <w:ind w:left="584"/>
        <w:spacing w:before="166" w:line="233" w:lineRule="auto"/>
        <w:rPr>
          <w:rFonts w:ascii="SimSun" w:hAnsi="SimSun" w:eastAsia="SimSun" w:cs="SimSun"/>
          <w:sz w:val="24"/>
          <w:szCs w:val="24"/>
        </w:rPr>
      </w:pPr>
      <w:r>
        <w:rPr>
          <w:rFonts w:ascii="Times New Roman" w:hAnsi="Times New Roman" w:eastAsia="Times New Roman" w:cs="Times New Roman"/>
          <w:sz w:val="24"/>
          <w:szCs w:val="24"/>
          <w:spacing w:val="-2"/>
        </w:rPr>
        <w:t>c.</w:t>
      </w:r>
      <w:r>
        <w:rPr>
          <w:rFonts w:ascii="SimSun" w:hAnsi="SimSun" w:eastAsia="SimSun" w:cs="SimSun"/>
          <w:sz w:val="24"/>
          <w:szCs w:val="24"/>
          <w:spacing w:val="-2"/>
        </w:rPr>
        <w:t>贮存点贮存的危险废物应置于容器或包装物中，不应直接散堆。</w:t>
      </w:r>
    </w:p>
    <w:p>
      <w:pPr>
        <w:ind w:left="105" w:right="69" w:firstLine="478"/>
        <w:spacing w:before="164" w:line="290" w:lineRule="auto"/>
        <w:rPr>
          <w:rFonts w:ascii="SimSun" w:hAnsi="SimSun" w:eastAsia="SimSun" w:cs="SimSun"/>
          <w:sz w:val="24"/>
          <w:szCs w:val="24"/>
        </w:rPr>
      </w:pPr>
      <w:r>
        <w:rPr>
          <w:rFonts w:ascii="Times New Roman" w:hAnsi="Times New Roman" w:eastAsia="Times New Roman" w:cs="Times New Roman"/>
          <w:sz w:val="24"/>
          <w:szCs w:val="24"/>
          <w:spacing w:val="-6"/>
        </w:rPr>
        <w:t>d.</w:t>
      </w:r>
      <w:r>
        <w:rPr>
          <w:rFonts w:ascii="SimSun" w:hAnsi="SimSun" w:eastAsia="SimSun" w:cs="SimSun"/>
          <w:sz w:val="24"/>
          <w:szCs w:val="24"/>
          <w:spacing w:val="-6"/>
        </w:rPr>
        <w:t>贮存点应根据危险废物的形态、物理化学性质、包装形式等， 采取防渗、防</w:t>
      </w:r>
      <w:r>
        <w:rPr>
          <w:rFonts w:ascii="SimSun" w:hAnsi="SimSun" w:eastAsia="SimSun" w:cs="SimSun"/>
          <w:sz w:val="24"/>
          <w:szCs w:val="24"/>
          <w:spacing w:val="-2"/>
        </w:rPr>
        <w:t>漏等污染防治措施或采用具有相应功能的装</w:t>
      </w:r>
      <w:r>
        <w:rPr>
          <w:rFonts w:ascii="SimSun" w:hAnsi="SimSun" w:eastAsia="SimSun" w:cs="SimSun"/>
          <w:sz w:val="24"/>
          <w:szCs w:val="24"/>
          <w:spacing w:val="-3"/>
        </w:rPr>
        <w:t>置。</w:t>
      </w:r>
    </w:p>
    <w:p>
      <w:pPr>
        <w:ind w:left="584"/>
        <w:spacing w:before="184" w:line="233" w:lineRule="auto"/>
        <w:rPr>
          <w:rFonts w:ascii="SimSun" w:hAnsi="SimSun" w:eastAsia="SimSun" w:cs="SimSun"/>
          <w:sz w:val="24"/>
          <w:szCs w:val="24"/>
        </w:rPr>
      </w:pPr>
      <w:r>
        <w:rPr>
          <w:rFonts w:ascii="Times New Roman" w:hAnsi="Times New Roman" w:eastAsia="Times New Roman" w:cs="Times New Roman"/>
          <w:sz w:val="24"/>
          <w:szCs w:val="24"/>
          <w:spacing w:val="-2"/>
        </w:rPr>
        <w:t>e.</w:t>
      </w:r>
      <w:r>
        <w:rPr>
          <w:rFonts w:ascii="SimSun" w:hAnsi="SimSun" w:eastAsia="SimSun" w:cs="SimSun"/>
          <w:sz w:val="24"/>
          <w:szCs w:val="24"/>
          <w:spacing w:val="-2"/>
        </w:rPr>
        <w:t>贮存点应及时清运贮存的危险废物，实时贮存量不应超过</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3</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2"/>
        </w:rPr>
        <w:t>吨。</w:t>
      </w:r>
    </w:p>
    <w:p>
      <w:pPr>
        <w:ind w:left="583"/>
        <w:spacing w:before="165" w:line="217" w:lineRule="auto"/>
        <w:rPr>
          <w:rFonts w:ascii="SimSun" w:hAnsi="SimSun" w:eastAsia="SimSun" w:cs="SimSun"/>
          <w:sz w:val="24"/>
          <w:szCs w:val="24"/>
        </w:rPr>
      </w:pPr>
      <w:r>
        <w:rPr>
          <w:rFonts w:ascii="SimSun" w:hAnsi="SimSun" w:eastAsia="SimSun" w:cs="SimSun"/>
          <w:sz w:val="24"/>
          <w:szCs w:val="24"/>
          <w:spacing w:val="-1"/>
        </w:rPr>
        <w:t>②危险废物的最终处置</w:t>
      </w:r>
    </w:p>
    <w:p>
      <w:pPr>
        <w:ind w:left="588"/>
        <w:spacing w:before="184" w:line="220" w:lineRule="auto"/>
        <w:rPr>
          <w:rFonts w:ascii="SimSun" w:hAnsi="SimSun" w:eastAsia="SimSun" w:cs="SimSun"/>
          <w:sz w:val="24"/>
          <w:szCs w:val="24"/>
        </w:rPr>
      </w:pPr>
      <w:r>
        <w:rPr>
          <w:rFonts w:ascii="SimSun" w:hAnsi="SimSun" w:eastAsia="SimSun" w:cs="SimSun"/>
          <w:sz w:val="24"/>
          <w:szCs w:val="24"/>
          <w:spacing w:val="-2"/>
        </w:rPr>
        <w:t>危险废物在危废暂存间内临时贮存，定期分别由有资质单位处置。</w:t>
      </w:r>
    </w:p>
    <w:p>
      <w:pPr>
        <w:ind w:left="104" w:right="77" w:firstLine="482"/>
        <w:spacing w:before="183" w:line="360" w:lineRule="auto"/>
        <w:rPr>
          <w:rFonts w:ascii="SimSun" w:hAnsi="SimSun" w:eastAsia="SimSun" w:cs="SimSun"/>
          <w:sz w:val="24"/>
          <w:szCs w:val="24"/>
        </w:rPr>
      </w:pPr>
      <w:r>
        <w:rPr>
          <w:rFonts w:ascii="SimSun" w:hAnsi="SimSun" w:eastAsia="SimSun" w:cs="SimSun"/>
          <w:sz w:val="24"/>
          <w:szCs w:val="24"/>
          <w:spacing w:val="2"/>
        </w:rPr>
        <w:t>经过采取以上措施，危险废物的贮存、运输和处理符合《危险废物贮存污染</w:t>
      </w:r>
      <w:r>
        <w:rPr>
          <w:rFonts w:ascii="SimSun" w:hAnsi="SimSun" w:eastAsia="SimSun" w:cs="SimSun"/>
          <w:sz w:val="24"/>
          <w:szCs w:val="24"/>
          <w:spacing w:val="-2"/>
        </w:rPr>
        <w:t>控制标准》（</w:t>
      </w:r>
      <w:r>
        <w:rPr>
          <w:rFonts w:ascii="Times New Roman" w:hAnsi="Times New Roman" w:eastAsia="Times New Roman" w:cs="Times New Roman"/>
          <w:sz w:val="24"/>
          <w:szCs w:val="24"/>
          <w:spacing w:val="-2"/>
        </w:rPr>
        <w:t>GB18597-2023</w:t>
      </w:r>
      <w:r>
        <w:rPr>
          <w:rFonts w:ascii="SimSun" w:hAnsi="SimSun" w:eastAsia="SimSun" w:cs="SimSun"/>
          <w:sz w:val="24"/>
          <w:szCs w:val="24"/>
          <w:spacing w:val="-2"/>
        </w:rPr>
        <w:t>）有关要求，措施可行。</w:t>
      </w:r>
    </w:p>
    <w:p>
      <w:pPr>
        <w:ind w:left="118" w:right="77" w:firstLine="467"/>
        <w:spacing w:before="1" w:line="362" w:lineRule="auto"/>
        <w:rPr>
          <w:rFonts w:ascii="SimSun" w:hAnsi="SimSun" w:eastAsia="SimSun" w:cs="SimSun"/>
          <w:sz w:val="24"/>
          <w:szCs w:val="24"/>
        </w:rPr>
      </w:pPr>
      <w:r>
        <w:rPr>
          <w:rFonts w:ascii="SimSun" w:hAnsi="SimSun" w:eastAsia="SimSun" w:cs="SimSun"/>
          <w:sz w:val="24"/>
          <w:szCs w:val="24"/>
          <w:spacing w:val="2"/>
        </w:rPr>
        <w:t>本项目一般工业固体废物均得到了有效合理的处理处置，危险废物暂存于危</w:t>
      </w:r>
      <w:r>
        <w:rPr>
          <w:rFonts w:ascii="SimSun" w:hAnsi="SimSun" w:eastAsia="SimSun" w:cs="SimSun"/>
          <w:sz w:val="24"/>
          <w:szCs w:val="24"/>
          <w:spacing w:val="-2"/>
        </w:rPr>
        <w:t>险废物暂存间，委托有资质单位处理，基本不会对周边环境造成“二次污染”。</w:t>
      </w:r>
    </w:p>
    <w:p>
      <w:pPr>
        <w:ind w:left="104"/>
        <w:spacing w:before="292" w:line="234" w:lineRule="auto"/>
        <w:outlineLvl w:val="1"/>
        <w:rPr>
          <w:rFonts w:ascii="SimSun" w:hAnsi="SimSun" w:eastAsia="SimSun" w:cs="SimSun"/>
          <w:sz w:val="24"/>
          <w:szCs w:val="24"/>
        </w:rPr>
      </w:pPr>
      <w:bookmarkStart w:name="bookmark36" w:id="43"/>
      <w:bookmarkEnd w:id="43"/>
      <w:r>
        <w:rPr>
          <w:rFonts w:ascii="Times New Roman" w:hAnsi="Times New Roman" w:eastAsia="Times New Roman" w:cs="Times New Roman"/>
          <w:sz w:val="24"/>
          <w:szCs w:val="24"/>
          <w:b/>
          <w:bCs/>
          <w:spacing w:val="-2"/>
        </w:rPr>
        <w:t>6.6 </w:t>
      </w:r>
      <w:r>
        <w:rPr>
          <w:rFonts w:ascii="SimSun" w:hAnsi="SimSun" w:eastAsia="SimSun" w:cs="SimSun"/>
          <w:sz w:val="24"/>
          <w:szCs w:val="24"/>
          <w:b/>
          <w:bCs/>
          <w:spacing w:val="-2"/>
        </w:rPr>
        <w:t>土壤污染防治对策与建议</w:t>
      </w:r>
    </w:p>
    <w:p>
      <w:pPr>
        <w:pStyle w:val="BodyText"/>
        <w:spacing w:line="300" w:lineRule="auto"/>
        <w:rPr/>
      </w:pPr>
      <w:r/>
    </w:p>
    <w:p>
      <w:pPr>
        <w:ind w:left="531"/>
        <w:spacing w:before="78"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）源头控制措施</w:t>
      </w:r>
    </w:p>
    <w:p>
      <w:pPr>
        <w:ind w:left="106" w:right="69" w:firstLine="479"/>
        <w:spacing w:before="162" w:line="362" w:lineRule="auto"/>
        <w:rPr>
          <w:rFonts w:ascii="SimSun" w:hAnsi="SimSun" w:eastAsia="SimSun" w:cs="SimSun"/>
          <w:sz w:val="24"/>
          <w:szCs w:val="24"/>
        </w:rPr>
      </w:pPr>
      <w:r>
        <w:rPr>
          <w:rFonts w:ascii="SimSun" w:hAnsi="SimSun" w:eastAsia="SimSun" w:cs="SimSun"/>
          <w:sz w:val="24"/>
          <w:szCs w:val="24"/>
          <w:spacing w:val="2"/>
        </w:rPr>
        <w:t>本项目土壤影响类型主要为垂直入渗影响，垂直入渗预防措施主要为分区防</w:t>
      </w:r>
      <w:r>
        <w:rPr>
          <w:rFonts w:ascii="SimSun" w:hAnsi="SimSun" w:eastAsia="SimSun" w:cs="SimSun"/>
          <w:sz w:val="24"/>
          <w:szCs w:val="24"/>
          <w:spacing w:val="3"/>
        </w:rPr>
        <w:t>渗，土壤污染防治措施与地下水污染防治措施基本</w:t>
      </w:r>
      <w:r>
        <w:rPr>
          <w:rFonts w:ascii="SimSun" w:hAnsi="SimSun" w:eastAsia="SimSun" w:cs="SimSun"/>
          <w:sz w:val="24"/>
          <w:szCs w:val="24"/>
          <w:spacing w:val="2"/>
        </w:rPr>
        <w:t>相同，主要采取分区防渗的方</w:t>
      </w:r>
    </w:p>
    <w:p>
      <w:pPr>
        <w:spacing w:line="362" w:lineRule="auto"/>
        <w:sectPr>
          <w:footerReference w:type="default" r:id="rId191"/>
          <w:pgSz w:w="11907" w:h="16839"/>
          <w:pgMar w:top="1375" w:right="1631" w:bottom="1235" w:left="1606" w:header="1035" w:footer="992" w:gutter="0"/>
        </w:sectPr>
        <w:rPr>
          <w:rFonts w:ascii="SimSun" w:hAnsi="SimSun" w:eastAsia="SimSun" w:cs="SimSun"/>
          <w:sz w:val="24"/>
          <w:szCs w:val="24"/>
        </w:rPr>
      </w:pPr>
    </w:p>
    <w:p>
      <w:pPr>
        <w:pStyle w:val="BodyText"/>
        <w:spacing w:line="280" w:lineRule="auto"/>
        <w:rPr/>
      </w:pPr>
      <w:r/>
    </w:p>
    <w:p>
      <w:pPr>
        <w:ind w:left="122"/>
        <w:spacing w:before="78" w:line="233" w:lineRule="auto"/>
        <w:rPr>
          <w:rFonts w:ascii="SimSun" w:hAnsi="SimSun" w:eastAsia="SimSun" w:cs="SimSun"/>
          <w:sz w:val="24"/>
          <w:szCs w:val="24"/>
        </w:rPr>
      </w:pPr>
      <w:r>
        <w:rPr>
          <w:rFonts w:ascii="SimSun" w:hAnsi="SimSun" w:eastAsia="SimSun" w:cs="SimSun"/>
          <w:sz w:val="24"/>
          <w:szCs w:val="24"/>
          <w:spacing w:val="-2"/>
        </w:rPr>
        <w:t>式，详见表</w:t>
      </w:r>
      <w:r>
        <w:rPr>
          <w:rFonts w:ascii="Times New Roman" w:hAnsi="Times New Roman" w:eastAsia="Times New Roman" w:cs="Times New Roman"/>
          <w:sz w:val="24"/>
          <w:szCs w:val="24"/>
          <w:spacing w:val="-2"/>
        </w:rPr>
        <w:t>6-1</w:t>
      </w:r>
      <w:r>
        <w:rPr>
          <w:rFonts w:ascii="SimSun" w:hAnsi="SimSun" w:eastAsia="SimSun" w:cs="SimSun"/>
          <w:sz w:val="24"/>
          <w:szCs w:val="24"/>
          <w:spacing w:val="-2"/>
        </w:rPr>
        <w:t>。</w:t>
      </w:r>
    </w:p>
    <w:p>
      <w:pPr>
        <w:ind w:left="543"/>
        <w:spacing w:before="162"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）过程防控措施</w:t>
      </w:r>
    </w:p>
    <w:p>
      <w:pPr>
        <w:ind w:left="118" w:right="113" w:firstLine="479"/>
        <w:spacing w:before="165" w:line="356" w:lineRule="auto"/>
        <w:rPr>
          <w:rFonts w:ascii="SimSun" w:hAnsi="SimSun" w:eastAsia="SimSun" w:cs="SimSun"/>
          <w:sz w:val="24"/>
          <w:szCs w:val="24"/>
        </w:rPr>
      </w:pPr>
      <w:r>
        <w:rPr>
          <w:rFonts w:ascii="SimSun" w:hAnsi="SimSun" w:eastAsia="SimSun" w:cs="SimSun"/>
          <w:sz w:val="24"/>
          <w:szCs w:val="24"/>
          <w:spacing w:val="-2"/>
        </w:rPr>
        <w:t>本项目为土壤污染影响型项目，根据《环境影响评价技术导则</w:t>
      </w:r>
      <w:r>
        <w:rPr>
          <w:rFonts w:ascii="SimSun" w:hAnsi="SimSun" w:eastAsia="SimSun" w:cs="SimSun"/>
          <w:sz w:val="24"/>
          <w:szCs w:val="24"/>
          <w:spacing w:val="33"/>
        </w:rPr>
        <w:t xml:space="preserve"> </w:t>
      </w:r>
      <w:r>
        <w:rPr>
          <w:rFonts w:ascii="SimSun" w:hAnsi="SimSun" w:eastAsia="SimSun" w:cs="SimSun"/>
          <w:sz w:val="24"/>
          <w:szCs w:val="24"/>
          <w:spacing w:val="-2"/>
        </w:rPr>
        <w:t>土壤环境（试</w:t>
      </w:r>
      <w:r>
        <w:rPr>
          <w:rFonts w:ascii="SimSun" w:hAnsi="SimSun" w:eastAsia="SimSun" w:cs="SimSun"/>
          <w:sz w:val="24"/>
          <w:szCs w:val="24"/>
          <w:spacing w:val="3"/>
        </w:rPr>
        <w:t>行）》（</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3"/>
        </w:rPr>
        <w:t>964-2018</w:t>
      </w:r>
      <w:r>
        <w:rPr>
          <w:rFonts w:ascii="SimSun" w:hAnsi="SimSun" w:eastAsia="SimSun" w:cs="SimSun"/>
          <w:sz w:val="24"/>
          <w:szCs w:val="24"/>
          <w:spacing w:val="3"/>
        </w:rPr>
        <w:t>）过程控制措施，结合本</w:t>
      </w:r>
      <w:r>
        <w:rPr>
          <w:rFonts w:ascii="SimSun" w:hAnsi="SimSun" w:eastAsia="SimSun" w:cs="SimSun"/>
          <w:sz w:val="24"/>
          <w:szCs w:val="24"/>
          <w:spacing w:val="2"/>
        </w:rPr>
        <w:t>项目污染特征。本项目拟采取如下</w:t>
      </w:r>
      <w:r>
        <w:rPr>
          <w:rFonts w:ascii="SimSun" w:hAnsi="SimSun" w:eastAsia="SimSun" w:cs="SimSun"/>
          <w:sz w:val="24"/>
          <w:szCs w:val="24"/>
          <w:spacing w:val="-6"/>
        </w:rPr>
        <w:t>过程控制措施。</w:t>
      </w:r>
    </w:p>
    <w:p>
      <w:pPr>
        <w:ind w:left="118" w:right="114" w:firstLine="478"/>
        <w:spacing w:before="7" w:line="313" w:lineRule="auto"/>
        <w:rPr>
          <w:rFonts w:ascii="SimSun" w:hAnsi="SimSun" w:eastAsia="SimSun" w:cs="SimSun"/>
          <w:sz w:val="24"/>
          <w:szCs w:val="24"/>
        </w:rPr>
      </w:pPr>
      <w:r>
        <w:rPr>
          <w:rFonts w:ascii="SimSun" w:hAnsi="SimSun" w:eastAsia="SimSun" w:cs="SimSun"/>
          <w:sz w:val="24"/>
          <w:szCs w:val="24"/>
          <w:spacing w:val="3"/>
        </w:rPr>
        <w:t>①占地范围内应采取绿化措施，以种植具有较</w:t>
      </w:r>
      <w:r>
        <w:rPr>
          <w:rFonts w:ascii="SimSun" w:hAnsi="SimSun" w:eastAsia="SimSun" w:cs="SimSun"/>
          <w:sz w:val="24"/>
          <w:szCs w:val="24"/>
          <w:spacing w:val="2"/>
        </w:rPr>
        <w:t>强吸附能力的植物为主，根据</w:t>
      </w:r>
      <w:r>
        <w:rPr>
          <w:rFonts w:ascii="SimSun" w:hAnsi="SimSun" w:eastAsia="SimSun" w:cs="SimSun"/>
          <w:sz w:val="24"/>
          <w:szCs w:val="24"/>
          <w:spacing w:val="2"/>
        </w:rPr>
        <w:t>本项目所处区域自然地理特征，该地区可种植杨树等易于在该地区生长且富集能</w:t>
      </w:r>
      <w:r>
        <w:rPr>
          <w:rFonts w:ascii="SimSun" w:hAnsi="SimSun" w:eastAsia="SimSun" w:cs="SimSun"/>
          <w:sz w:val="24"/>
          <w:szCs w:val="24"/>
          <w:spacing w:val="-3"/>
        </w:rPr>
        <w:t>力较强、生物量较大的植物种植。</w:t>
      </w:r>
    </w:p>
    <w:p>
      <w:pPr>
        <w:ind w:left="117" w:right="114" w:firstLine="478"/>
        <w:spacing w:before="183" w:line="290" w:lineRule="auto"/>
        <w:rPr>
          <w:rFonts w:ascii="SimSun" w:hAnsi="SimSun" w:eastAsia="SimSun" w:cs="SimSun"/>
          <w:sz w:val="24"/>
          <w:szCs w:val="24"/>
        </w:rPr>
      </w:pPr>
      <w:r>
        <w:rPr>
          <w:rFonts w:ascii="SimSun" w:hAnsi="SimSun" w:eastAsia="SimSun" w:cs="SimSun"/>
          <w:sz w:val="24"/>
          <w:szCs w:val="24"/>
          <w:spacing w:val="3"/>
        </w:rPr>
        <w:t>②涉及垂直入渗途径影响的，应根据相关标准规</w:t>
      </w:r>
      <w:r>
        <w:rPr>
          <w:rFonts w:ascii="SimSun" w:hAnsi="SimSun" w:eastAsia="SimSun" w:cs="SimSun"/>
          <w:sz w:val="24"/>
          <w:szCs w:val="24"/>
          <w:spacing w:val="2"/>
        </w:rPr>
        <w:t>范要求，对设备设施采取相</w:t>
      </w:r>
      <w:r>
        <w:rPr>
          <w:rFonts w:ascii="SimSun" w:hAnsi="SimSun" w:eastAsia="SimSun" w:cs="SimSun"/>
          <w:sz w:val="24"/>
          <w:szCs w:val="24"/>
          <w:spacing w:val="-3"/>
        </w:rPr>
        <w:t>应的防渗措施，以防止土壤环境污染。</w:t>
      </w:r>
    </w:p>
    <w:p>
      <w:pPr>
        <w:ind w:left="543"/>
        <w:spacing w:before="179"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）跟踪监测计划</w:t>
      </w:r>
    </w:p>
    <w:p>
      <w:pPr>
        <w:ind w:left="119" w:right="103" w:firstLine="478"/>
        <w:spacing w:before="163" w:line="359" w:lineRule="auto"/>
        <w:jc w:val="both"/>
        <w:rPr>
          <w:rFonts w:ascii="SimSun" w:hAnsi="SimSun" w:eastAsia="SimSun" w:cs="SimSun"/>
          <w:sz w:val="24"/>
          <w:szCs w:val="24"/>
        </w:rPr>
      </w:pPr>
      <w:r>
        <w:rPr>
          <w:rFonts w:ascii="SimSun" w:hAnsi="SimSun" w:eastAsia="SimSun" w:cs="SimSun"/>
          <w:sz w:val="24"/>
          <w:szCs w:val="24"/>
          <w:spacing w:val="3"/>
        </w:rPr>
        <w:t>根据土壤环境影响类型、项目区土地利用类型、</w:t>
      </w:r>
      <w:r>
        <w:rPr>
          <w:rFonts w:ascii="SimSun" w:hAnsi="SimSun" w:eastAsia="SimSun" w:cs="SimSun"/>
          <w:sz w:val="24"/>
          <w:szCs w:val="24"/>
          <w:spacing w:val="2"/>
        </w:rPr>
        <w:t>评价范围内敏感目标分布情</w:t>
      </w:r>
      <w:r>
        <w:rPr>
          <w:rFonts w:ascii="SimSun" w:hAnsi="SimSun" w:eastAsia="SimSun" w:cs="SimSun"/>
          <w:sz w:val="24"/>
          <w:szCs w:val="24"/>
          <w:spacing w:val="-1"/>
        </w:rPr>
        <w:t>况以及现状监测点设置情况等，本项目共设置土壤跟踪监测点</w:t>
      </w:r>
      <w:r>
        <w:rPr>
          <w:rFonts w:ascii="Times New Roman" w:hAnsi="Times New Roman" w:eastAsia="Times New Roman" w:cs="Times New Roman"/>
          <w:sz w:val="24"/>
          <w:szCs w:val="24"/>
          <w:spacing w:val="-1"/>
        </w:rPr>
        <w:t>2</w:t>
      </w:r>
      <w:r>
        <w:rPr>
          <w:rFonts w:ascii="SimSun" w:hAnsi="SimSun" w:eastAsia="SimSun" w:cs="SimSun"/>
          <w:sz w:val="24"/>
          <w:szCs w:val="24"/>
          <w:spacing w:val="-1"/>
        </w:rPr>
        <w:t>个，场区内外各布</w:t>
      </w:r>
      <w:r>
        <w:rPr>
          <w:rFonts w:ascii="SimSun" w:hAnsi="SimSun" w:eastAsia="SimSun" w:cs="SimSun"/>
          <w:sz w:val="24"/>
          <w:szCs w:val="24"/>
          <w:spacing w:val="-2"/>
        </w:rPr>
        <w:t>设</w:t>
      </w:r>
      <w:r>
        <w:rPr>
          <w:rFonts w:ascii="Times New Roman" w:hAnsi="Times New Roman" w:eastAsia="Times New Roman" w:cs="Times New Roman"/>
          <w:sz w:val="24"/>
          <w:szCs w:val="24"/>
          <w:spacing w:val="-2"/>
        </w:rPr>
        <w:t>1</w:t>
      </w:r>
      <w:r>
        <w:rPr>
          <w:rFonts w:ascii="SimSun" w:hAnsi="SimSun" w:eastAsia="SimSun" w:cs="SimSun"/>
          <w:sz w:val="24"/>
          <w:szCs w:val="24"/>
          <w:spacing w:val="-2"/>
        </w:rPr>
        <w:t>个点。土壤环境质量监测点位、监测项目、监测频率等见下表。</w:t>
      </w:r>
    </w:p>
    <w:p>
      <w:pPr>
        <w:ind w:left="3455"/>
        <w:spacing w:line="234" w:lineRule="auto"/>
        <w:rPr>
          <w:rFonts w:ascii="SimSun" w:hAnsi="SimSun" w:eastAsia="SimSun" w:cs="SimSun"/>
          <w:sz w:val="24"/>
          <w:szCs w:val="24"/>
        </w:rPr>
      </w:pPr>
      <w:r>
        <w:rPr>
          <w:rFonts w:ascii="SimSun" w:hAnsi="SimSun" w:eastAsia="SimSun" w:cs="SimSun"/>
          <w:sz w:val="24"/>
          <w:szCs w:val="24"/>
          <w:b/>
          <w:bCs/>
          <w:spacing w:val="-3"/>
        </w:rPr>
        <w:t>表</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3"/>
        </w:rPr>
        <w:t>6-4    </w:t>
      </w:r>
      <w:r>
        <w:rPr>
          <w:rFonts w:ascii="SimSun" w:hAnsi="SimSun" w:eastAsia="SimSun" w:cs="SimSun"/>
          <w:sz w:val="24"/>
          <w:szCs w:val="24"/>
          <w:b/>
          <w:bCs/>
          <w:spacing w:val="-3"/>
        </w:rPr>
        <w:t>跟踪监测计划</w:t>
      </w:r>
    </w:p>
    <w:p>
      <w:pPr>
        <w:spacing w:line="131" w:lineRule="exact"/>
        <w:rPr/>
      </w:pPr>
      <w:r/>
    </w:p>
    <w:tbl>
      <w:tblPr>
        <w:tblStyle w:val="TableNormal"/>
        <w:tblW w:w="8718"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4"/>
        <w:gridCol w:w="1930"/>
        <w:gridCol w:w="1649"/>
        <w:gridCol w:w="2321"/>
        <w:gridCol w:w="2014"/>
      </w:tblGrid>
      <w:tr>
        <w:trPr>
          <w:trHeight w:val="541" w:hRule="atLeast"/>
        </w:trPr>
        <w:tc>
          <w:tcPr>
            <w:tcW w:w="804" w:type="dxa"/>
            <w:vAlign w:val="top"/>
            <w:tcBorders>
              <w:top w:val="single" w:color="000000" w:sz="10" w:space="0"/>
              <w:left w:val="nil"/>
            </w:tcBorders>
          </w:tcPr>
          <w:p>
            <w:pPr>
              <w:pStyle w:val="TableText"/>
              <w:ind w:left="198"/>
              <w:spacing w:before="33" w:line="222" w:lineRule="auto"/>
              <w:rPr/>
            </w:pPr>
            <w:r>
              <w:rPr>
                <w:b/>
                <w:bCs/>
                <w:spacing w:val="-4"/>
              </w:rPr>
              <w:t>监测</w:t>
            </w:r>
          </w:p>
          <w:p>
            <w:pPr>
              <w:pStyle w:val="TableText"/>
              <w:ind w:left="198"/>
              <w:spacing w:before="20" w:line="197" w:lineRule="auto"/>
              <w:rPr/>
            </w:pPr>
            <w:r>
              <w:rPr>
                <w:b/>
                <w:bCs/>
                <w:spacing w:val="-4"/>
              </w:rPr>
              <w:t>要素</w:t>
            </w:r>
          </w:p>
        </w:tc>
        <w:tc>
          <w:tcPr>
            <w:tcW w:w="1930" w:type="dxa"/>
            <w:vAlign w:val="top"/>
            <w:tcBorders>
              <w:top w:val="single" w:color="000000" w:sz="10" w:space="0"/>
            </w:tcBorders>
          </w:tcPr>
          <w:p>
            <w:pPr>
              <w:pStyle w:val="TableText"/>
              <w:ind w:left="654"/>
              <w:spacing w:before="170" w:line="222" w:lineRule="auto"/>
              <w:rPr/>
            </w:pPr>
            <w:r>
              <w:rPr>
                <w:b/>
                <w:bCs/>
                <w:spacing w:val="-4"/>
              </w:rPr>
              <w:t>监测点</w:t>
            </w:r>
          </w:p>
        </w:tc>
        <w:tc>
          <w:tcPr>
            <w:tcW w:w="1649" w:type="dxa"/>
            <w:vAlign w:val="top"/>
            <w:tcBorders>
              <w:top w:val="single" w:color="000000" w:sz="10" w:space="0"/>
            </w:tcBorders>
          </w:tcPr>
          <w:p>
            <w:pPr>
              <w:pStyle w:val="TableText"/>
              <w:ind w:left="409"/>
              <w:spacing w:before="169" w:line="221" w:lineRule="auto"/>
              <w:rPr/>
            </w:pPr>
            <w:r>
              <w:rPr>
                <w:b/>
                <w:bCs/>
                <w:spacing w:val="-4"/>
              </w:rPr>
              <w:t>监测对象</w:t>
            </w:r>
          </w:p>
        </w:tc>
        <w:tc>
          <w:tcPr>
            <w:tcW w:w="2321" w:type="dxa"/>
            <w:vAlign w:val="top"/>
            <w:tcBorders>
              <w:top w:val="single" w:color="000000" w:sz="10" w:space="0"/>
            </w:tcBorders>
          </w:tcPr>
          <w:p>
            <w:pPr>
              <w:pStyle w:val="TableText"/>
              <w:ind w:left="743"/>
              <w:spacing w:before="169" w:line="221" w:lineRule="auto"/>
              <w:rPr/>
            </w:pPr>
            <w:r>
              <w:rPr>
                <w:b/>
                <w:bCs/>
                <w:spacing w:val="-4"/>
              </w:rPr>
              <w:t>监测频率</w:t>
            </w:r>
          </w:p>
        </w:tc>
        <w:tc>
          <w:tcPr>
            <w:tcW w:w="2014" w:type="dxa"/>
            <w:vAlign w:val="top"/>
            <w:tcBorders>
              <w:top w:val="single" w:color="000000" w:sz="10" w:space="0"/>
              <w:right w:val="nil"/>
            </w:tcBorders>
          </w:tcPr>
          <w:p>
            <w:pPr>
              <w:pStyle w:val="TableText"/>
              <w:ind w:left="590"/>
              <w:spacing w:before="170" w:line="221" w:lineRule="auto"/>
              <w:rPr/>
            </w:pPr>
            <w:r>
              <w:rPr>
                <w:b/>
                <w:bCs/>
                <w:spacing w:val="-4"/>
              </w:rPr>
              <w:t>监测项目</w:t>
            </w:r>
          </w:p>
        </w:tc>
      </w:tr>
      <w:tr>
        <w:trPr>
          <w:trHeight w:val="310" w:hRule="atLeast"/>
        </w:trPr>
        <w:tc>
          <w:tcPr>
            <w:tcW w:w="804" w:type="dxa"/>
            <w:vAlign w:val="top"/>
            <w:vMerge w:val="restart"/>
            <w:tcBorders>
              <w:bottom w:val="nil"/>
              <w:left w:val="nil"/>
            </w:tcBorders>
          </w:tcPr>
          <w:p>
            <w:pPr>
              <w:pStyle w:val="TableText"/>
              <w:ind w:left="201"/>
              <w:spacing w:before="224" w:line="222" w:lineRule="auto"/>
              <w:rPr/>
            </w:pPr>
            <w:r>
              <w:rPr>
                <w:spacing w:val="-2"/>
              </w:rPr>
              <w:t>土壤</w:t>
            </w:r>
          </w:p>
        </w:tc>
        <w:tc>
          <w:tcPr>
            <w:tcW w:w="1930" w:type="dxa"/>
            <w:vAlign w:val="top"/>
          </w:tcPr>
          <w:p>
            <w:pPr>
              <w:pStyle w:val="TableText"/>
              <w:ind w:left="154"/>
              <w:spacing w:before="63" w:line="208" w:lineRule="auto"/>
              <w:rPr/>
            </w:pPr>
            <w:r>
              <w:rPr>
                <w:spacing w:val="-1"/>
              </w:rPr>
              <w:t>厂区北侧</w:t>
            </w:r>
            <w:r>
              <w:rPr>
                <w:spacing w:val="-42"/>
              </w:rPr>
              <w:t xml:space="preserve"> </w:t>
            </w:r>
            <w:r>
              <w:rPr>
                <w:rFonts w:ascii="Times New Roman" w:hAnsi="Times New Roman" w:eastAsia="Times New Roman" w:cs="Times New Roman"/>
                <w:spacing w:val="-1"/>
              </w:rPr>
              <w:t>300m </w:t>
            </w:r>
            <w:r>
              <w:rPr>
                <w:spacing w:val="-1"/>
              </w:rPr>
              <w:t>处</w:t>
            </w:r>
          </w:p>
        </w:tc>
        <w:tc>
          <w:tcPr>
            <w:tcW w:w="1649" w:type="dxa"/>
            <w:vAlign w:val="top"/>
          </w:tcPr>
          <w:p>
            <w:pPr>
              <w:pStyle w:val="TableText"/>
              <w:ind w:left="113"/>
              <w:spacing w:before="63" w:line="208" w:lineRule="auto"/>
              <w:rPr/>
            </w:pPr>
            <w:r>
              <w:rPr>
                <w:spacing w:val="-1"/>
              </w:rPr>
              <w:t>表层（</w:t>
            </w:r>
            <w:r>
              <w:rPr>
                <w:rFonts w:ascii="Times New Roman" w:hAnsi="Times New Roman" w:eastAsia="Times New Roman" w:cs="Times New Roman"/>
                <w:spacing w:val="-1"/>
              </w:rPr>
              <w:t>0-0.2m</w:t>
            </w:r>
            <w:r>
              <w:rPr>
                <w:spacing w:val="-1"/>
              </w:rPr>
              <w:t>）</w:t>
            </w:r>
          </w:p>
        </w:tc>
        <w:tc>
          <w:tcPr>
            <w:tcW w:w="2321" w:type="dxa"/>
            <w:vAlign w:val="top"/>
          </w:tcPr>
          <w:p>
            <w:pPr>
              <w:pStyle w:val="TableText"/>
              <w:ind w:left="117"/>
              <w:spacing w:before="63" w:line="208" w:lineRule="auto"/>
              <w:rPr/>
            </w:pPr>
            <w:r>
              <w:rPr>
                <w:spacing w:val="-2"/>
              </w:rPr>
              <w:t>必要时</w:t>
            </w:r>
            <w:r>
              <w:rPr>
                <w:spacing w:val="-40"/>
              </w:rPr>
              <w:t xml:space="preserve"> </w:t>
            </w:r>
            <w:r>
              <w:rPr>
                <w:rFonts w:ascii="Times New Roman" w:hAnsi="Times New Roman" w:eastAsia="Times New Roman" w:cs="Times New Roman"/>
                <w:spacing w:val="-2"/>
              </w:rPr>
              <w:t>5 </w:t>
            </w:r>
            <w:r>
              <w:rPr>
                <w:spacing w:val="-2"/>
              </w:rPr>
              <w:t>年可开展一次</w:t>
            </w:r>
          </w:p>
        </w:tc>
        <w:tc>
          <w:tcPr>
            <w:tcW w:w="2014" w:type="dxa"/>
            <w:vAlign w:val="top"/>
            <w:vMerge w:val="restart"/>
            <w:tcBorders>
              <w:bottom w:val="nil"/>
              <w:right w:val="nil"/>
            </w:tcBorders>
          </w:tcPr>
          <w:p>
            <w:pPr>
              <w:pStyle w:val="TableText"/>
              <w:ind w:left="111" w:right="30" w:hanging="2"/>
              <w:spacing w:before="67" w:line="252" w:lineRule="auto"/>
              <w:rPr/>
            </w:pPr>
            <w:r>
              <w:rPr>
                <w:spacing w:val="-8"/>
              </w:rPr>
              <w:t>pH</w:t>
            </w:r>
            <w:r>
              <w:rPr>
                <w:spacing w:val="-44"/>
              </w:rPr>
              <w:t xml:space="preserve"> </w:t>
            </w:r>
            <w:r>
              <w:rPr>
                <w:spacing w:val="-8"/>
              </w:rPr>
              <w:t>值、镉、汞、砷、</w:t>
            </w:r>
            <w:r>
              <w:rPr>
                <w:spacing w:val="-11"/>
              </w:rPr>
              <w:t>铅、铬、铜、镍、锌</w:t>
            </w:r>
          </w:p>
        </w:tc>
      </w:tr>
      <w:tr>
        <w:trPr>
          <w:trHeight w:val="336" w:hRule="atLeast"/>
        </w:trPr>
        <w:tc>
          <w:tcPr>
            <w:tcW w:w="804" w:type="dxa"/>
            <w:vAlign w:val="top"/>
            <w:vMerge w:val="continue"/>
            <w:tcBorders>
              <w:bottom w:val="single" w:color="000000" w:sz="10" w:space="0"/>
              <w:left w:val="nil"/>
              <w:top w:val="nil"/>
            </w:tcBorders>
          </w:tcPr>
          <w:p>
            <w:pPr>
              <w:rPr>
                <w:rFonts w:ascii="Arial"/>
                <w:sz w:val="21"/>
              </w:rPr>
            </w:pPr>
            <w:r/>
          </w:p>
        </w:tc>
        <w:tc>
          <w:tcPr>
            <w:tcW w:w="1930" w:type="dxa"/>
            <w:vAlign w:val="top"/>
            <w:tcBorders>
              <w:bottom w:val="single" w:color="000000" w:sz="10" w:space="0"/>
            </w:tcBorders>
          </w:tcPr>
          <w:p>
            <w:pPr>
              <w:pStyle w:val="TableText"/>
              <w:ind w:left="151"/>
              <w:spacing w:before="70" w:line="225" w:lineRule="auto"/>
              <w:rPr/>
            </w:pPr>
            <w:r>
              <w:rPr>
                <w:spacing w:val="-1"/>
              </w:rPr>
              <w:t>储粪库东侧</w:t>
            </w:r>
            <w:r>
              <w:rPr>
                <w:spacing w:val="-39"/>
              </w:rPr>
              <w:t xml:space="preserve"> </w:t>
            </w:r>
            <w:r>
              <w:rPr>
                <w:rFonts w:ascii="Times New Roman" w:hAnsi="Times New Roman" w:eastAsia="Times New Roman" w:cs="Times New Roman"/>
                <w:spacing w:val="-1"/>
              </w:rPr>
              <w:t>5m </w:t>
            </w:r>
            <w:r>
              <w:rPr>
                <w:spacing w:val="-1"/>
              </w:rPr>
              <w:t>处</w:t>
            </w:r>
          </w:p>
        </w:tc>
        <w:tc>
          <w:tcPr>
            <w:tcW w:w="1649" w:type="dxa"/>
            <w:vAlign w:val="top"/>
            <w:tcBorders>
              <w:bottom w:val="single" w:color="000000" w:sz="10" w:space="0"/>
            </w:tcBorders>
          </w:tcPr>
          <w:p>
            <w:pPr>
              <w:pStyle w:val="TableText"/>
              <w:ind w:left="113"/>
              <w:spacing w:before="72" w:line="223" w:lineRule="auto"/>
              <w:rPr/>
            </w:pPr>
            <w:r>
              <w:rPr>
                <w:spacing w:val="-1"/>
              </w:rPr>
              <w:t>表层（</w:t>
            </w:r>
            <w:r>
              <w:rPr>
                <w:rFonts w:ascii="Times New Roman" w:hAnsi="Times New Roman" w:eastAsia="Times New Roman" w:cs="Times New Roman"/>
                <w:spacing w:val="-1"/>
              </w:rPr>
              <w:t>0-0.2m</w:t>
            </w:r>
            <w:r>
              <w:rPr>
                <w:spacing w:val="-1"/>
              </w:rPr>
              <w:t>）</w:t>
            </w:r>
          </w:p>
        </w:tc>
        <w:tc>
          <w:tcPr>
            <w:tcW w:w="2321" w:type="dxa"/>
            <w:vAlign w:val="top"/>
            <w:tcBorders>
              <w:bottom w:val="single" w:color="000000" w:sz="10" w:space="0"/>
            </w:tcBorders>
          </w:tcPr>
          <w:p>
            <w:pPr>
              <w:pStyle w:val="TableText"/>
              <w:ind w:left="117"/>
              <w:spacing w:before="72" w:line="223" w:lineRule="auto"/>
              <w:rPr/>
            </w:pPr>
            <w:r>
              <w:rPr>
                <w:spacing w:val="-2"/>
              </w:rPr>
              <w:t>必要时</w:t>
            </w:r>
            <w:r>
              <w:rPr>
                <w:spacing w:val="-40"/>
              </w:rPr>
              <w:t xml:space="preserve"> </w:t>
            </w:r>
            <w:r>
              <w:rPr>
                <w:rFonts w:ascii="Times New Roman" w:hAnsi="Times New Roman" w:eastAsia="Times New Roman" w:cs="Times New Roman"/>
                <w:spacing w:val="-2"/>
              </w:rPr>
              <w:t>5 </w:t>
            </w:r>
            <w:r>
              <w:rPr>
                <w:spacing w:val="-2"/>
              </w:rPr>
              <w:t>年可开展一次</w:t>
            </w:r>
          </w:p>
        </w:tc>
        <w:tc>
          <w:tcPr>
            <w:tcW w:w="2014" w:type="dxa"/>
            <w:vAlign w:val="top"/>
            <w:vMerge w:val="continue"/>
            <w:tcBorders>
              <w:bottom w:val="single" w:color="000000" w:sz="10" w:space="0"/>
              <w:right w:val="nil"/>
              <w:top w:val="nil"/>
            </w:tcBorders>
          </w:tcPr>
          <w:p>
            <w:pPr>
              <w:rPr>
                <w:rFonts w:ascii="Arial"/>
                <w:sz w:val="21"/>
              </w:rPr>
            </w:pPr>
            <w:r/>
          </w:p>
        </w:tc>
      </w:tr>
    </w:tbl>
    <w:p>
      <w:pPr>
        <w:pStyle w:val="BodyText"/>
        <w:spacing w:line="330" w:lineRule="auto"/>
        <w:rPr/>
      </w:pPr>
      <w:r/>
    </w:p>
    <w:p>
      <w:pPr>
        <w:ind w:left="116"/>
        <w:spacing w:before="78" w:line="234" w:lineRule="auto"/>
        <w:outlineLvl w:val="1"/>
        <w:rPr>
          <w:rFonts w:ascii="SimSun" w:hAnsi="SimSun" w:eastAsia="SimSun" w:cs="SimSun"/>
          <w:sz w:val="24"/>
          <w:szCs w:val="24"/>
        </w:rPr>
      </w:pPr>
      <w:bookmarkStart w:name="bookmark37" w:id="44"/>
      <w:bookmarkEnd w:id="44"/>
      <w:r>
        <w:rPr>
          <w:rFonts w:ascii="Times New Roman" w:hAnsi="Times New Roman" w:eastAsia="Times New Roman" w:cs="Times New Roman"/>
          <w:sz w:val="24"/>
          <w:szCs w:val="24"/>
          <w:b/>
          <w:bCs/>
          <w:spacing w:val="-2"/>
        </w:rPr>
        <w:t>6.7 </w:t>
      </w:r>
      <w:r>
        <w:rPr>
          <w:rFonts w:ascii="SimSun" w:hAnsi="SimSun" w:eastAsia="SimSun" w:cs="SimSun"/>
          <w:sz w:val="24"/>
          <w:szCs w:val="24"/>
          <w:b/>
          <w:bCs/>
          <w:spacing w:val="-2"/>
        </w:rPr>
        <w:t>生态环境保护与恢复措施</w:t>
      </w:r>
    </w:p>
    <w:p>
      <w:pPr>
        <w:pStyle w:val="BodyText"/>
        <w:spacing w:line="379" w:lineRule="auto"/>
        <w:rPr/>
      </w:pPr>
      <w:r/>
    </w:p>
    <w:p>
      <w:pPr>
        <w:ind w:left="118" w:right="109" w:firstLine="481"/>
        <w:spacing w:before="78" w:line="360" w:lineRule="auto"/>
        <w:rPr>
          <w:rFonts w:ascii="SimSun" w:hAnsi="SimSun" w:eastAsia="SimSun" w:cs="SimSun"/>
          <w:sz w:val="24"/>
          <w:szCs w:val="24"/>
        </w:rPr>
      </w:pPr>
      <w:r>
        <w:rPr>
          <w:rFonts w:ascii="SimSun" w:hAnsi="SimSun" w:eastAsia="SimSun" w:cs="SimSun"/>
          <w:sz w:val="24"/>
          <w:szCs w:val="24"/>
          <w:spacing w:val="3"/>
        </w:rPr>
        <w:t>为进一步降低工程排污对环境的影响，充分发挥绿</w:t>
      </w:r>
      <w:r>
        <w:rPr>
          <w:rFonts w:ascii="SimSun" w:hAnsi="SimSun" w:eastAsia="SimSun" w:cs="SimSun"/>
          <w:sz w:val="24"/>
          <w:szCs w:val="24"/>
          <w:spacing w:val="2"/>
        </w:rPr>
        <w:t>化带的作用和功能，结合</w:t>
      </w:r>
      <w:r>
        <w:rPr>
          <w:rFonts w:ascii="SimSun" w:hAnsi="SimSun" w:eastAsia="SimSun" w:cs="SimSun"/>
          <w:sz w:val="24"/>
          <w:szCs w:val="24"/>
          <w:spacing w:val="-3"/>
        </w:rPr>
        <w:t>本工程平面布置特点，评价提出以下要求和措施：</w:t>
      </w:r>
    </w:p>
    <w:p>
      <w:pPr>
        <w:ind w:left="603"/>
        <w:spacing w:before="1"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）加强污染物治理</w:t>
      </w:r>
    </w:p>
    <w:p>
      <w:pPr>
        <w:ind w:left="116" w:right="115" w:firstLine="480"/>
        <w:spacing w:before="163" w:line="360" w:lineRule="auto"/>
        <w:rPr>
          <w:rFonts w:ascii="SimSun" w:hAnsi="SimSun" w:eastAsia="SimSun" w:cs="SimSun"/>
          <w:sz w:val="24"/>
          <w:szCs w:val="24"/>
        </w:rPr>
      </w:pPr>
      <w:r>
        <w:rPr>
          <w:rFonts w:ascii="SimSun" w:hAnsi="SimSun" w:eastAsia="SimSun" w:cs="SimSun"/>
          <w:sz w:val="24"/>
          <w:szCs w:val="24"/>
          <w:spacing w:val="3"/>
        </w:rPr>
        <w:t>加强建设项目自身的污染治理，采用先进、</w:t>
      </w:r>
      <w:r>
        <w:rPr>
          <w:rFonts w:ascii="SimSun" w:hAnsi="SimSun" w:eastAsia="SimSun" w:cs="SimSun"/>
          <w:sz w:val="24"/>
          <w:szCs w:val="24"/>
          <w:spacing w:val="2"/>
        </w:rPr>
        <w:t>高效的防治措施，减少全场“三</w:t>
      </w:r>
      <w:r>
        <w:rPr>
          <w:rFonts w:ascii="SimSun" w:hAnsi="SimSun" w:eastAsia="SimSun" w:cs="SimSun"/>
          <w:sz w:val="24"/>
          <w:szCs w:val="24"/>
          <w:spacing w:val="-3"/>
        </w:rPr>
        <w:t>废”排放对当地生态环境影响。</w:t>
      </w:r>
    </w:p>
    <w:p>
      <w:pPr>
        <w:ind w:left="603"/>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）场区硬化</w:t>
      </w:r>
    </w:p>
    <w:p>
      <w:pPr>
        <w:ind w:left="117" w:right="115" w:firstLine="482"/>
        <w:spacing w:before="164" w:line="362" w:lineRule="auto"/>
        <w:rPr>
          <w:rFonts w:ascii="SimSun" w:hAnsi="SimSun" w:eastAsia="SimSun" w:cs="SimSun"/>
          <w:sz w:val="24"/>
          <w:szCs w:val="24"/>
        </w:rPr>
      </w:pPr>
      <w:r>
        <w:rPr>
          <w:rFonts w:ascii="SimSun" w:hAnsi="SimSun" w:eastAsia="SimSun" w:cs="SimSun"/>
          <w:sz w:val="24"/>
          <w:szCs w:val="24"/>
          <w:spacing w:val="2"/>
        </w:rPr>
        <w:t>为进一步改善区域生态环境，建设单位在加强厂内“三废”治理同时，还应</w:t>
      </w:r>
      <w:r>
        <w:rPr>
          <w:rFonts w:ascii="SimSun" w:hAnsi="SimSun" w:eastAsia="SimSun" w:cs="SimSun"/>
          <w:sz w:val="24"/>
          <w:szCs w:val="24"/>
          <w:spacing w:val="-1"/>
        </w:rPr>
        <w:t>加强场内硬化工作，保证项目建成后，除建筑物占地外</w:t>
      </w:r>
      <w:r>
        <w:rPr>
          <w:rFonts w:ascii="SimSun" w:hAnsi="SimSun" w:eastAsia="SimSun" w:cs="SimSun"/>
          <w:sz w:val="24"/>
          <w:szCs w:val="24"/>
          <w:spacing w:val="-2"/>
        </w:rPr>
        <w:t>，全场道路进行硬化。</w:t>
      </w:r>
    </w:p>
    <w:p>
      <w:pPr>
        <w:spacing w:line="362" w:lineRule="auto"/>
        <w:sectPr>
          <w:headerReference w:type="default" r:id="rId192"/>
          <w:footerReference w:type="default" r:id="rId193"/>
          <w:pgSz w:w="11907" w:h="16839"/>
          <w:pgMar w:top="1375" w:right="1593" w:bottom="1235" w:left="1594" w:header="1035" w:footer="992" w:gutter="0"/>
        </w:sectPr>
        <w:rPr>
          <w:rFonts w:ascii="SimSun" w:hAnsi="SimSun" w:eastAsia="SimSun" w:cs="SimSun"/>
          <w:sz w:val="24"/>
          <w:szCs w:val="24"/>
        </w:rPr>
      </w:pPr>
    </w:p>
    <w:p>
      <w:pPr>
        <w:pStyle w:val="BodyText"/>
        <w:spacing w:line="359" w:lineRule="auto"/>
        <w:rPr/>
      </w:pPr>
      <w:r/>
    </w:p>
    <w:p>
      <w:pPr>
        <w:ind w:left="117" w:right="121" w:firstLine="486"/>
        <w:spacing w:before="78"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）加强职工生态环保意识，健全管理体制，加强</w:t>
      </w:r>
      <w:r>
        <w:rPr>
          <w:rFonts w:ascii="SimSun" w:hAnsi="SimSun" w:eastAsia="SimSun" w:cs="SimSun"/>
          <w:sz w:val="24"/>
          <w:szCs w:val="24"/>
          <w:spacing w:val="-2"/>
        </w:rPr>
        <w:t>生态意识教育，以利于生</w:t>
      </w:r>
      <w:r>
        <w:rPr>
          <w:rFonts w:ascii="SimSun" w:hAnsi="SimSun" w:eastAsia="SimSun" w:cs="SimSun"/>
          <w:sz w:val="24"/>
          <w:szCs w:val="24"/>
          <w:spacing w:val="-5"/>
        </w:rPr>
        <w:t>态环境资源保护。</w:t>
      </w:r>
    </w:p>
    <w:p>
      <w:pPr>
        <w:ind w:left="603"/>
        <w:spacing w:before="184"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）加强场区绿化</w:t>
      </w:r>
    </w:p>
    <w:p>
      <w:pPr>
        <w:ind w:left="117" w:right="108" w:firstLine="478"/>
        <w:spacing w:before="163" w:line="290" w:lineRule="auto"/>
        <w:rPr>
          <w:rFonts w:ascii="SimSun" w:hAnsi="SimSun" w:eastAsia="SimSun" w:cs="SimSun"/>
          <w:sz w:val="24"/>
          <w:szCs w:val="24"/>
        </w:rPr>
      </w:pPr>
      <w:r>
        <w:rPr>
          <w:rFonts w:ascii="SimSun" w:hAnsi="SimSun" w:eastAsia="SimSun" w:cs="SimSun"/>
          <w:sz w:val="24"/>
          <w:szCs w:val="24"/>
          <w:spacing w:val="3"/>
        </w:rPr>
        <w:t>①对绿化工程予以充分重视，加大绿化力度和科学性；管理单位要</w:t>
      </w:r>
      <w:r>
        <w:rPr>
          <w:rFonts w:ascii="SimSun" w:hAnsi="SimSun" w:eastAsia="SimSun" w:cs="SimSun"/>
          <w:sz w:val="24"/>
          <w:szCs w:val="24"/>
          <w:spacing w:val="2"/>
        </w:rPr>
        <w:t>严格监督</w:t>
      </w:r>
      <w:r>
        <w:rPr>
          <w:rFonts w:ascii="SimSun" w:hAnsi="SimSun" w:eastAsia="SimSun" w:cs="SimSun"/>
          <w:sz w:val="24"/>
          <w:szCs w:val="24"/>
          <w:spacing w:val="-2"/>
        </w:rPr>
        <w:t>检查绿化工程，确保绿化工程按设计标准进</w:t>
      </w:r>
      <w:r>
        <w:rPr>
          <w:rFonts w:ascii="SimSun" w:hAnsi="SimSun" w:eastAsia="SimSun" w:cs="SimSun"/>
          <w:sz w:val="24"/>
          <w:szCs w:val="24"/>
          <w:spacing w:val="-3"/>
        </w:rPr>
        <w:t>行。</w:t>
      </w:r>
    </w:p>
    <w:p>
      <w:pPr>
        <w:ind w:left="118" w:right="108" w:firstLine="477"/>
        <w:spacing w:before="183" w:line="289" w:lineRule="auto"/>
        <w:rPr>
          <w:rFonts w:ascii="SimSun" w:hAnsi="SimSun" w:eastAsia="SimSun" w:cs="SimSun"/>
          <w:sz w:val="24"/>
          <w:szCs w:val="24"/>
        </w:rPr>
      </w:pPr>
      <w:r>
        <w:rPr>
          <w:rFonts w:ascii="SimSun" w:hAnsi="SimSun" w:eastAsia="SimSun" w:cs="SimSun"/>
          <w:sz w:val="24"/>
          <w:szCs w:val="24"/>
          <w:spacing w:val="3"/>
        </w:rPr>
        <w:t>②绿化布置应乔木与灌木、落叶与常青、树木与花卉、草坪相结合，</w:t>
      </w:r>
      <w:r>
        <w:rPr>
          <w:rFonts w:ascii="SimSun" w:hAnsi="SimSun" w:eastAsia="SimSun" w:cs="SimSun"/>
          <w:sz w:val="24"/>
          <w:szCs w:val="24"/>
          <w:spacing w:val="2"/>
        </w:rPr>
        <w:t>做到色</w:t>
      </w:r>
      <w:r>
        <w:rPr>
          <w:rFonts w:ascii="SimSun" w:hAnsi="SimSun" w:eastAsia="SimSun" w:cs="SimSun"/>
          <w:sz w:val="24"/>
          <w:szCs w:val="24"/>
          <w:spacing w:val="-3"/>
        </w:rPr>
        <w:t>彩和谐、层次鲜明、四季各异。</w:t>
      </w:r>
    </w:p>
    <w:p>
      <w:pPr>
        <w:ind w:left="119" w:right="109" w:firstLine="476"/>
        <w:spacing w:before="183" w:line="313" w:lineRule="auto"/>
        <w:rPr>
          <w:rFonts w:ascii="SimSun" w:hAnsi="SimSun" w:eastAsia="SimSun" w:cs="SimSun"/>
          <w:sz w:val="24"/>
          <w:szCs w:val="24"/>
        </w:rPr>
      </w:pPr>
      <w:r>
        <w:rPr>
          <w:rFonts w:ascii="SimSun" w:hAnsi="SimSun" w:eastAsia="SimSun" w:cs="SimSun"/>
          <w:sz w:val="24"/>
          <w:szCs w:val="24"/>
          <w:spacing w:val="3"/>
        </w:rPr>
        <w:t>③道路两侧宜选用树形高大美观、枝叶繁盛、耐修、耐剪、生长迅</w:t>
      </w:r>
      <w:r>
        <w:rPr>
          <w:rFonts w:ascii="SimSun" w:hAnsi="SimSun" w:eastAsia="SimSun" w:cs="SimSun"/>
          <w:sz w:val="24"/>
          <w:szCs w:val="24"/>
          <w:spacing w:val="2"/>
        </w:rPr>
        <w:t>速、易于</w:t>
      </w:r>
      <w:r>
        <w:rPr>
          <w:rFonts w:ascii="SimSun" w:hAnsi="SimSun" w:eastAsia="SimSun" w:cs="SimSun"/>
          <w:sz w:val="24"/>
          <w:szCs w:val="24"/>
          <w:spacing w:val="2"/>
        </w:rPr>
        <w:t>管理、抗病虫害强、成活率高，特别是具有抗污与吸污能力的树种，如杨树、丁</w:t>
      </w:r>
      <w:r>
        <w:rPr>
          <w:rFonts w:ascii="SimSun" w:hAnsi="SimSun" w:eastAsia="SimSun" w:cs="SimSun"/>
          <w:sz w:val="24"/>
          <w:szCs w:val="24"/>
          <w:spacing w:val="-3"/>
        </w:rPr>
        <w:t>香、平白杨、刺槐、冬青等树种。</w:t>
      </w:r>
    </w:p>
    <w:p>
      <w:pPr>
        <w:ind w:left="117" w:right="108" w:firstLine="478"/>
        <w:spacing w:before="183" w:line="290" w:lineRule="auto"/>
        <w:rPr>
          <w:rFonts w:ascii="SimSun" w:hAnsi="SimSun" w:eastAsia="SimSun" w:cs="SimSun"/>
          <w:sz w:val="24"/>
          <w:szCs w:val="24"/>
        </w:rPr>
      </w:pPr>
      <w:r>
        <w:rPr>
          <w:rFonts w:ascii="SimSun" w:hAnsi="SimSun" w:eastAsia="SimSun" w:cs="SimSun"/>
          <w:sz w:val="24"/>
          <w:szCs w:val="24"/>
          <w:spacing w:val="3"/>
        </w:rPr>
        <w:t>④项目为养殖项目，恶臭是主要的废气污染源，建议在牛舍及储粪库</w:t>
      </w:r>
      <w:r>
        <w:rPr>
          <w:rFonts w:ascii="SimSun" w:hAnsi="SimSun" w:eastAsia="SimSun" w:cs="SimSun"/>
          <w:sz w:val="24"/>
          <w:szCs w:val="24"/>
          <w:spacing w:val="2"/>
        </w:rPr>
        <w:t>等周围</w:t>
      </w:r>
      <w:r>
        <w:rPr>
          <w:rFonts w:ascii="SimSun" w:hAnsi="SimSun" w:eastAsia="SimSun" w:cs="SimSun"/>
          <w:sz w:val="24"/>
          <w:szCs w:val="24"/>
          <w:spacing w:val="-4"/>
        </w:rPr>
        <w:t>种植有明显除臭作用的树木。</w:t>
      </w:r>
    </w:p>
    <w:p>
      <w:pPr>
        <w:ind w:left="118" w:right="117" w:firstLine="477"/>
        <w:spacing w:before="184" w:line="289" w:lineRule="auto"/>
        <w:rPr>
          <w:rFonts w:ascii="SimSun" w:hAnsi="SimSun" w:eastAsia="SimSun" w:cs="SimSun"/>
          <w:sz w:val="24"/>
          <w:szCs w:val="24"/>
        </w:rPr>
      </w:pPr>
      <w:r>
        <w:rPr>
          <w:rFonts w:ascii="SimSun" w:hAnsi="SimSun" w:eastAsia="SimSun" w:cs="SimSun"/>
          <w:sz w:val="24"/>
          <w:szCs w:val="24"/>
          <w:spacing w:val="3"/>
        </w:rPr>
        <w:t>⑤建议建设单位根据企业经济条件在场区周围设</w:t>
      </w:r>
      <w:r>
        <w:rPr>
          <w:rFonts w:ascii="SimSun" w:hAnsi="SimSun" w:eastAsia="SimSun" w:cs="SimSun"/>
          <w:sz w:val="24"/>
          <w:szCs w:val="24"/>
          <w:spacing w:val="2"/>
        </w:rPr>
        <w:t>置绿化防护带，尽可能防止</w:t>
      </w:r>
      <w:r>
        <w:rPr>
          <w:rFonts w:ascii="SimSun" w:hAnsi="SimSun" w:eastAsia="SimSun" w:cs="SimSun"/>
          <w:sz w:val="24"/>
          <w:szCs w:val="24"/>
          <w:spacing w:val="-3"/>
        </w:rPr>
        <w:t>恶臭气体对周围环境产生不利影响。</w:t>
      </w:r>
    </w:p>
    <w:p>
      <w:pPr>
        <w:ind w:left="118" w:right="117" w:firstLine="481"/>
        <w:spacing w:before="184" w:line="360" w:lineRule="auto"/>
        <w:jc w:val="both"/>
        <w:rPr>
          <w:rFonts w:ascii="SimSun" w:hAnsi="SimSun" w:eastAsia="SimSun" w:cs="SimSun"/>
          <w:sz w:val="24"/>
          <w:szCs w:val="24"/>
        </w:rPr>
      </w:pPr>
      <w:r>
        <w:rPr>
          <w:rFonts w:ascii="SimSun" w:hAnsi="SimSun" w:eastAsia="SimSun" w:cs="SimSun"/>
          <w:sz w:val="24"/>
          <w:szCs w:val="24"/>
          <w:spacing w:val="2"/>
        </w:rPr>
        <w:t>综上所述，项目对生态环境的影响较小，评价要求对废水、废气、固废各种</w:t>
      </w:r>
      <w:r>
        <w:rPr>
          <w:rFonts w:ascii="SimSun" w:hAnsi="SimSun" w:eastAsia="SimSun" w:cs="SimSun"/>
          <w:sz w:val="24"/>
          <w:szCs w:val="24"/>
          <w:spacing w:val="2"/>
        </w:rPr>
        <w:t>污染物按照处理措施严格执行，并加大场区及其周围地区的绿化面积，这样才能</w:t>
      </w:r>
      <w:r>
        <w:rPr>
          <w:rFonts w:ascii="SimSun" w:hAnsi="SimSun" w:eastAsia="SimSun" w:cs="SimSun"/>
          <w:sz w:val="24"/>
          <w:szCs w:val="24"/>
          <w:spacing w:val="-1"/>
        </w:rPr>
        <w:t>保证生态环境不会受到破坏，并能够对受到影响的场</w:t>
      </w:r>
      <w:r>
        <w:rPr>
          <w:rFonts w:ascii="SimSun" w:hAnsi="SimSun" w:eastAsia="SimSun" w:cs="SimSun"/>
          <w:sz w:val="24"/>
          <w:szCs w:val="24"/>
          <w:spacing w:val="-2"/>
        </w:rPr>
        <w:t>地及时补救，措施可行。</w:t>
      </w:r>
    </w:p>
    <w:p>
      <w:pPr>
        <w:ind w:left="116"/>
        <w:spacing w:before="261" w:line="234" w:lineRule="auto"/>
        <w:outlineLvl w:val="1"/>
        <w:rPr>
          <w:rFonts w:ascii="SimSun" w:hAnsi="SimSun" w:eastAsia="SimSun" w:cs="SimSun"/>
          <w:sz w:val="24"/>
          <w:szCs w:val="24"/>
        </w:rPr>
      </w:pPr>
      <w:bookmarkStart w:name="bookmark38" w:id="45"/>
      <w:bookmarkEnd w:id="45"/>
      <w:r>
        <w:rPr>
          <w:rFonts w:ascii="Times New Roman" w:hAnsi="Times New Roman" w:eastAsia="Times New Roman" w:cs="Times New Roman"/>
          <w:sz w:val="24"/>
          <w:szCs w:val="24"/>
          <w:b/>
          <w:bCs/>
          <w:spacing w:val="-2"/>
        </w:rPr>
        <w:t>6.8 </w:t>
      </w:r>
      <w:r>
        <w:rPr>
          <w:rFonts w:ascii="SimSun" w:hAnsi="SimSun" w:eastAsia="SimSun" w:cs="SimSun"/>
          <w:sz w:val="24"/>
          <w:szCs w:val="24"/>
          <w:b/>
          <w:bCs/>
          <w:spacing w:val="-2"/>
        </w:rPr>
        <w:t>环保投资</w:t>
      </w:r>
    </w:p>
    <w:p>
      <w:pPr>
        <w:pStyle w:val="BodyText"/>
        <w:spacing w:line="261" w:lineRule="auto"/>
        <w:rPr/>
      </w:pPr>
      <w:r/>
    </w:p>
    <w:p>
      <w:pPr>
        <w:ind w:left="118" w:right="118" w:firstLine="511"/>
        <w:spacing w:before="79" w:line="359" w:lineRule="auto"/>
        <w:rPr>
          <w:rFonts w:ascii="SimSun" w:hAnsi="SimSun" w:eastAsia="SimSun" w:cs="SimSun"/>
          <w:sz w:val="24"/>
          <w:szCs w:val="24"/>
        </w:rPr>
      </w:pPr>
      <w:r>
        <w:rPr>
          <w:rFonts w:ascii="SimSun" w:hAnsi="SimSun" w:eastAsia="SimSun" w:cs="SimSun"/>
          <w:sz w:val="24"/>
          <w:szCs w:val="24"/>
          <w:spacing w:val="-2"/>
        </w:rPr>
        <w:t>本项目总投资为</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2"/>
        </w:rPr>
        <w:t>330</w:t>
      </w:r>
      <w:r>
        <w:rPr>
          <w:rFonts w:ascii="Times New Roman" w:hAnsi="Times New Roman" w:eastAsia="Times New Roman" w:cs="Times New Roman"/>
          <w:sz w:val="24"/>
          <w:szCs w:val="24"/>
          <w:spacing w:val="39"/>
          <w:w w:val="101"/>
        </w:rPr>
        <w:t xml:space="preserve"> </w:t>
      </w:r>
      <w:r>
        <w:rPr>
          <w:rFonts w:ascii="SimSun" w:hAnsi="SimSun" w:eastAsia="SimSun" w:cs="SimSun"/>
          <w:sz w:val="24"/>
          <w:szCs w:val="24"/>
          <w:spacing w:val="-2"/>
        </w:rPr>
        <w:t>万元，其中环保投资</w:t>
      </w:r>
      <w:r>
        <w:rPr>
          <w:rFonts w:ascii="SimSun" w:hAnsi="SimSun" w:eastAsia="SimSun" w:cs="SimSun"/>
          <w:sz w:val="24"/>
          <w:szCs w:val="24"/>
          <w:spacing w:val="-3"/>
        </w:rPr>
        <w:t>为</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39"/>
          <w:w w:val="101"/>
        </w:rPr>
        <w:t xml:space="preserve"> </w:t>
      </w:r>
      <w:r>
        <w:rPr>
          <w:rFonts w:ascii="SimSun" w:hAnsi="SimSun" w:eastAsia="SimSun" w:cs="SimSun"/>
          <w:sz w:val="24"/>
          <w:szCs w:val="24"/>
          <w:spacing w:val="-3"/>
        </w:rPr>
        <w:t>万元，占总投资的</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3"/>
        </w:rPr>
        <w:t>9.1%</w:t>
      </w:r>
      <w:r>
        <w:rPr>
          <w:rFonts w:ascii="SimSun" w:hAnsi="SimSun" w:eastAsia="SimSun" w:cs="SimSun"/>
          <w:sz w:val="24"/>
          <w:szCs w:val="24"/>
          <w:spacing w:val="-3"/>
        </w:rPr>
        <w:t>。环</w:t>
      </w:r>
      <w:r>
        <w:rPr>
          <w:rFonts w:ascii="SimSun" w:hAnsi="SimSun" w:eastAsia="SimSun" w:cs="SimSun"/>
          <w:sz w:val="24"/>
          <w:szCs w:val="24"/>
          <w:spacing w:val="-2"/>
        </w:rPr>
        <w:t>保投资估算详见表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6-5</w:t>
      </w:r>
      <w:r>
        <w:rPr>
          <w:rFonts w:ascii="SimSun" w:hAnsi="SimSun" w:eastAsia="SimSun" w:cs="SimSun"/>
          <w:sz w:val="24"/>
          <w:szCs w:val="24"/>
          <w:spacing w:val="-2"/>
        </w:rPr>
        <w:t>。</w:t>
      </w:r>
    </w:p>
    <w:p>
      <w:pPr>
        <w:ind w:left="2550"/>
        <w:spacing w:before="1" w:line="231" w:lineRule="auto"/>
        <w:rPr>
          <w:rFonts w:ascii="SimSun" w:hAnsi="SimSun" w:eastAsia="SimSun" w:cs="SimSun"/>
          <w:sz w:val="24"/>
          <w:szCs w:val="24"/>
        </w:rPr>
      </w:pPr>
      <w:r>
        <w:rPr>
          <w:rFonts w:ascii="SimSun" w:hAnsi="SimSun" w:eastAsia="SimSun" w:cs="SimSun"/>
          <w:sz w:val="24"/>
          <w:szCs w:val="24"/>
          <w:b/>
          <w:bCs/>
          <w:u w:val="single" w:color="auto"/>
          <w:spacing w:val="-2"/>
        </w:rPr>
        <w:t>表</w:t>
      </w:r>
      <w:r>
        <w:rPr>
          <w:rFonts w:ascii="SimSun" w:hAnsi="SimSun" w:eastAsia="SimSun" w:cs="SimSun"/>
          <w:sz w:val="24"/>
          <w:szCs w:val="24"/>
          <w:u w:val="single" w:color="auto"/>
          <w:spacing w:val="-46"/>
        </w:rPr>
        <w:t xml:space="preserve"> </w:t>
      </w:r>
      <w:r>
        <w:rPr>
          <w:rFonts w:ascii="Times New Roman" w:hAnsi="Times New Roman" w:eastAsia="Times New Roman" w:cs="Times New Roman"/>
          <w:sz w:val="24"/>
          <w:szCs w:val="24"/>
          <w:b/>
          <w:bCs/>
          <w:u w:val="single" w:color="auto"/>
          <w:spacing w:val="-2"/>
        </w:rPr>
        <w:t>6-5      </w:t>
      </w:r>
      <w:r>
        <w:rPr>
          <w:rFonts w:ascii="SimSun" w:hAnsi="SimSun" w:eastAsia="SimSun" w:cs="SimSun"/>
          <w:sz w:val="24"/>
          <w:szCs w:val="24"/>
          <w:b/>
          <w:bCs/>
          <w:u w:val="single" w:color="auto"/>
          <w:spacing w:val="-2"/>
        </w:rPr>
        <w:t>本项目各项环保设施估算</w:t>
      </w:r>
    </w:p>
    <w:p>
      <w:pPr>
        <w:spacing w:line="133" w:lineRule="exact"/>
        <w:rPr/>
      </w:pPr>
      <w:r/>
    </w:p>
    <w:tbl>
      <w:tblPr>
        <w:tblStyle w:val="TableNormal"/>
        <w:tblW w:w="8721"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4"/>
        <w:gridCol w:w="2735"/>
        <w:gridCol w:w="3781"/>
        <w:gridCol w:w="1591"/>
      </w:tblGrid>
      <w:tr>
        <w:trPr>
          <w:trHeight w:val="282" w:hRule="atLeast"/>
        </w:trPr>
        <w:tc>
          <w:tcPr>
            <w:tcW w:w="3349" w:type="dxa"/>
            <w:vAlign w:val="top"/>
            <w:gridSpan w:val="2"/>
            <w:tcBorders>
              <w:left w:val="nil"/>
              <w:top w:val="single" w:color="000000" w:sz="10" w:space="0"/>
            </w:tcBorders>
          </w:tcPr>
          <w:p>
            <w:pPr>
              <w:pStyle w:val="TableText"/>
              <w:ind w:left="1263"/>
              <w:spacing w:before="34" w:line="209" w:lineRule="auto"/>
              <w:rPr/>
            </w:pPr>
            <w:r>
              <w:rPr>
                <w:b/>
                <w:bCs/>
                <w:spacing w:val="-4"/>
              </w:rPr>
              <w:t>投资项目</w:t>
            </w:r>
          </w:p>
        </w:tc>
        <w:tc>
          <w:tcPr>
            <w:tcW w:w="3781" w:type="dxa"/>
            <w:vAlign w:val="top"/>
            <w:tcBorders>
              <w:top w:val="single" w:color="000000" w:sz="10" w:space="0"/>
            </w:tcBorders>
          </w:tcPr>
          <w:p>
            <w:pPr>
              <w:pStyle w:val="TableText"/>
              <w:ind w:left="1268"/>
              <w:spacing w:before="34" w:line="209" w:lineRule="auto"/>
              <w:rPr/>
            </w:pPr>
            <w:r>
              <w:rPr>
                <w:b/>
                <w:bCs/>
                <w:spacing w:val="-4"/>
              </w:rPr>
              <w:t>治理设施内容</w:t>
            </w:r>
          </w:p>
        </w:tc>
        <w:tc>
          <w:tcPr>
            <w:tcW w:w="1591" w:type="dxa"/>
            <w:vAlign w:val="top"/>
            <w:tcBorders>
              <w:right w:val="nil"/>
              <w:top w:val="single" w:color="000000" w:sz="10" w:space="0"/>
            </w:tcBorders>
          </w:tcPr>
          <w:p>
            <w:pPr>
              <w:pStyle w:val="TableText"/>
              <w:ind w:left="170"/>
              <w:spacing w:before="34" w:line="209" w:lineRule="auto"/>
              <w:rPr/>
            </w:pPr>
            <w:r>
              <w:rPr>
                <w:b/>
                <w:bCs/>
                <w:spacing w:val="-5"/>
              </w:rPr>
              <w:t>金额（万元）</w:t>
            </w:r>
          </w:p>
        </w:tc>
      </w:tr>
      <w:tr>
        <w:trPr>
          <w:trHeight w:val="278" w:hRule="atLeast"/>
        </w:trPr>
        <w:tc>
          <w:tcPr>
            <w:tcW w:w="614" w:type="dxa"/>
            <w:vAlign w:val="top"/>
            <w:vMerge w:val="restart"/>
            <w:textDirection w:val="tbRlV"/>
            <w:tcBorders>
              <w:left w:val="nil"/>
              <w:bottom w:val="nil"/>
            </w:tcBorders>
          </w:tcPr>
          <w:p>
            <w:pPr>
              <w:pStyle w:val="TableText"/>
              <w:ind w:left="181"/>
              <w:spacing w:before="198" w:line="210" w:lineRule="auto"/>
              <w:rPr/>
            </w:pPr>
            <w:r>
              <w:rPr>
                <w:spacing w:val="42"/>
              </w:rPr>
              <w:t>施工期</w:t>
            </w:r>
          </w:p>
        </w:tc>
        <w:tc>
          <w:tcPr>
            <w:tcW w:w="2735" w:type="dxa"/>
            <w:vAlign w:val="top"/>
          </w:tcPr>
          <w:p>
            <w:pPr>
              <w:pStyle w:val="TableText"/>
              <w:ind w:left="1162"/>
              <w:spacing w:before="30" w:line="209" w:lineRule="auto"/>
              <w:rPr/>
            </w:pPr>
            <w:r>
              <w:rPr>
                <w:spacing w:val="-2"/>
              </w:rPr>
              <w:t>废水</w:t>
            </w:r>
          </w:p>
        </w:tc>
        <w:tc>
          <w:tcPr>
            <w:tcW w:w="3781" w:type="dxa"/>
            <w:vAlign w:val="top"/>
          </w:tcPr>
          <w:p>
            <w:pPr>
              <w:pStyle w:val="TableText"/>
              <w:ind w:left="1054"/>
              <w:spacing w:before="30" w:line="209" w:lineRule="auto"/>
              <w:rPr/>
            </w:pPr>
            <w:r>
              <w:rPr>
                <w:spacing w:val="-1"/>
              </w:rPr>
              <w:t>沉淀池、临时旱厕</w:t>
            </w:r>
          </w:p>
        </w:tc>
        <w:tc>
          <w:tcPr>
            <w:tcW w:w="1591" w:type="dxa"/>
            <w:vAlign w:val="top"/>
            <w:tcBorders>
              <w:right w:val="nil"/>
            </w:tcBorders>
          </w:tcPr>
          <w:p>
            <w:pPr>
              <w:ind w:left="743"/>
              <w:spacing w:before="60" w:line="20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75" w:hRule="atLeast"/>
        </w:trPr>
        <w:tc>
          <w:tcPr>
            <w:tcW w:w="614" w:type="dxa"/>
            <w:vAlign w:val="top"/>
            <w:vMerge w:val="continue"/>
            <w:textDirection w:val="tbRlV"/>
            <w:tcBorders>
              <w:left w:val="nil"/>
              <w:top w:val="nil"/>
              <w:bottom w:val="nil"/>
            </w:tcBorders>
          </w:tcPr>
          <w:p>
            <w:pPr>
              <w:rPr>
                <w:rFonts w:ascii="Arial"/>
                <w:sz w:val="21"/>
              </w:rPr>
            </w:pPr>
            <w:r/>
          </w:p>
        </w:tc>
        <w:tc>
          <w:tcPr>
            <w:tcW w:w="2735" w:type="dxa"/>
            <w:vAlign w:val="top"/>
          </w:tcPr>
          <w:p>
            <w:pPr>
              <w:pStyle w:val="TableText"/>
              <w:ind w:left="1162"/>
              <w:spacing w:before="30" w:line="206" w:lineRule="auto"/>
              <w:rPr/>
            </w:pPr>
            <w:r>
              <w:rPr>
                <w:spacing w:val="-2"/>
              </w:rPr>
              <w:t>废气</w:t>
            </w:r>
          </w:p>
        </w:tc>
        <w:tc>
          <w:tcPr>
            <w:tcW w:w="3781" w:type="dxa"/>
            <w:vAlign w:val="top"/>
          </w:tcPr>
          <w:p>
            <w:pPr>
              <w:pStyle w:val="TableText"/>
              <w:ind w:left="848"/>
              <w:spacing w:before="30" w:line="206" w:lineRule="auto"/>
              <w:rPr/>
            </w:pPr>
            <w:r>
              <w:rPr>
                <w:spacing w:val="-1"/>
              </w:rPr>
              <w:t>洒水设备、苫布覆盖等</w:t>
            </w:r>
          </w:p>
        </w:tc>
        <w:tc>
          <w:tcPr>
            <w:tcW w:w="1591" w:type="dxa"/>
            <w:vAlign w:val="top"/>
            <w:tcBorders>
              <w:right w:val="nil"/>
            </w:tcBorders>
          </w:tcPr>
          <w:p>
            <w:pPr>
              <w:ind w:left="747"/>
              <w:spacing w:before="58"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rPr>
          <w:trHeight w:val="278" w:hRule="atLeast"/>
        </w:trPr>
        <w:tc>
          <w:tcPr>
            <w:tcW w:w="614" w:type="dxa"/>
            <w:vAlign w:val="top"/>
            <w:vMerge w:val="continue"/>
            <w:textDirection w:val="tbRlV"/>
            <w:tcBorders>
              <w:left w:val="nil"/>
              <w:top w:val="nil"/>
              <w:bottom w:val="nil"/>
            </w:tcBorders>
          </w:tcPr>
          <w:p>
            <w:pPr>
              <w:rPr>
                <w:rFonts w:ascii="Arial"/>
                <w:sz w:val="21"/>
              </w:rPr>
            </w:pPr>
            <w:r/>
          </w:p>
        </w:tc>
        <w:tc>
          <w:tcPr>
            <w:tcW w:w="2735" w:type="dxa"/>
            <w:vAlign w:val="top"/>
          </w:tcPr>
          <w:p>
            <w:pPr>
              <w:pStyle w:val="TableText"/>
              <w:ind w:left="1173"/>
              <w:spacing w:before="31" w:line="208" w:lineRule="auto"/>
              <w:rPr/>
            </w:pPr>
            <w:r>
              <w:rPr>
                <w:spacing w:val="-4"/>
              </w:rPr>
              <w:t>噪声</w:t>
            </w:r>
          </w:p>
        </w:tc>
        <w:tc>
          <w:tcPr>
            <w:tcW w:w="3781" w:type="dxa"/>
            <w:vAlign w:val="top"/>
          </w:tcPr>
          <w:p>
            <w:pPr>
              <w:pStyle w:val="TableText"/>
              <w:ind w:left="948"/>
              <w:spacing w:before="31" w:line="208" w:lineRule="auto"/>
              <w:rPr/>
            </w:pPr>
            <w:r>
              <w:rPr>
                <w:spacing w:val="-1"/>
              </w:rPr>
              <w:t>低噪设备、维修养护</w:t>
            </w:r>
          </w:p>
        </w:tc>
        <w:tc>
          <w:tcPr>
            <w:tcW w:w="1591" w:type="dxa"/>
            <w:vAlign w:val="top"/>
            <w:tcBorders>
              <w:right w:val="nil"/>
            </w:tcBorders>
          </w:tcPr>
          <w:p>
            <w:pPr>
              <w:ind w:left="763"/>
              <w:spacing w:before="61" w:line="20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278" w:hRule="atLeast"/>
        </w:trPr>
        <w:tc>
          <w:tcPr>
            <w:tcW w:w="614" w:type="dxa"/>
            <w:vAlign w:val="top"/>
            <w:vMerge w:val="continue"/>
            <w:textDirection w:val="tbRlV"/>
            <w:tcBorders>
              <w:left w:val="nil"/>
              <w:top w:val="nil"/>
            </w:tcBorders>
          </w:tcPr>
          <w:p>
            <w:pPr>
              <w:rPr>
                <w:rFonts w:ascii="Arial"/>
                <w:sz w:val="21"/>
              </w:rPr>
            </w:pPr>
            <w:r/>
          </w:p>
        </w:tc>
        <w:tc>
          <w:tcPr>
            <w:tcW w:w="2735" w:type="dxa"/>
            <w:vAlign w:val="top"/>
          </w:tcPr>
          <w:p>
            <w:pPr>
              <w:pStyle w:val="TableText"/>
              <w:ind w:left="1181"/>
              <w:spacing w:before="31" w:line="208" w:lineRule="auto"/>
              <w:rPr/>
            </w:pPr>
            <w:r>
              <w:rPr>
                <w:spacing w:val="-7"/>
              </w:rPr>
              <w:t>固废</w:t>
            </w:r>
          </w:p>
        </w:tc>
        <w:tc>
          <w:tcPr>
            <w:tcW w:w="3781" w:type="dxa"/>
            <w:vAlign w:val="top"/>
          </w:tcPr>
          <w:p>
            <w:pPr>
              <w:pStyle w:val="TableText"/>
              <w:ind w:left="863"/>
              <w:spacing w:before="31" w:line="208" w:lineRule="auto"/>
              <w:rPr/>
            </w:pPr>
            <w:r>
              <w:rPr>
                <w:spacing w:val="-3"/>
              </w:rPr>
              <w:t>固废物储存及清运车辆</w:t>
            </w:r>
          </w:p>
        </w:tc>
        <w:tc>
          <w:tcPr>
            <w:tcW w:w="1591" w:type="dxa"/>
            <w:vAlign w:val="top"/>
            <w:tcBorders>
              <w:right w:val="nil"/>
            </w:tcBorders>
          </w:tcPr>
          <w:p>
            <w:pPr>
              <w:ind w:left="743"/>
              <w:spacing w:before="59"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75" w:hRule="atLeast"/>
        </w:trPr>
        <w:tc>
          <w:tcPr>
            <w:tcW w:w="614" w:type="dxa"/>
            <w:vAlign w:val="top"/>
            <w:vMerge w:val="restart"/>
            <w:textDirection w:val="tbRlV"/>
            <w:tcBorders>
              <w:left w:val="nil"/>
              <w:bottom w:val="nil"/>
            </w:tcBorders>
          </w:tcPr>
          <w:p>
            <w:pPr>
              <w:pStyle w:val="TableText"/>
              <w:ind w:left="322"/>
              <w:spacing w:before="199" w:line="209" w:lineRule="auto"/>
              <w:rPr/>
            </w:pPr>
            <w:r>
              <w:rPr>
                <w:spacing w:val="42"/>
              </w:rPr>
              <w:t>营运期</w:t>
            </w:r>
          </w:p>
        </w:tc>
        <w:tc>
          <w:tcPr>
            <w:tcW w:w="2735" w:type="dxa"/>
            <w:vAlign w:val="top"/>
          </w:tcPr>
          <w:p>
            <w:pPr>
              <w:pStyle w:val="TableText"/>
              <w:ind w:left="953"/>
              <w:spacing w:before="31" w:line="205" w:lineRule="auto"/>
              <w:rPr/>
            </w:pPr>
            <w:r>
              <w:rPr>
                <w:spacing w:val="-1"/>
              </w:rPr>
              <w:t>废水治理</w:t>
            </w:r>
          </w:p>
        </w:tc>
        <w:tc>
          <w:tcPr>
            <w:tcW w:w="3781" w:type="dxa"/>
            <w:vAlign w:val="top"/>
          </w:tcPr>
          <w:p>
            <w:pPr>
              <w:pStyle w:val="TableText"/>
              <w:ind w:left="1278"/>
              <w:spacing w:before="31" w:line="205" w:lineRule="auto"/>
              <w:rPr/>
            </w:pPr>
            <w:r>
              <w:rPr>
                <w:spacing w:val="-4"/>
              </w:rPr>
              <w:t>防渗池、垫料</w:t>
            </w:r>
          </w:p>
        </w:tc>
        <w:tc>
          <w:tcPr>
            <w:tcW w:w="1591" w:type="dxa"/>
            <w:vAlign w:val="top"/>
            <w:tcBorders>
              <w:right w:val="nil"/>
            </w:tcBorders>
          </w:tcPr>
          <w:p>
            <w:pPr>
              <w:ind w:left="743"/>
              <w:spacing w:before="59"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78" w:hRule="atLeast"/>
        </w:trPr>
        <w:tc>
          <w:tcPr>
            <w:tcW w:w="614" w:type="dxa"/>
            <w:vAlign w:val="top"/>
            <w:vMerge w:val="continue"/>
            <w:textDirection w:val="tbRlV"/>
            <w:tcBorders>
              <w:left w:val="nil"/>
              <w:top w:val="nil"/>
              <w:bottom w:val="nil"/>
            </w:tcBorders>
          </w:tcPr>
          <w:p>
            <w:pPr>
              <w:rPr>
                <w:rFonts w:ascii="Arial"/>
                <w:sz w:val="21"/>
              </w:rPr>
            </w:pPr>
            <w:r/>
          </w:p>
        </w:tc>
        <w:tc>
          <w:tcPr>
            <w:tcW w:w="2735" w:type="dxa"/>
            <w:vAlign w:val="top"/>
            <w:vMerge w:val="restart"/>
            <w:tcBorders>
              <w:bottom w:val="nil"/>
            </w:tcBorders>
          </w:tcPr>
          <w:p>
            <w:pPr>
              <w:pStyle w:val="TableText"/>
              <w:ind w:left="953"/>
              <w:spacing w:before="174" w:line="220" w:lineRule="auto"/>
              <w:rPr/>
            </w:pPr>
            <w:r>
              <w:rPr>
                <w:spacing w:val="-1"/>
              </w:rPr>
              <w:t>废气治理</w:t>
            </w:r>
          </w:p>
        </w:tc>
        <w:tc>
          <w:tcPr>
            <w:tcW w:w="3781" w:type="dxa"/>
            <w:vAlign w:val="top"/>
          </w:tcPr>
          <w:p>
            <w:pPr>
              <w:pStyle w:val="TableText"/>
              <w:ind w:left="532"/>
              <w:spacing w:before="32" w:line="207" w:lineRule="auto"/>
              <w:rPr/>
            </w:pPr>
            <w:r>
              <w:rPr>
                <w:spacing w:val="-1"/>
              </w:rPr>
              <w:t>发酵菌、风机、喷洒除臭剂等</w:t>
            </w:r>
          </w:p>
        </w:tc>
        <w:tc>
          <w:tcPr>
            <w:tcW w:w="1591" w:type="dxa"/>
            <w:vAlign w:val="top"/>
            <w:tcBorders>
              <w:right w:val="nil"/>
            </w:tcBorders>
          </w:tcPr>
          <w:p>
            <w:pPr>
              <w:ind w:left="743"/>
              <w:spacing w:before="62" w:line="20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75" w:hRule="atLeast"/>
        </w:trPr>
        <w:tc>
          <w:tcPr>
            <w:tcW w:w="614" w:type="dxa"/>
            <w:vAlign w:val="top"/>
            <w:vMerge w:val="continue"/>
            <w:textDirection w:val="tbRlV"/>
            <w:tcBorders>
              <w:left w:val="nil"/>
              <w:top w:val="nil"/>
              <w:bottom w:val="nil"/>
            </w:tcBorders>
          </w:tcPr>
          <w:p>
            <w:pPr>
              <w:rPr>
                <w:rFonts w:ascii="Arial"/>
                <w:sz w:val="21"/>
              </w:rPr>
            </w:pPr>
            <w:r/>
          </w:p>
        </w:tc>
        <w:tc>
          <w:tcPr>
            <w:tcW w:w="2735" w:type="dxa"/>
            <w:vAlign w:val="top"/>
            <w:vMerge w:val="continue"/>
            <w:tcBorders>
              <w:top w:val="nil"/>
            </w:tcBorders>
          </w:tcPr>
          <w:p>
            <w:pPr>
              <w:rPr>
                <w:rFonts w:ascii="Arial"/>
                <w:sz w:val="21"/>
              </w:rPr>
            </w:pPr>
            <w:r/>
          </w:p>
        </w:tc>
        <w:tc>
          <w:tcPr>
            <w:tcW w:w="3781" w:type="dxa"/>
            <w:vAlign w:val="top"/>
          </w:tcPr>
          <w:p>
            <w:pPr>
              <w:pStyle w:val="TableText"/>
              <w:ind w:left="952"/>
              <w:spacing w:before="32" w:line="204" w:lineRule="auto"/>
              <w:rPr/>
            </w:pPr>
            <w:r>
              <w:rPr>
                <w:spacing w:val="-1"/>
              </w:rPr>
              <w:t>油烟净化器、排气筒</w:t>
            </w:r>
          </w:p>
        </w:tc>
        <w:tc>
          <w:tcPr>
            <w:tcW w:w="1591" w:type="dxa"/>
            <w:vAlign w:val="top"/>
            <w:tcBorders>
              <w:right w:val="nil"/>
            </w:tcBorders>
          </w:tcPr>
          <w:p>
            <w:pPr>
              <w:ind w:left="743"/>
              <w:spacing w:before="60"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78" w:hRule="atLeast"/>
        </w:trPr>
        <w:tc>
          <w:tcPr>
            <w:tcW w:w="614" w:type="dxa"/>
            <w:vAlign w:val="top"/>
            <w:vMerge w:val="continue"/>
            <w:textDirection w:val="tbRlV"/>
            <w:tcBorders>
              <w:left w:val="nil"/>
              <w:top w:val="nil"/>
              <w:bottom w:val="nil"/>
            </w:tcBorders>
          </w:tcPr>
          <w:p>
            <w:pPr>
              <w:rPr>
                <w:rFonts w:ascii="Arial"/>
                <w:sz w:val="21"/>
              </w:rPr>
            </w:pPr>
            <w:r/>
          </w:p>
        </w:tc>
        <w:tc>
          <w:tcPr>
            <w:tcW w:w="2735" w:type="dxa"/>
            <w:vAlign w:val="top"/>
          </w:tcPr>
          <w:p>
            <w:pPr>
              <w:pStyle w:val="TableText"/>
              <w:ind w:left="866"/>
              <w:spacing w:before="35" w:line="204" w:lineRule="auto"/>
              <w:rPr/>
            </w:pPr>
            <w:r>
              <w:rPr>
                <w:spacing w:val="-5"/>
              </w:rPr>
              <w:t>固废物治理</w:t>
            </w:r>
          </w:p>
        </w:tc>
        <w:tc>
          <w:tcPr>
            <w:tcW w:w="3781" w:type="dxa"/>
            <w:vAlign w:val="top"/>
          </w:tcPr>
          <w:p>
            <w:pPr>
              <w:pStyle w:val="TableText"/>
              <w:ind w:left="423"/>
              <w:spacing w:before="35" w:line="204" w:lineRule="auto"/>
              <w:rPr/>
            </w:pPr>
            <w:r>
              <w:rPr>
                <w:spacing w:val="-1"/>
              </w:rPr>
              <w:t>贮存场所、危废暂存间、储粪库</w:t>
            </w:r>
          </w:p>
        </w:tc>
        <w:tc>
          <w:tcPr>
            <w:tcW w:w="1591" w:type="dxa"/>
            <w:vAlign w:val="top"/>
            <w:tcBorders>
              <w:right w:val="nil"/>
            </w:tcBorders>
          </w:tcPr>
          <w:p>
            <w:pPr>
              <w:ind w:left="748"/>
              <w:spacing w:before="63"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r>
      <w:tr>
        <w:trPr>
          <w:trHeight w:val="282" w:hRule="atLeast"/>
        </w:trPr>
        <w:tc>
          <w:tcPr>
            <w:tcW w:w="614" w:type="dxa"/>
            <w:vAlign w:val="top"/>
            <w:vMerge w:val="continue"/>
            <w:textDirection w:val="tbRlV"/>
            <w:tcBorders>
              <w:left w:val="nil"/>
              <w:top w:val="nil"/>
            </w:tcBorders>
          </w:tcPr>
          <w:p>
            <w:pPr>
              <w:rPr>
                <w:rFonts w:ascii="Arial"/>
                <w:sz w:val="21"/>
              </w:rPr>
            </w:pPr>
            <w:r/>
          </w:p>
        </w:tc>
        <w:tc>
          <w:tcPr>
            <w:tcW w:w="2735" w:type="dxa"/>
            <w:vAlign w:val="top"/>
          </w:tcPr>
          <w:p>
            <w:pPr>
              <w:pStyle w:val="TableText"/>
              <w:ind w:left="955"/>
              <w:spacing w:before="34" w:line="209" w:lineRule="auto"/>
              <w:rPr/>
            </w:pPr>
            <w:r>
              <w:rPr>
                <w:spacing w:val="-2"/>
              </w:rPr>
              <w:t>绿化工程</w:t>
            </w:r>
          </w:p>
        </w:tc>
        <w:tc>
          <w:tcPr>
            <w:tcW w:w="3781" w:type="dxa"/>
            <w:vAlign w:val="top"/>
          </w:tcPr>
          <w:p>
            <w:pPr>
              <w:pStyle w:val="TableText"/>
              <w:ind w:left="1473"/>
              <w:spacing w:before="34" w:line="209" w:lineRule="auto"/>
              <w:rPr/>
            </w:pPr>
            <w:r>
              <w:rPr>
                <w:spacing w:val="-1"/>
              </w:rPr>
              <w:t>场区绿化</w:t>
            </w:r>
          </w:p>
        </w:tc>
        <w:tc>
          <w:tcPr>
            <w:tcW w:w="1591" w:type="dxa"/>
            <w:vAlign w:val="top"/>
            <w:tcBorders>
              <w:right w:val="nil"/>
            </w:tcBorders>
          </w:tcPr>
          <w:p>
            <w:pPr>
              <w:ind w:left="743"/>
              <w:spacing w:before="63"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bl>
    <w:p>
      <w:pPr>
        <w:pStyle w:val="BodyText"/>
        <w:rPr/>
      </w:pPr>
      <w:r/>
    </w:p>
    <w:p>
      <w:pPr>
        <w:sectPr>
          <w:headerReference w:type="default" r:id="rId194"/>
          <w:footerReference w:type="default" r:id="rId195"/>
          <w:pgSz w:w="11907" w:h="16839"/>
          <w:pgMar w:top="1375" w:right="1591" w:bottom="1235" w:left="1594" w:header="1035" w:footer="992" w:gutter="0"/>
        </w:sectPr>
        <w:rPr/>
      </w:pPr>
    </w:p>
    <w:p>
      <w:pPr>
        <w:spacing w:before="84"/>
        <w:rPr/>
      </w:pPr>
      <w:r/>
    </w:p>
    <w:tbl>
      <w:tblPr>
        <w:tblStyle w:val="TableNormal"/>
        <w:tblW w:w="8735"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9"/>
        <w:gridCol w:w="2734"/>
        <w:gridCol w:w="3781"/>
        <w:gridCol w:w="1591"/>
      </w:tblGrid>
      <w:tr>
        <w:trPr>
          <w:trHeight w:val="275" w:hRule="atLeast"/>
        </w:trPr>
        <w:tc>
          <w:tcPr>
            <w:tcW w:w="629" w:type="dxa"/>
            <w:vAlign w:val="top"/>
            <w:vMerge w:val="restart"/>
            <w:tcBorders>
              <w:left w:val="nil"/>
              <w:bottom w:val="nil"/>
            </w:tcBorders>
          </w:tcPr>
          <w:p>
            <w:pPr>
              <w:rPr>
                <w:rFonts w:ascii="Arial"/>
                <w:sz w:val="21"/>
              </w:rPr>
            </w:pPr>
            <w:r/>
          </w:p>
        </w:tc>
        <w:tc>
          <w:tcPr>
            <w:tcW w:w="2734" w:type="dxa"/>
            <w:vAlign w:val="top"/>
          </w:tcPr>
          <w:p>
            <w:pPr>
              <w:pStyle w:val="TableText"/>
              <w:ind w:left="953"/>
              <w:spacing w:before="35" w:line="202" w:lineRule="auto"/>
              <w:rPr/>
            </w:pPr>
            <w:r>
              <w:rPr>
                <w:spacing w:val="-2"/>
              </w:rPr>
              <w:t>环境管理</w:t>
            </w:r>
          </w:p>
        </w:tc>
        <w:tc>
          <w:tcPr>
            <w:tcW w:w="3781" w:type="dxa"/>
            <w:vAlign w:val="top"/>
          </w:tcPr>
          <w:p>
            <w:pPr>
              <w:pStyle w:val="TableText"/>
              <w:ind w:left="740"/>
              <w:spacing w:before="35" w:line="202" w:lineRule="auto"/>
              <w:rPr/>
            </w:pPr>
            <w:r>
              <w:rPr>
                <w:spacing w:val="-2"/>
              </w:rPr>
              <w:t>环境管理档案、环境监测</w:t>
            </w:r>
          </w:p>
        </w:tc>
        <w:tc>
          <w:tcPr>
            <w:tcW w:w="1591" w:type="dxa"/>
            <w:vAlign w:val="top"/>
            <w:tcBorders>
              <w:right w:val="nil"/>
            </w:tcBorders>
          </w:tcPr>
          <w:p>
            <w:pPr>
              <w:ind w:left="747"/>
              <w:spacing w:before="62" w:line="20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rPr>
          <w:trHeight w:val="272" w:hRule="atLeast"/>
        </w:trPr>
        <w:tc>
          <w:tcPr>
            <w:tcW w:w="629" w:type="dxa"/>
            <w:vAlign w:val="top"/>
            <w:vMerge w:val="continue"/>
            <w:tcBorders>
              <w:left w:val="nil"/>
              <w:top w:val="nil"/>
              <w:bottom w:val="nil"/>
            </w:tcBorders>
          </w:tcPr>
          <w:p>
            <w:pPr>
              <w:rPr>
                <w:rFonts w:ascii="Arial"/>
                <w:sz w:val="21"/>
              </w:rPr>
            </w:pPr>
            <w:r/>
          </w:p>
        </w:tc>
        <w:tc>
          <w:tcPr>
            <w:tcW w:w="2734" w:type="dxa"/>
            <w:vAlign w:val="top"/>
          </w:tcPr>
          <w:p>
            <w:pPr>
              <w:pStyle w:val="TableText"/>
              <w:ind w:left="953"/>
              <w:spacing w:before="37" w:line="197" w:lineRule="auto"/>
              <w:rPr/>
            </w:pPr>
            <w:r>
              <w:rPr>
                <w:spacing w:val="-2"/>
              </w:rPr>
              <w:t>环境风险</w:t>
            </w:r>
          </w:p>
        </w:tc>
        <w:tc>
          <w:tcPr>
            <w:tcW w:w="3781" w:type="dxa"/>
            <w:vAlign w:val="top"/>
          </w:tcPr>
          <w:p>
            <w:pPr>
              <w:pStyle w:val="TableText"/>
              <w:ind w:left="952"/>
              <w:spacing w:before="37" w:line="197" w:lineRule="auto"/>
              <w:rPr/>
            </w:pPr>
            <w:r>
              <w:rPr>
                <w:spacing w:val="-1"/>
              </w:rPr>
              <w:t>警示标识、应急预案</w:t>
            </w:r>
          </w:p>
        </w:tc>
        <w:tc>
          <w:tcPr>
            <w:tcW w:w="1591" w:type="dxa"/>
            <w:vAlign w:val="top"/>
            <w:tcBorders>
              <w:right w:val="nil"/>
            </w:tcBorders>
          </w:tcPr>
          <w:p>
            <w:pPr>
              <w:ind w:left="743"/>
              <w:spacing w:before="65"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r>
      <w:tr>
        <w:trPr>
          <w:trHeight w:val="272" w:hRule="atLeast"/>
        </w:trPr>
        <w:tc>
          <w:tcPr>
            <w:tcW w:w="629" w:type="dxa"/>
            <w:vAlign w:val="top"/>
            <w:vMerge w:val="continue"/>
            <w:tcBorders>
              <w:left w:val="nil"/>
              <w:top w:val="nil"/>
            </w:tcBorders>
          </w:tcPr>
          <w:p>
            <w:pPr>
              <w:rPr>
                <w:rFonts w:ascii="Arial"/>
                <w:sz w:val="21"/>
              </w:rPr>
            </w:pPr>
            <w:r/>
          </w:p>
        </w:tc>
        <w:tc>
          <w:tcPr>
            <w:tcW w:w="2734" w:type="dxa"/>
            <w:vAlign w:val="top"/>
          </w:tcPr>
          <w:p>
            <w:pPr>
              <w:pStyle w:val="TableText"/>
              <w:ind w:left="743"/>
              <w:spacing w:before="41" w:line="194" w:lineRule="auto"/>
              <w:rPr/>
            </w:pPr>
            <w:r>
              <w:rPr>
                <w:spacing w:val="-1"/>
              </w:rPr>
              <w:t>土壤及地下水</w:t>
            </w:r>
          </w:p>
        </w:tc>
        <w:tc>
          <w:tcPr>
            <w:tcW w:w="3781" w:type="dxa"/>
            <w:vAlign w:val="top"/>
          </w:tcPr>
          <w:p>
            <w:pPr>
              <w:pStyle w:val="TableText"/>
              <w:ind w:left="1477"/>
              <w:spacing w:before="41" w:line="194" w:lineRule="auto"/>
              <w:rPr/>
            </w:pPr>
            <w:r>
              <w:rPr>
                <w:spacing w:val="-2"/>
              </w:rPr>
              <w:t>分区防渗</w:t>
            </w:r>
          </w:p>
        </w:tc>
        <w:tc>
          <w:tcPr>
            <w:tcW w:w="1591" w:type="dxa"/>
            <w:vAlign w:val="top"/>
            <w:tcBorders>
              <w:right w:val="nil"/>
            </w:tcBorders>
          </w:tcPr>
          <w:p>
            <w:pPr>
              <w:ind w:left="742"/>
              <w:spacing w:before="71"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295" w:hRule="atLeast"/>
        </w:trPr>
        <w:tc>
          <w:tcPr>
            <w:tcW w:w="3363" w:type="dxa"/>
            <w:vAlign w:val="top"/>
            <w:gridSpan w:val="2"/>
            <w:tcBorders>
              <w:left w:val="nil"/>
              <w:bottom w:val="single" w:color="000000" w:sz="10" w:space="0"/>
            </w:tcBorders>
          </w:tcPr>
          <w:p>
            <w:pPr>
              <w:pStyle w:val="TableText"/>
              <w:ind w:left="1487"/>
              <w:spacing w:before="48" w:line="208" w:lineRule="auto"/>
              <w:rPr/>
            </w:pPr>
            <w:r>
              <w:rPr>
                <w:spacing w:val="-2"/>
              </w:rPr>
              <w:t>合计</w:t>
            </w:r>
          </w:p>
        </w:tc>
        <w:tc>
          <w:tcPr>
            <w:tcW w:w="3781" w:type="dxa"/>
            <w:vAlign w:val="top"/>
            <w:tcBorders>
              <w:bottom w:val="single" w:color="000000" w:sz="10" w:space="0"/>
            </w:tcBorders>
          </w:tcPr>
          <w:p>
            <w:pPr>
              <w:rPr>
                <w:rFonts w:ascii="Arial"/>
                <w:sz w:val="21"/>
              </w:rPr>
            </w:pPr>
            <w:r/>
          </w:p>
        </w:tc>
        <w:tc>
          <w:tcPr>
            <w:tcW w:w="1591" w:type="dxa"/>
            <w:vAlign w:val="top"/>
            <w:tcBorders>
              <w:right w:val="nil"/>
              <w:bottom w:val="single" w:color="000000" w:sz="10" w:space="0"/>
            </w:tcBorders>
          </w:tcPr>
          <w:p>
            <w:pPr>
              <w:ind w:left="694"/>
              <w:spacing w:before="75" w:line="20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r>
    </w:tbl>
    <w:p>
      <w:pPr>
        <w:pStyle w:val="BodyText"/>
        <w:spacing w:line="295" w:lineRule="auto"/>
        <w:rPr/>
      </w:pPr>
      <w:r/>
    </w:p>
    <w:p>
      <w:pPr>
        <w:ind w:left="131"/>
        <w:spacing w:before="78" w:line="233" w:lineRule="auto"/>
        <w:outlineLvl w:val="1"/>
        <w:rPr>
          <w:rFonts w:ascii="SimSun" w:hAnsi="SimSun" w:eastAsia="SimSun" w:cs="SimSun"/>
          <w:sz w:val="24"/>
          <w:szCs w:val="24"/>
        </w:rPr>
      </w:pPr>
      <w:bookmarkStart w:name="bookmark39" w:id="46"/>
      <w:bookmarkEnd w:id="46"/>
      <w:r>
        <w:rPr>
          <w:rFonts w:ascii="Times New Roman" w:hAnsi="Times New Roman" w:eastAsia="Times New Roman" w:cs="Times New Roman"/>
          <w:sz w:val="24"/>
          <w:szCs w:val="24"/>
          <w:b/>
          <w:bCs/>
          <w:spacing w:val="-4"/>
        </w:rPr>
        <w:t>6.9 </w:t>
      </w:r>
      <w:r>
        <w:rPr>
          <w:rFonts w:ascii="SimSun" w:hAnsi="SimSun" w:eastAsia="SimSun" w:cs="SimSun"/>
          <w:sz w:val="24"/>
          <w:szCs w:val="24"/>
          <w:b/>
          <w:bCs/>
          <w:spacing w:val="-4"/>
        </w:rPr>
        <w:t>项目竣工“三同时</w:t>
      </w:r>
      <w:r>
        <w:rPr>
          <w:rFonts w:ascii="SimSun" w:hAnsi="SimSun" w:eastAsia="SimSun" w:cs="SimSun"/>
          <w:sz w:val="24"/>
          <w:szCs w:val="24"/>
          <w:spacing w:val="-88"/>
        </w:rPr>
        <w:t xml:space="preserve"> </w:t>
      </w:r>
      <w:r>
        <w:rPr>
          <w:rFonts w:ascii="SimSun" w:hAnsi="SimSun" w:eastAsia="SimSun" w:cs="SimSun"/>
          <w:sz w:val="24"/>
          <w:szCs w:val="24"/>
          <w:b/>
          <w:bCs/>
          <w:spacing w:val="-4"/>
        </w:rPr>
        <w:t>”验收</w:t>
      </w:r>
    </w:p>
    <w:p>
      <w:pPr>
        <w:pStyle w:val="BodyText"/>
        <w:spacing w:line="340" w:lineRule="auto"/>
        <w:rPr/>
      </w:pPr>
      <w:r/>
    </w:p>
    <w:p>
      <w:pPr>
        <w:ind w:left="612"/>
        <w:spacing w:before="78" w:line="233" w:lineRule="auto"/>
        <w:rPr>
          <w:rFonts w:ascii="SimSun" w:hAnsi="SimSun" w:eastAsia="SimSun" w:cs="SimSun"/>
          <w:sz w:val="24"/>
          <w:szCs w:val="24"/>
        </w:rPr>
      </w:pPr>
      <w:r>
        <w:rPr>
          <w:rFonts w:ascii="SimSun" w:hAnsi="SimSun" w:eastAsia="SimSun" w:cs="SimSun"/>
          <w:sz w:val="24"/>
          <w:szCs w:val="24"/>
          <w:spacing w:val="-3"/>
        </w:rPr>
        <w:t>本项目“三同时</w:t>
      </w:r>
      <w:r>
        <w:rPr>
          <w:rFonts w:ascii="SimSun" w:hAnsi="SimSun" w:eastAsia="SimSun" w:cs="SimSun"/>
          <w:sz w:val="24"/>
          <w:szCs w:val="24"/>
          <w:spacing w:val="-85"/>
        </w:rPr>
        <w:t xml:space="preserve"> </w:t>
      </w:r>
      <w:r>
        <w:rPr>
          <w:rFonts w:ascii="SimSun" w:hAnsi="SimSun" w:eastAsia="SimSun" w:cs="SimSun"/>
          <w:sz w:val="24"/>
          <w:szCs w:val="24"/>
          <w:spacing w:val="-3"/>
        </w:rPr>
        <w:t>”验收内容详见表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6-6</w:t>
      </w:r>
      <w:r>
        <w:rPr>
          <w:rFonts w:ascii="SimSun" w:hAnsi="SimSun" w:eastAsia="SimSun" w:cs="SimSun"/>
          <w:sz w:val="24"/>
          <w:szCs w:val="24"/>
          <w:spacing w:val="-3"/>
        </w:rPr>
        <w:t>。</w:t>
      </w:r>
    </w:p>
    <w:p>
      <w:pPr>
        <w:spacing w:line="233" w:lineRule="auto"/>
        <w:sectPr>
          <w:headerReference w:type="default" r:id="rId196"/>
          <w:footerReference w:type="default" r:id="rId197"/>
          <w:pgSz w:w="11907" w:h="16839"/>
          <w:pgMar w:top="1375" w:right="1591" w:bottom="1235" w:left="1579" w:header="1035" w:footer="990" w:gutter="0"/>
        </w:sectPr>
        <w:rPr>
          <w:rFonts w:ascii="SimSun" w:hAnsi="SimSun" w:eastAsia="SimSun" w:cs="SimSun"/>
          <w:sz w:val="24"/>
          <w:szCs w:val="24"/>
        </w:rPr>
      </w:pPr>
    </w:p>
    <w:p>
      <w:pPr>
        <w:pStyle w:val="BodyText"/>
        <w:spacing w:line="280" w:lineRule="auto"/>
        <w:rPr/>
      </w:pPr>
      <w:r/>
    </w:p>
    <w:p>
      <w:pPr>
        <w:ind w:left="4885"/>
        <w:spacing w:before="78" w:line="233" w:lineRule="auto"/>
        <w:rPr>
          <w:rFonts w:ascii="SimSun" w:hAnsi="SimSun" w:eastAsia="SimSun" w:cs="SimSun"/>
          <w:sz w:val="24"/>
          <w:szCs w:val="24"/>
        </w:rPr>
      </w:pPr>
      <w:r>
        <w:rPr>
          <w:rFonts w:ascii="SimSun" w:hAnsi="SimSun" w:eastAsia="SimSun" w:cs="SimSun"/>
          <w:sz w:val="24"/>
          <w:szCs w:val="24"/>
          <w:b/>
          <w:bCs/>
          <w:spacing w:val="-4"/>
        </w:rPr>
        <w:t>表</w:t>
      </w:r>
      <w:r>
        <w:rPr>
          <w:rFonts w:ascii="SimSun" w:hAnsi="SimSun" w:eastAsia="SimSun" w:cs="SimSun"/>
          <w:sz w:val="24"/>
          <w:szCs w:val="24"/>
          <w:spacing w:val="-33"/>
        </w:rPr>
        <w:t xml:space="preserve"> </w:t>
      </w:r>
      <w:r>
        <w:rPr>
          <w:rFonts w:ascii="Times New Roman" w:hAnsi="Times New Roman" w:eastAsia="Times New Roman" w:cs="Times New Roman"/>
          <w:sz w:val="24"/>
          <w:szCs w:val="24"/>
          <w:b/>
          <w:bCs/>
          <w:spacing w:val="-4"/>
        </w:rPr>
        <w:t>6-6      </w:t>
      </w:r>
      <w:r>
        <w:rPr>
          <w:rFonts w:ascii="SimSun" w:hAnsi="SimSun" w:eastAsia="SimSun" w:cs="SimSun"/>
          <w:sz w:val="24"/>
          <w:szCs w:val="24"/>
          <w:b/>
          <w:bCs/>
          <w:spacing w:val="-4"/>
        </w:rPr>
        <w:t>项目“三同时</w:t>
      </w:r>
      <w:r>
        <w:rPr>
          <w:rFonts w:ascii="SimSun" w:hAnsi="SimSun" w:eastAsia="SimSun" w:cs="SimSun"/>
          <w:sz w:val="24"/>
          <w:szCs w:val="24"/>
          <w:spacing w:val="-88"/>
        </w:rPr>
        <w:t xml:space="preserve"> </w:t>
      </w:r>
      <w:r>
        <w:rPr>
          <w:rFonts w:ascii="SimSun" w:hAnsi="SimSun" w:eastAsia="SimSun" w:cs="SimSun"/>
          <w:sz w:val="24"/>
          <w:szCs w:val="24"/>
          <w:b/>
          <w:bCs/>
          <w:spacing w:val="-4"/>
        </w:rPr>
        <w:t>”验收一览表</w:t>
      </w:r>
    </w:p>
    <w:p>
      <w:pPr>
        <w:spacing w:line="128" w:lineRule="exact"/>
        <w:rPr/>
      </w:pPr>
      <w:r/>
    </w:p>
    <w:tbl>
      <w:tblPr>
        <w:tblStyle w:val="TableNormal"/>
        <w:tblW w:w="13588" w:type="dxa"/>
        <w:tblInd w:w="1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96"/>
        <w:gridCol w:w="502"/>
        <w:gridCol w:w="1785"/>
        <w:gridCol w:w="2264"/>
        <w:gridCol w:w="3744"/>
        <w:gridCol w:w="4697"/>
      </w:tblGrid>
      <w:tr>
        <w:trPr>
          <w:trHeight w:val="322" w:hRule="atLeast"/>
        </w:trPr>
        <w:tc>
          <w:tcPr>
            <w:tcW w:w="2883" w:type="dxa"/>
            <w:vAlign w:val="top"/>
            <w:gridSpan w:val="3"/>
            <w:tcBorders>
              <w:left w:val="nil"/>
              <w:top w:val="single" w:color="000000" w:sz="10" w:space="0"/>
            </w:tcBorders>
          </w:tcPr>
          <w:p>
            <w:pPr>
              <w:pStyle w:val="TableText"/>
              <w:ind w:left="931"/>
              <w:spacing w:before="57" w:line="221" w:lineRule="auto"/>
              <w:rPr/>
            </w:pPr>
            <w:r>
              <w:rPr>
                <w:b/>
                <w:bCs/>
                <w:spacing w:val="-3"/>
              </w:rPr>
              <w:t>污染源分类</w:t>
            </w:r>
          </w:p>
        </w:tc>
        <w:tc>
          <w:tcPr>
            <w:tcW w:w="2264" w:type="dxa"/>
            <w:vAlign w:val="top"/>
            <w:tcBorders>
              <w:top w:val="single" w:color="000000" w:sz="10" w:space="0"/>
            </w:tcBorders>
          </w:tcPr>
          <w:p>
            <w:pPr>
              <w:pStyle w:val="TableText"/>
              <w:ind w:left="716"/>
              <w:spacing w:before="57" w:line="221" w:lineRule="auto"/>
              <w:rPr/>
            </w:pPr>
            <w:r>
              <w:rPr>
                <w:b/>
                <w:bCs/>
                <w:spacing w:val="-3"/>
              </w:rPr>
              <w:t>环保措施</w:t>
            </w:r>
          </w:p>
        </w:tc>
        <w:tc>
          <w:tcPr>
            <w:tcW w:w="3744" w:type="dxa"/>
            <w:vAlign w:val="top"/>
            <w:tcBorders>
              <w:top w:val="single" w:color="000000" w:sz="10" w:space="0"/>
            </w:tcBorders>
          </w:tcPr>
          <w:p>
            <w:pPr>
              <w:pStyle w:val="TableText"/>
              <w:ind w:left="1454"/>
              <w:spacing w:before="57" w:line="221" w:lineRule="auto"/>
              <w:rPr/>
            </w:pPr>
            <w:r>
              <w:rPr>
                <w:b/>
                <w:bCs/>
                <w:spacing w:val="-3"/>
              </w:rPr>
              <w:t>验收内容</w:t>
            </w:r>
          </w:p>
        </w:tc>
        <w:tc>
          <w:tcPr>
            <w:tcW w:w="4697" w:type="dxa"/>
            <w:vAlign w:val="top"/>
            <w:tcBorders>
              <w:right w:val="nil"/>
              <w:top w:val="single" w:color="000000" w:sz="10" w:space="0"/>
            </w:tcBorders>
          </w:tcPr>
          <w:p>
            <w:pPr>
              <w:pStyle w:val="TableText"/>
              <w:ind w:left="1930"/>
              <w:spacing w:before="57" w:line="221" w:lineRule="auto"/>
              <w:rPr/>
            </w:pPr>
            <w:r>
              <w:rPr>
                <w:b/>
                <w:bCs/>
                <w:spacing w:val="-3"/>
              </w:rPr>
              <w:t>验收要求</w:t>
            </w:r>
          </w:p>
        </w:tc>
      </w:tr>
      <w:tr>
        <w:trPr>
          <w:trHeight w:val="315" w:hRule="atLeast"/>
        </w:trPr>
        <w:tc>
          <w:tcPr>
            <w:tcW w:w="596" w:type="dxa"/>
            <w:vAlign w:val="top"/>
            <w:tcBorders>
              <w:left w:val="nil"/>
              <w:bottom w:val="nil"/>
            </w:tcBorders>
          </w:tcPr>
          <w:p>
            <w:pPr>
              <w:pStyle w:val="TableText"/>
              <w:ind w:left="104"/>
              <w:spacing w:before="57" w:line="218" w:lineRule="auto"/>
              <w:rPr/>
            </w:pPr>
            <w:r>
              <w:rPr>
                <w:spacing w:val="-3"/>
              </w:rPr>
              <w:t>水污</w:t>
            </w:r>
          </w:p>
        </w:tc>
        <w:tc>
          <w:tcPr>
            <w:tcW w:w="2287" w:type="dxa"/>
            <w:vAlign w:val="top"/>
            <w:gridSpan w:val="2"/>
          </w:tcPr>
          <w:p>
            <w:pPr>
              <w:pStyle w:val="TableText"/>
              <w:ind w:left="729"/>
              <w:spacing w:before="51" w:line="221" w:lineRule="auto"/>
              <w:rPr/>
            </w:pPr>
            <w:r>
              <w:rPr>
                <w:spacing w:val="-2"/>
              </w:rPr>
              <w:t>生活污水</w:t>
            </w:r>
          </w:p>
        </w:tc>
        <w:tc>
          <w:tcPr>
            <w:tcW w:w="2264" w:type="dxa"/>
            <w:vAlign w:val="top"/>
          </w:tcPr>
          <w:p>
            <w:pPr>
              <w:pStyle w:val="TableText"/>
              <w:ind w:left="835"/>
              <w:spacing w:before="52" w:line="221" w:lineRule="auto"/>
              <w:rPr/>
            </w:pPr>
            <w:r>
              <w:rPr>
                <w:spacing w:val="-4"/>
              </w:rPr>
              <w:t>防渗池</w:t>
            </w:r>
          </w:p>
        </w:tc>
        <w:tc>
          <w:tcPr>
            <w:tcW w:w="3744" w:type="dxa"/>
            <w:vAlign w:val="top"/>
          </w:tcPr>
          <w:p>
            <w:pPr>
              <w:pStyle w:val="TableText"/>
              <w:ind w:left="1573"/>
              <w:spacing w:before="52" w:line="221" w:lineRule="auto"/>
              <w:rPr/>
            </w:pPr>
            <w:r>
              <w:rPr>
                <w:spacing w:val="-4"/>
              </w:rPr>
              <w:t>防渗池</w:t>
            </w:r>
          </w:p>
        </w:tc>
        <w:tc>
          <w:tcPr>
            <w:tcW w:w="4697" w:type="dxa"/>
            <w:vAlign w:val="top"/>
            <w:tcBorders>
              <w:right w:val="nil"/>
            </w:tcBorders>
          </w:tcPr>
          <w:p>
            <w:pPr>
              <w:pStyle w:val="TableText"/>
              <w:ind w:left="2050"/>
              <w:spacing w:before="52" w:line="221" w:lineRule="auto"/>
              <w:rPr/>
            </w:pPr>
            <w:r>
              <w:rPr>
                <w:spacing w:val="-4"/>
              </w:rPr>
              <w:t>防渗池</w:t>
            </w:r>
          </w:p>
        </w:tc>
      </w:tr>
      <w:tr>
        <w:trPr>
          <w:trHeight w:val="315" w:hRule="atLeast"/>
        </w:trPr>
        <w:tc>
          <w:tcPr>
            <w:tcW w:w="596" w:type="dxa"/>
            <w:vAlign w:val="top"/>
            <w:tcBorders>
              <w:left w:val="nil"/>
              <w:top w:val="nil"/>
            </w:tcBorders>
          </w:tcPr>
          <w:p>
            <w:pPr>
              <w:pStyle w:val="TableText"/>
              <w:ind w:left="105"/>
              <w:spacing w:before="49" w:line="221" w:lineRule="auto"/>
              <w:rPr/>
            </w:pPr>
            <w:r>
              <w:rPr>
                <w:spacing w:val="-3"/>
              </w:rPr>
              <w:t>染源</w:t>
            </w:r>
          </w:p>
        </w:tc>
        <w:tc>
          <w:tcPr>
            <w:tcW w:w="2287" w:type="dxa"/>
            <w:vAlign w:val="top"/>
            <w:gridSpan w:val="2"/>
          </w:tcPr>
          <w:p>
            <w:pPr>
              <w:pStyle w:val="TableText"/>
              <w:ind w:left="941"/>
              <w:spacing w:before="53" w:line="221" w:lineRule="auto"/>
              <w:rPr/>
            </w:pPr>
            <w:r>
              <w:rPr>
                <w:spacing w:val="-3"/>
              </w:rPr>
              <w:t>牛尿</w:t>
            </w:r>
          </w:p>
        </w:tc>
        <w:tc>
          <w:tcPr>
            <w:tcW w:w="2264" w:type="dxa"/>
            <w:vAlign w:val="top"/>
          </w:tcPr>
          <w:p>
            <w:pPr>
              <w:pStyle w:val="TableText"/>
              <w:ind w:left="506"/>
              <w:spacing w:before="53" w:line="221" w:lineRule="auto"/>
              <w:rPr/>
            </w:pPr>
            <w:r>
              <w:rPr>
                <w:spacing w:val="-1"/>
              </w:rPr>
              <w:t>储粪库、垫料</w:t>
            </w:r>
          </w:p>
        </w:tc>
        <w:tc>
          <w:tcPr>
            <w:tcW w:w="3744" w:type="dxa"/>
            <w:vAlign w:val="top"/>
          </w:tcPr>
          <w:p>
            <w:pPr>
              <w:pStyle w:val="TableText"/>
              <w:ind w:left="1362"/>
              <w:spacing w:before="53" w:line="221" w:lineRule="auto"/>
              <w:rPr/>
            </w:pPr>
            <w:r>
              <w:rPr>
                <w:spacing w:val="-6"/>
              </w:rPr>
              <w:t>防渗、垫料</w:t>
            </w:r>
          </w:p>
        </w:tc>
        <w:tc>
          <w:tcPr>
            <w:tcW w:w="4697" w:type="dxa"/>
            <w:vAlign w:val="top"/>
            <w:tcBorders>
              <w:right w:val="nil"/>
            </w:tcBorders>
          </w:tcPr>
          <w:p>
            <w:pPr>
              <w:pStyle w:val="TableText"/>
              <w:ind w:left="1841"/>
              <w:spacing w:before="53" w:line="221" w:lineRule="auto"/>
              <w:rPr/>
            </w:pPr>
            <w:r>
              <w:rPr>
                <w:spacing w:val="-6"/>
              </w:rPr>
              <w:t>防渗、垫料</w:t>
            </w:r>
          </w:p>
        </w:tc>
      </w:tr>
      <w:tr>
        <w:trPr>
          <w:trHeight w:val="938" w:hRule="atLeast"/>
        </w:trPr>
        <w:tc>
          <w:tcPr>
            <w:tcW w:w="596" w:type="dxa"/>
            <w:vAlign w:val="top"/>
            <w:tcBorders>
              <w:left w:val="nil"/>
              <w:bottom w:val="nil"/>
            </w:tcBorders>
          </w:tcPr>
          <w:p>
            <w:pPr>
              <w:spacing w:line="336" w:lineRule="auto"/>
              <w:rPr>
                <w:rFonts w:ascii="Arial"/>
                <w:sz w:val="21"/>
              </w:rPr>
            </w:pPr>
            <w:r/>
          </w:p>
          <w:p>
            <w:pPr>
              <w:pStyle w:val="TableText"/>
              <w:ind w:left="103" w:right="77"/>
              <w:spacing w:before="68" w:line="229" w:lineRule="auto"/>
              <w:rPr/>
            </w:pPr>
            <w:r>
              <w:rPr>
                <w:spacing w:val="-5"/>
              </w:rPr>
              <w:t>大气</w:t>
            </w:r>
            <w:r>
              <w:rPr>
                <w:spacing w:val="-4"/>
              </w:rPr>
              <w:t>污染</w:t>
            </w:r>
          </w:p>
        </w:tc>
        <w:tc>
          <w:tcPr>
            <w:tcW w:w="502" w:type="dxa"/>
            <w:vAlign w:val="top"/>
          </w:tcPr>
          <w:p>
            <w:pPr>
              <w:pStyle w:val="TableText"/>
              <w:ind w:left="46" w:right="36"/>
              <w:spacing w:before="211" w:line="277" w:lineRule="auto"/>
              <w:rPr/>
            </w:pPr>
            <w:r>
              <w:rPr>
                <w:spacing w:val="-4"/>
              </w:rPr>
              <w:t>恶臭</w:t>
            </w:r>
            <w:r>
              <w:rPr>
                <w:spacing w:val="-4"/>
              </w:rPr>
              <w:t>气体</w:t>
            </w:r>
          </w:p>
        </w:tc>
        <w:tc>
          <w:tcPr>
            <w:tcW w:w="1785" w:type="dxa"/>
            <w:vAlign w:val="top"/>
          </w:tcPr>
          <w:p>
            <w:pPr>
              <w:pStyle w:val="TableText"/>
              <w:ind w:left="688" w:right="50" w:hanging="631"/>
              <w:spacing w:before="212" w:line="276" w:lineRule="auto"/>
              <w:rPr/>
            </w:pPr>
            <w:r>
              <w:rPr>
                <w:spacing w:val="-1"/>
              </w:rPr>
              <w:t>无组织：牛舍、储</w:t>
            </w:r>
            <w:r>
              <w:rPr>
                <w:spacing w:val="-2"/>
              </w:rPr>
              <w:t>粪库</w:t>
            </w:r>
          </w:p>
        </w:tc>
        <w:tc>
          <w:tcPr>
            <w:tcW w:w="2264" w:type="dxa"/>
            <w:vAlign w:val="top"/>
          </w:tcPr>
          <w:p>
            <w:pPr>
              <w:spacing w:line="297" w:lineRule="auto"/>
              <w:rPr>
                <w:rFonts w:ascii="Arial"/>
                <w:sz w:val="21"/>
              </w:rPr>
            </w:pPr>
            <w:r/>
          </w:p>
          <w:p>
            <w:pPr>
              <w:pStyle w:val="TableText"/>
              <w:ind w:left="401"/>
              <w:spacing w:before="68" w:line="220" w:lineRule="auto"/>
              <w:rPr/>
            </w:pPr>
            <w:r>
              <w:rPr>
                <w:spacing w:val="-1"/>
              </w:rPr>
              <w:t>通风、喷除臭剂</w:t>
            </w:r>
          </w:p>
        </w:tc>
        <w:tc>
          <w:tcPr>
            <w:tcW w:w="3744" w:type="dxa"/>
            <w:vAlign w:val="top"/>
          </w:tcPr>
          <w:p>
            <w:pPr>
              <w:spacing w:line="297" w:lineRule="auto"/>
              <w:rPr>
                <w:rFonts w:ascii="Arial"/>
                <w:sz w:val="21"/>
              </w:rPr>
            </w:pPr>
            <w:r/>
          </w:p>
          <w:p>
            <w:pPr>
              <w:pStyle w:val="TableText"/>
              <w:ind w:left="447"/>
              <w:spacing w:before="69" w:line="282" w:lineRule="exact"/>
              <w:rPr/>
            </w:pPr>
            <w:r>
              <w:rPr>
                <w:rFonts w:ascii="Times New Roman" w:hAnsi="Times New Roman" w:eastAsia="Times New Roman" w:cs="Times New Roman"/>
                <w:spacing w:val="-2"/>
                <w:position w:val="1"/>
              </w:rPr>
              <w:t>H</w:t>
            </w:r>
            <w:r>
              <w:rPr>
                <w:rFonts w:ascii="Times New Roman" w:hAnsi="Times New Roman" w:eastAsia="Times New Roman" w:cs="Times New Roman"/>
                <w:sz w:val="13"/>
                <w:szCs w:val="13"/>
                <w:spacing w:val="-2"/>
                <w:position w:val="-1"/>
              </w:rPr>
              <w:t>2</w:t>
            </w:r>
            <w:r>
              <w:rPr>
                <w:rFonts w:ascii="Times New Roman" w:hAnsi="Times New Roman" w:eastAsia="Times New Roman" w:cs="Times New Roman"/>
                <w:spacing w:val="-2"/>
                <w:position w:val="1"/>
              </w:rPr>
              <w:t>S</w:t>
            </w:r>
            <w:r>
              <w:rPr>
                <w:rFonts w:ascii="Times New Roman" w:hAnsi="Times New Roman" w:eastAsia="Times New Roman" w:cs="Times New Roman"/>
                <w:spacing w:val="-19"/>
                <w:position w:val="1"/>
              </w:rPr>
              <w:t xml:space="preserve"> </w:t>
            </w:r>
            <w:r>
              <w:rPr>
                <w:spacing w:val="-2"/>
                <w:position w:val="1"/>
              </w:rPr>
              <w:t>、</w:t>
            </w:r>
            <w:r>
              <w:rPr>
                <w:rFonts w:ascii="Times New Roman" w:hAnsi="Times New Roman" w:eastAsia="Times New Roman" w:cs="Times New Roman"/>
                <w:spacing w:val="-2"/>
                <w:position w:val="1"/>
              </w:rPr>
              <w:t>NH</w:t>
            </w:r>
            <w:r>
              <w:rPr>
                <w:rFonts w:ascii="Times New Roman" w:hAnsi="Times New Roman" w:eastAsia="Times New Roman" w:cs="Times New Roman"/>
                <w:sz w:val="13"/>
                <w:szCs w:val="13"/>
                <w:spacing w:val="-2"/>
                <w:position w:val="-1"/>
              </w:rPr>
              <w:t>3</w:t>
            </w:r>
            <w:r>
              <w:rPr>
                <w:rFonts w:ascii="Times New Roman" w:hAnsi="Times New Roman" w:eastAsia="Times New Roman" w:cs="Times New Roman"/>
                <w:sz w:val="13"/>
                <w:szCs w:val="13"/>
                <w:spacing w:val="8"/>
                <w:w w:val="102"/>
                <w:position w:val="-1"/>
              </w:rPr>
              <w:t xml:space="preserve"> </w:t>
            </w:r>
            <w:r>
              <w:rPr>
                <w:spacing w:val="-2"/>
                <w:position w:val="1"/>
              </w:rPr>
              <w:t>场界浓度和臭气浓度</w:t>
            </w:r>
          </w:p>
        </w:tc>
        <w:tc>
          <w:tcPr>
            <w:tcW w:w="4697" w:type="dxa"/>
            <w:vAlign w:val="top"/>
            <w:tcBorders>
              <w:right w:val="nil"/>
            </w:tcBorders>
          </w:tcPr>
          <w:p>
            <w:pPr>
              <w:pStyle w:val="TableText"/>
              <w:ind w:left="308"/>
              <w:spacing w:before="56" w:line="234" w:lineRule="auto"/>
              <w:rPr/>
            </w:pPr>
            <w:r>
              <w:rPr>
                <w:spacing w:val="-1"/>
              </w:rPr>
              <w:t>满足</w:t>
            </w:r>
            <w:r>
              <w:rPr>
                <w:spacing w:val="-47"/>
              </w:rPr>
              <w:t xml:space="preserve"> </w:t>
            </w:r>
            <w:r>
              <w:rPr>
                <w:rFonts w:ascii="Times New Roman" w:hAnsi="Times New Roman" w:eastAsia="Times New Roman" w:cs="Times New Roman"/>
                <w:spacing w:val="-1"/>
              </w:rPr>
              <w:t>GB14554-93</w:t>
            </w:r>
            <w:r>
              <w:rPr>
                <w:spacing w:val="-1"/>
              </w:rPr>
              <w:t>《恶臭污染物排</w:t>
            </w:r>
            <w:r>
              <w:rPr>
                <w:spacing w:val="-2"/>
              </w:rPr>
              <w:t>放标准》和</w:t>
            </w:r>
          </w:p>
          <w:p>
            <w:pPr>
              <w:pStyle w:val="TableText"/>
              <w:ind w:left="79" w:right="74" w:firstLine="43"/>
              <w:spacing w:before="45" w:line="246" w:lineRule="auto"/>
              <w:rPr/>
            </w:pPr>
            <w:r>
              <w:rPr>
                <w:rFonts w:ascii="Times New Roman" w:hAnsi="Times New Roman" w:eastAsia="Times New Roman" w:cs="Times New Roman"/>
              </w:rPr>
              <w:t>GB18596-2001</w:t>
            </w:r>
            <w:r>
              <w:rPr/>
              <w:t>《畜禽养殖业污染物</w:t>
            </w:r>
            <w:r>
              <w:rPr>
                <w:spacing w:val="-1"/>
              </w:rPr>
              <w:t>排放标准》中</w:t>
            </w:r>
            <w:r>
              <w:rPr>
                <w:spacing w:val="-1"/>
              </w:rPr>
              <w:t>表</w:t>
            </w:r>
            <w:r>
              <w:rPr>
                <w:spacing w:val="-34"/>
              </w:rPr>
              <w:t xml:space="preserve"> </w:t>
            </w:r>
            <w:r>
              <w:rPr>
                <w:rFonts w:ascii="Times New Roman" w:hAnsi="Times New Roman" w:eastAsia="Times New Roman" w:cs="Times New Roman"/>
                <w:spacing w:val="-1"/>
              </w:rPr>
              <w:t>7“</w:t>
            </w:r>
            <w:r>
              <w:rPr>
                <w:spacing w:val="-1"/>
              </w:rPr>
              <w:t>集约化畜禽养殖业恶臭污染物排放标准</w:t>
            </w:r>
            <w:r>
              <w:rPr>
                <w:rFonts w:ascii="Times New Roman" w:hAnsi="Times New Roman" w:eastAsia="Times New Roman" w:cs="Times New Roman"/>
                <w:spacing w:val="-1"/>
              </w:rPr>
              <w:t>”</w:t>
            </w:r>
            <w:r>
              <w:rPr>
                <w:spacing w:val="-1"/>
              </w:rPr>
              <w:t>要求</w:t>
            </w:r>
          </w:p>
        </w:tc>
      </w:tr>
      <w:tr>
        <w:trPr>
          <w:trHeight w:val="691" w:hRule="atLeast"/>
        </w:trPr>
        <w:tc>
          <w:tcPr>
            <w:tcW w:w="596" w:type="dxa"/>
            <w:vAlign w:val="top"/>
            <w:tcBorders>
              <w:left w:val="nil"/>
              <w:top w:val="nil"/>
            </w:tcBorders>
          </w:tcPr>
          <w:p>
            <w:pPr>
              <w:pStyle w:val="TableText"/>
              <w:ind w:left="204"/>
              <w:spacing w:before="87" w:line="223" w:lineRule="auto"/>
              <w:rPr/>
            </w:pPr>
            <w:r>
              <w:rPr/>
              <w:t>源</w:t>
            </w:r>
          </w:p>
        </w:tc>
        <w:tc>
          <w:tcPr>
            <w:tcW w:w="2287" w:type="dxa"/>
            <w:vAlign w:val="top"/>
            <w:gridSpan w:val="2"/>
          </w:tcPr>
          <w:p>
            <w:pPr>
              <w:pStyle w:val="TableText"/>
              <w:ind w:left="730"/>
              <w:spacing w:before="248" w:line="221" w:lineRule="auto"/>
              <w:rPr/>
            </w:pPr>
            <w:r>
              <w:rPr>
                <w:spacing w:val="-2"/>
              </w:rPr>
              <w:t>食堂油烟</w:t>
            </w:r>
          </w:p>
        </w:tc>
        <w:tc>
          <w:tcPr>
            <w:tcW w:w="2264" w:type="dxa"/>
            <w:vAlign w:val="top"/>
          </w:tcPr>
          <w:p>
            <w:pPr>
              <w:pStyle w:val="TableText"/>
              <w:ind w:left="87"/>
              <w:spacing w:before="92" w:line="220" w:lineRule="auto"/>
              <w:rPr/>
            </w:pPr>
            <w:r>
              <w:rPr>
                <w:spacing w:val="-1"/>
              </w:rPr>
              <w:t>风机、油烟净化器、排</w:t>
            </w:r>
          </w:p>
          <w:p>
            <w:pPr>
              <w:pStyle w:val="TableText"/>
              <w:ind w:left="928"/>
              <w:spacing w:before="61" w:line="221" w:lineRule="auto"/>
              <w:rPr/>
            </w:pPr>
            <w:r>
              <w:rPr>
                <w:spacing w:val="-2"/>
              </w:rPr>
              <w:t>气筒</w:t>
            </w:r>
          </w:p>
        </w:tc>
        <w:tc>
          <w:tcPr>
            <w:tcW w:w="3744" w:type="dxa"/>
            <w:vAlign w:val="top"/>
          </w:tcPr>
          <w:p>
            <w:pPr>
              <w:pStyle w:val="TableText"/>
              <w:ind w:left="92"/>
              <w:spacing w:before="247" w:line="221" w:lineRule="auto"/>
              <w:rPr/>
            </w:pPr>
            <w:r>
              <w:rPr>
                <w:spacing w:val="-1"/>
              </w:rPr>
              <w:t>油烟排放浓度、去除效率、排气筒高度</w:t>
            </w:r>
          </w:p>
        </w:tc>
        <w:tc>
          <w:tcPr>
            <w:tcW w:w="4697" w:type="dxa"/>
            <w:vAlign w:val="top"/>
            <w:tcBorders>
              <w:right w:val="nil"/>
            </w:tcBorders>
          </w:tcPr>
          <w:p>
            <w:pPr>
              <w:pStyle w:val="TableText"/>
              <w:ind w:left="122"/>
              <w:spacing w:before="92" w:line="235" w:lineRule="auto"/>
              <w:rPr/>
            </w:pPr>
            <w:r>
              <w:rPr>
                <w:rFonts w:ascii="Times New Roman" w:hAnsi="Times New Roman" w:eastAsia="Times New Roman" w:cs="Times New Roman"/>
              </w:rPr>
              <w:t>GB18483-2001</w:t>
            </w:r>
            <w:r>
              <w:rPr/>
              <w:t>《饮食业油烟排放标准（试行）》</w:t>
            </w:r>
          </w:p>
          <w:p>
            <w:pPr>
              <w:pStyle w:val="TableText"/>
              <w:ind w:left="901"/>
              <w:spacing w:before="43" w:line="221" w:lineRule="auto"/>
              <w:rPr/>
            </w:pPr>
            <w:r>
              <w:rPr>
                <w:spacing w:val="-2"/>
              </w:rPr>
              <w:t>中的最高允许排放浓度限值要求</w:t>
            </w:r>
          </w:p>
        </w:tc>
      </w:tr>
      <w:tr>
        <w:trPr>
          <w:trHeight w:val="627" w:hRule="atLeast"/>
        </w:trPr>
        <w:tc>
          <w:tcPr>
            <w:tcW w:w="596" w:type="dxa"/>
            <w:vAlign w:val="top"/>
            <w:tcBorders>
              <w:left w:val="nil"/>
            </w:tcBorders>
          </w:tcPr>
          <w:p>
            <w:pPr>
              <w:pStyle w:val="TableText"/>
              <w:ind w:left="111"/>
              <w:spacing w:before="217" w:line="221" w:lineRule="auto"/>
              <w:rPr/>
            </w:pPr>
            <w:r>
              <w:rPr>
                <w:spacing w:val="-4"/>
              </w:rPr>
              <w:t>噪声</w:t>
            </w:r>
          </w:p>
        </w:tc>
        <w:tc>
          <w:tcPr>
            <w:tcW w:w="2287" w:type="dxa"/>
            <w:vAlign w:val="top"/>
            <w:gridSpan w:val="2"/>
          </w:tcPr>
          <w:p>
            <w:pPr>
              <w:pStyle w:val="TableText"/>
              <w:ind w:left="308"/>
              <w:spacing w:before="216" w:line="220" w:lineRule="auto"/>
              <w:rPr/>
            </w:pPr>
            <w:r>
              <w:rPr>
                <w:spacing w:val="-1"/>
              </w:rPr>
              <w:t>风机和各种泵类等</w:t>
            </w:r>
          </w:p>
        </w:tc>
        <w:tc>
          <w:tcPr>
            <w:tcW w:w="2264" w:type="dxa"/>
            <w:vAlign w:val="top"/>
          </w:tcPr>
          <w:p>
            <w:pPr>
              <w:pStyle w:val="TableText"/>
              <w:ind w:left="614"/>
              <w:spacing w:before="217" w:line="221" w:lineRule="auto"/>
              <w:rPr/>
            </w:pPr>
            <w:r>
              <w:rPr>
                <w:spacing w:val="-2"/>
              </w:rPr>
              <w:t>消声、减振</w:t>
            </w:r>
          </w:p>
        </w:tc>
        <w:tc>
          <w:tcPr>
            <w:tcW w:w="3744" w:type="dxa"/>
            <w:vAlign w:val="top"/>
          </w:tcPr>
          <w:p>
            <w:pPr>
              <w:pStyle w:val="TableText"/>
              <w:ind w:left="1139"/>
              <w:spacing w:before="216" w:line="221" w:lineRule="auto"/>
              <w:rPr/>
            </w:pPr>
            <w:r>
              <w:rPr>
                <w:spacing w:val="-1"/>
              </w:rPr>
              <w:t>场界四周噪声值</w:t>
            </w:r>
          </w:p>
        </w:tc>
        <w:tc>
          <w:tcPr>
            <w:tcW w:w="4697" w:type="dxa"/>
            <w:vAlign w:val="top"/>
            <w:tcBorders>
              <w:right w:val="nil"/>
            </w:tcBorders>
          </w:tcPr>
          <w:p>
            <w:pPr>
              <w:pStyle w:val="TableText"/>
              <w:spacing w:before="61" w:line="235" w:lineRule="auto"/>
              <w:jc w:val="right"/>
              <w:rPr/>
            </w:pPr>
            <w:r>
              <w:rPr>
                <w:rFonts w:ascii="Times New Roman" w:hAnsi="Times New Roman" w:eastAsia="Times New Roman" w:cs="Times New Roman"/>
                <w:spacing w:val="-2"/>
              </w:rPr>
              <w:t>GB12348-2008</w:t>
            </w:r>
            <w:r>
              <w:rPr>
                <w:spacing w:val="-2"/>
              </w:rPr>
              <w:t>《工业企业厂界环境噪声排放标准》</w:t>
            </w:r>
          </w:p>
          <w:p>
            <w:pPr>
              <w:pStyle w:val="TableText"/>
              <w:ind w:left="1110"/>
              <w:spacing w:before="43" w:line="215" w:lineRule="auto"/>
              <w:rPr/>
            </w:pPr>
            <w:r>
              <w:rPr>
                <w:spacing w:val="-4"/>
              </w:rPr>
              <w:t>中</w:t>
            </w:r>
            <w:r>
              <w:rPr>
                <w:spacing w:val="-25"/>
              </w:rPr>
              <w:t xml:space="preserve"> </w:t>
            </w:r>
            <w:r>
              <w:rPr>
                <w:rFonts w:ascii="Times New Roman" w:hAnsi="Times New Roman" w:eastAsia="Times New Roman" w:cs="Times New Roman"/>
                <w:spacing w:val="-4"/>
              </w:rPr>
              <w:t>1 </w:t>
            </w:r>
            <w:r>
              <w:rPr>
                <w:spacing w:val="-4"/>
              </w:rPr>
              <w:t>类区及</w:t>
            </w:r>
            <w:r>
              <w:rPr>
                <w:spacing w:val="-49"/>
              </w:rPr>
              <w:t xml:space="preserve"> </w:t>
            </w:r>
            <w:r>
              <w:rPr>
                <w:rFonts w:ascii="Times New Roman" w:hAnsi="Times New Roman" w:eastAsia="Times New Roman" w:cs="Times New Roman"/>
                <w:spacing w:val="-4"/>
              </w:rPr>
              <w:t>4 </w:t>
            </w:r>
            <w:r>
              <w:rPr>
                <w:spacing w:val="-4"/>
              </w:rPr>
              <w:t>类区标准要求</w:t>
            </w:r>
          </w:p>
        </w:tc>
      </w:tr>
      <w:tr>
        <w:trPr>
          <w:trHeight w:val="626" w:hRule="atLeast"/>
        </w:trPr>
        <w:tc>
          <w:tcPr>
            <w:tcW w:w="596" w:type="dxa"/>
            <w:vAlign w:val="top"/>
            <w:vMerge w:val="restart"/>
            <w:tcBorders>
              <w:left w:val="nil"/>
              <w:bottom w:val="nil"/>
            </w:tcBorders>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0" w:right="77" w:firstLine="19"/>
              <w:spacing w:before="69" w:line="277" w:lineRule="auto"/>
              <w:rPr/>
            </w:pPr>
            <w:r>
              <w:rPr>
                <w:spacing w:val="-12"/>
              </w:rPr>
              <w:t>固体</w:t>
            </w:r>
            <w:r>
              <w:rPr>
                <w:spacing w:val="-3"/>
              </w:rPr>
              <w:t>废物</w:t>
            </w:r>
          </w:p>
        </w:tc>
        <w:tc>
          <w:tcPr>
            <w:tcW w:w="2287" w:type="dxa"/>
            <w:vAlign w:val="top"/>
            <w:gridSpan w:val="2"/>
          </w:tcPr>
          <w:p>
            <w:pPr>
              <w:pStyle w:val="TableText"/>
              <w:ind w:left="830"/>
              <w:spacing w:before="219" w:line="221" w:lineRule="auto"/>
              <w:rPr/>
            </w:pPr>
            <w:r>
              <w:rPr>
                <w:spacing w:val="-1"/>
              </w:rPr>
              <w:t>废垫料</w:t>
            </w:r>
          </w:p>
        </w:tc>
        <w:tc>
          <w:tcPr>
            <w:tcW w:w="2264" w:type="dxa"/>
            <w:vAlign w:val="top"/>
          </w:tcPr>
          <w:p>
            <w:pPr>
              <w:pStyle w:val="TableText"/>
              <w:ind w:left="821"/>
              <w:spacing w:before="218" w:line="221" w:lineRule="auto"/>
              <w:rPr/>
            </w:pPr>
            <w:r>
              <w:rPr>
                <w:spacing w:val="-1"/>
              </w:rPr>
              <w:t>储粪库</w:t>
            </w:r>
          </w:p>
        </w:tc>
        <w:tc>
          <w:tcPr>
            <w:tcW w:w="3744" w:type="dxa"/>
            <w:vAlign w:val="top"/>
          </w:tcPr>
          <w:p>
            <w:pPr>
              <w:pStyle w:val="TableText"/>
              <w:ind w:left="89"/>
              <w:spacing w:before="62" w:line="221" w:lineRule="auto"/>
              <w:rPr/>
            </w:pPr>
            <w:r>
              <w:rPr>
                <w:spacing w:val="-1"/>
              </w:rPr>
              <w:t>清理至储粪库暂存，外售相关单位生产</w:t>
            </w:r>
          </w:p>
          <w:p>
            <w:pPr>
              <w:pStyle w:val="TableText"/>
              <w:ind w:left="1561"/>
              <w:spacing w:before="60" w:line="212" w:lineRule="auto"/>
              <w:rPr/>
            </w:pPr>
            <w:r>
              <w:rPr>
                <w:spacing w:val="-2"/>
              </w:rPr>
              <w:t>有机肥</w:t>
            </w:r>
          </w:p>
        </w:tc>
        <w:tc>
          <w:tcPr>
            <w:tcW w:w="4697" w:type="dxa"/>
            <w:vAlign w:val="top"/>
            <w:vMerge w:val="restart"/>
            <w:tcBorders>
              <w:right w:val="nil"/>
              <w:bottom w:val="nil"/>
            </w:tcBorders>
          </w:tcPr>
          <w:p>
            <w:pPr>
              <w:spacing w:line="352" w:lineRule="auto"/>
              <w:rPr>
                <w:rFonts w:ascii="Arial"/>
                <w:sz w:val="21"/>
              </w:rPr>
            </w:pPr>
            <w:r/>
          </w:p>
          <w:p>
            <w:pPr>
              <w:spacing w:line="353" w:lineRule="auto"/>
              <w:rPr>
                <w:rFonts w:ascii="Arial"/>
                <w:sz w:val="21"/>
              </w:rPr>
            </w:pPr>
            <w:r/>
          </w:p>
          <w:p>
            <w:pPr>
              <w:pStyle w:val="TableText"/>
              <w:ind w:left="149"/>
              <w:spacing w:before="68" w:line="221" w:lineRule="auto"/>
              <w:rPr/>
            </w:pPr>
            <w:r>
              <w:rPr>
                <w:spacing w:val="-1"/>
              </w:rPr>
              <w:t>符合《一般工业固体废物贮存和填埋污染控制标</w:t>
            </w:r>
          </w:p>
          <w:p>
            <w:pPr>
              <w:pStyle w:val="TableText"/>
              <w:ind w:left="125"/>
              <w:spacing w:before="61" w:line="235" w:lineRule="auto"/>
              <w:rPr/>
            </w:pPr>
            <w:r>
              <w:rPr/>
              <w:t>准》（</w:t>
            </w:r>
            <w:r>
              <w:rPr>
                <w:rFonts w:ascii="Times New Roman" w:hAnsi="Times New Roman" w:eastAsia="Times New Roman" w:cs="Times New Roman"/>
              </w:rPr>
              <w:t>GB18599-2020</w:t>
            </w:r>
            <w:r>
              <w:rPr/>
              <w:t>）有关规定</w:t>
            </w:r>
            <w:r>
              <w:rPr>
                <w:spacing w:val="-1"/>
              </w:rPr>
              <w:t>、《危险废物贮</w:t>
            </w:r>
          </w:p>
          <w:p>
            <w:pPr>
              <w:pStyle w:val="TableText"/>
              <w:ind w:left="648"/>
              <w:spacing w:before="45" w:line="234" w:lineRule="auto"/>
              <w:rPr/>
            </w:pPr>
            <w:r>
              <w:rPr>
                <w:spacing w:val="-1"/>
              </w:rPr>
              <w:t>存污染控制标准》（</w:t>
            </w:r>
            <w:r>
              <w:rPr>
                <w:rFonts w:ascii="Times New Roman" w:hAnsi="Times New Roman" w:eastAsia="Times New Roman" w:cs="Times New Roman"/>
                <w:spacing w:val="-1"/>
              </w:rPr>
              <w:t>GB18597-2023</w:t>
            </w:r>
            <w:r>
              <w:rPr>
                <w:spacing w:val="-1"/>
              </w:rPr>
              <w:t>）</w:t>
            </w:r>
          </w:p>
        </w:tc>
      </w:tr>
      <w:tr>
        <w:trPr>
          <w:trHeight w:val="318" w:hRule="atLeast"/>
        </w:trPr>
        <w:tc>
          <w:tcPr>
            <w:tcW w:w="596" w:type="dxa"/>
            <w:vAlign w:val="top"/>
            <w:vMerge w:val="continue"/>
            <w:tcBorders>
              <w:left w:val="nil"/>
              <w:top w:val="nil"/>
              <w:bottom w:val="nil"/>
            </w:tcBorders>
          </w:tcPr>
          <w:p>
            <w:pPr>
              <w:rPr>
                <w:rFonts w:ascii="Arial"/>
                <w:sz w:val="21"/>
              </w:rPr>
            </w:pPr>
            <w:r/>
          </w:p>
        </w:tc>
        <w:tc>
          <w:tcPr>
            <w:tcW w:w="2287" w:type="dxa"/>
            <w:vAlign w:val="top"/>
            <w:gridSpan w:val="2"/>
          </w:tcPr>
          <w:p>
            <w:pPr>
              <w:pStyle w:val="TableText"/>
              <w:ind w:left="741"/>
              <w:spacing w:before="67" w:line="211" w:lineRule="auto"/>
              <w:rPr/>
            </w:pPr>
            <w:r>
              <w:rPr>
                <w:spacing w:val="-5"/>
              </w:rPr>
              <w:t>防疫废物</w:t>
            </w:r>
          </w:p>
        </w:tc>
        <w:tc>
          <w:tcPr>
            <w:tcW w:w="2264" w:type="dxa"/>
            <w:vAlign w:val="top"/>
          </w:tcPr>
          <w:p>
            <w:pPr>
              <w:pStyle w:val="TableText"/>
              <w:ind w:left="404"/>
              <w:spacing w:before="67" w:line="211" w:lineRule="auto"/>
              <w:rPr/>
            </w:pPr>
            <w:r>
              <w:rPr>
                <w:spacing w:val="-2"/>
              </w:rPr>
              <w:t>危险废物贮存间</w:t>
            </w:r>
          </w:p>
        </w:tc>
        <w:tc>
          <w:tcPr>
            <w:tcW w:w="3744" w:type="dxa"/>
            <w:vAlign w:val="top"/>
          </w:tcPr>
          <w:p>
            <w:pPr>
              <w:pStyle w:val="TableText"/>
              <w:ind w:left="1033"/>
              <w:spacing w:before="67" w:line="211" w:lineRule="auto"/>
              <w:rPr/>
            </w:pPr>
            <w:r>
              <w:rPr>
                <w:spacing w:val="-1"/>
              </w:rPr>
              <w:t>送有资质单位处理</w:t>
            </w:r>
          </w:p>
        </w:tc>
        <w:tc>
          <w:tcPr>
            <w:tcW w:w="4697" w:type="dxa"/>
            <w:vAlign w:val="top"/>
            <w:vMerge w:val="continue"/>
            <w:tcBorders>
              <w:right w:val="nil"/>
              <w:top w:val="nil"/>
              <w:bottom w:val="nil"/>
            </w:tcBorders>
          </w:tcPr>
          <w:p>
            <w:pPr>
              <w:rPr>
                <w:rFonts w:ascii="Arial"/>
                <w:sz w:val="21"/>
              </w:rPr>
            </w:pPr>
            <w:r/>
          </w:p>
        </w:tc>
      </w:tr>
      <w:tr>
        <w:trPr>
          <w:trHeight w:val="359" w:hRule="atLeast"/>
        </w:trPr>
        <w:tc>
          <w:tcPr>
            <w:tcW w:w="596" w:type="dxa"/>
            <w:vAlign w:val="top"/>
            <w:vMerge w:val="continue"/>
            <w:tcBorders>
              <w:left w:val="nil"/>
              <w:top w:val="nil"/>
              <w:bottom w:val="nil"/>
            </w:tcBorders>
          </w:tcPr>
          <w:p>
            <w:pPr>
              <w:rPr>
                <w:rFonts w:ascii="Arial"/>
                <w:sz w:val="21"/>
              </w:rPr>
            </w:pPr>
            <w:r/>
          </w:p>
        </w:tc>
        <w:tc>
          <w:tcPr>
            <w:tcW w:w="2287" w:type="dxa"/>
            <w:vAlign w:val="top"/>
            <w:gridSpan w:val="2"/>
          </w:tcPr>
          <w:p>
            <w:pPr>
              <w:pStyle w:val="TableText"/>
              <w:ind w:left="830"/>
              <w:spacing w:before="88" w:line="222" w:lineRule="auto"/>
              <w:rPr/>
            </w:pPr>
            <w:r>
              <w:rPr>
                <w:spacing w:val="-1"/>
              </w:rPr>
              <w:t>病死牛</w:t>
            </w:r>
          </w:p>
        </w:tc>
        <w:tc>
          <w:tcPr>
            <w:tcW w:w="2264" w:type="dxa"/>
            <w:vAlign w:val="top"/>
          </w:tcPr>
          <w:p>
            <w:pPr>
              <w:ind w:left="1099"/>
              <w:spacing w:before="120" w:line="22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744" w:type="dxa"/>
            <w:vAlign w:val="top"/>
          </w:tcPr>
          <w:p>
            <w:pPr>
              <w:pStyle w:val="TableText"/>
              <w:ind w:left="194"/>
              <w:spacing w:before="88" w:line="221" w:lineRule="auto"/>
              <w:rPr/>
            </w:pPr>
            <w:r>
              <w:rPr>
                <w:spacing w:val="-1"/>
              </w:rPr>
              <w:t>病死牛委托相关单位进行无害化处置</w:t>
            </w:r>
          </w:p>
        </w:tc>
        <w:tc>
          <w:tcPr>
            <w:tcW w:w="4697" w:type="dxa"/>
            <w:vAlign w:val="top"/>
            <w:vMerge w:val="continue"/>
            <w:tcBorders>
              <w:right w:val="nil"/>
              <w:top w:val="nil"/>
              <w:bottom w:val="nil"/>
            </w:tcBorders>
          </w:tcPr>
          <w:p>
            <w:pPr>
              <w:rPr>
                <w:rFonts w:ascii="Arial"/>
                <w:sz w:val="21"/>
              </w:rPr>
            </w:pPr>
            <w:r/>
          </w:p>
        </w:tc>
      </w:tr>
      <w:tr>
        <w:trPr>
          <w:trHeight w:val="626" w:hRule="atLeast"/>
        </w:trPr>
        <w:tc>
          <w:tcPr>
            <w:tcW w:w="596" w:type="dxa"/>
            <w:vAlign w:val="top"/>
            <w:vMerge w:val="continue"/>
            <w:tcBorders>
              <w:left w:val="nil"/>
              <w:top w:val="nil"/>
              <w:bottom w:val="nil"/>
            </w:tcBorders>
          </w:tcPr>
          <w:p>
            <w:pPr>
              <w:rPr>
                <w:rFonts w:ascii="Arial"/>
                <w:sz w:val="21"/>
              </w:rPr>
            </w:pPr>
            <w:r/>
          </w:p>
        </w:tc>
        <w:tc>
          <w:tcPr>
            <w:tcW w:w="2287" w:type="dxa"/>
            <w:vAlign w:val="top"/>
            <w:gridSpan w:val="2"/>
          </w:tcPr>
          <w:p>
            <w:pPr>
              <w:pStyle w:val="TableText"/>
              <w:ind w:left="729"/>
              <w:spacing w:before="223" w:line="221" w:lineRule="auto"/>
              <w:rPr/>
            </w:pPr>
            <w:r>
              <w:rPr>
                <w:spacing w:val="-2"/>
              </w:rPr>
              <w:t>生活垃圾</w:t>
            </w:r>
          </w:p>
        </w:tc>
        <w:tc>
          <w:tcPr>
            <w:tcW w:w="2264" w:type="dxa"/>
            <w:vAlign w:val="top"/>
          </w:tcPr>
          <w:p>
            <w:pPr>
              <w:pStyle w:val="TableText"/>
              <w:ind w:left="823"/>
              <w:spacing w:before="223" w:line="221" w:lineRule="auto"/>
              <w:rPr/>
            </w:pPr>
            <w:r>
              <w:rPr>
                <w:spacing w:val="-2"/>
              </w:rPr>
              <w:t>垃圾箱</w:t>
            </w:r>
          </w:p>
        </w:tc>
        <w:tc>
          <w:tcPr>
            <w:tcW w:w="3744" w:type="dxa"/>
            <w:vAlign w:val="top"/>
          </w:tcPr>
          <w:p>
            <w:pPr>
              <w:pStyle w:val="TableText"/>
              <w:ind w:left="89"/>
              <w:spacing w:before="66" w:line="221" w:lineRule="auto"/>
              <w:rPr/>
            </w:pPr>
            <w:r>
              <w:rPr/>
              <w:t>集中堆放，定期交由环卫部门进行统一</w:t>
            </w:r>
          </w:p>
          <w:p>
            <w:pPr>
              <w:pStyle w:val="TableText"/>
              <w:ind w:left="1670"/>
              <w:spacing w:before="61" w:line="208" w:lineRule="auto"/>
              <w:rPr/>
            </w:pPr>
            <w:r>
              <w:rPr>
                <w:spacing w:val="-3"/>
              </w:rPr>
              <w:t>处理</w:t>
            </w:r>
          </w:p>
        </w:tc>
        <w:tc>
          <w:tcPr>
            <w:tcW w:w="4697" w:type="dxa"/>
            <w:vAlign w:val="top"/>
            <w:vMerge w:val="continue"/>
            <w:tcBorders>
              <w:right w:val="nil"/>
              <w:top w:val="nil"/>
              <w:bottom w:val="nil"/>
            </w:tcBorders>
          </w:tcPr>
          <w:p>
            <w:pPr>
              <w:rPr>
                <w:rFonts w:ascii="Arial"/>
                <w:sz w:val="21"/>
              </w:rPr>
            </w:pPr>
            <w:r/>
          </w:p>
        </w:tc>
      </w:tr>
      <w:tr>
        <w:trPr>
          <w:trHeight w:val="362" w:hRule="atLeast"/>
        </w:trPr>
        <w:tc>
          <w:tcPr>
            <w:tcW w:w="596" w:type="dxa"/>
            <w:vAlign w:val="top"/>
            <w:vMerge w:val="continue"/>
            <w:tcBorders>
              <w:left w:val="nil"/>
              <w:top w:val="nil"/>
              <w:bottom w:val="nil"/>
            </w:tcBorders>
          </w:tcPr>
          <w:p>
            <w:pPr>
              <w:rPr>
                <w:rFonts w:ascii="Arial"/>
                <w:sz w:val="21"/>
              </w:rPr>
            </w:pPr>
            <w:r/>
          </w:p>
        </w:tc>
        <w:tc>
          <w:tcPr>
            <w:tcW w:w="2287" w:type="dxa"/>
            <w:vAlign w:val="top"/>
            <w:gridSpan w:val="2"/>
          </w:tcPr>
          <w:p>
            <w:pPr>
              <w:pStyle w:val="TableText"/>
              <w:ind w:left="415"/>
              <w:spacing w:before="94" w:line="220" w:lineRule="auto"/>
              <w:rPr/>
            </w:pPr>
            <w:r>
              <w:rPr>
                <w:spacing w:val="-2"/>
              </w:rPr>
              <w:t>消毒剂废包装物</w:t>
            </w:r>
          </w:p>
        </w:tc>
        <w:tc>
          <w:tcPr>
            <w:tcW w:w="2264" w:type="dxa"/>
            <w:vAlign w:val="top"/>
          </w:tcPr>
          <w:p>
            <w:pPr>
              <w:pStyle w:val="TableText"/>
              <w:ind w:left="404"/>
              <w:spacing w:before="94" w:line="221" w:lineRule="auto"/>
              <w:rPr/>
            </w:pPr>
            <w:r>
              <w:rPr>
                <w:spacing w:val="-2"/>
              </w:rPr>
              <w:t>危险废物贮存间</w:t>
            </w:r>
          </w:p>
        </w:tc>
        <w:tc>
          <w:tcPr>
            <w:tcW w:w="3744" w:type="dxa"/>
            <w:vAlign w:val="top"/>
          </w:tcPr>
          <w:p>
            <w:pPr>
              <w:pStyle w:val="TableText"/>
              <w:ind w:left="1033"/>
              <w:spacing w:before="94" w:line="221" w:lineRule="auto"/>
              <w:rPr/>
            </w:pPr>
            <w:r>
              <w:rPr>
                <w:spacing w:val="-1"/>
              </w:rPr>
              <w:t>送有资质单位处理</w:t>
            </w:r>
          </w:p>
        </w:tc>
        <w:tc>
          <w:tcPr>
            <w:tcW w:w="4697" w:type="dxa"/>
            <w:vAlign w:val="top"/>
            <w:vMerge w:val="continue"/>
            <w:tcBorders>
              <w:right w:val="nil"/>
              <w:top w:val="nil"/>
              <w:bottom w:val="nil"/>
            </w:tcBorders>
          </w:tcPr>
          <w:p>
            <w:pPr>
              <w:rPr>
                <w:rFonts w:ascii="Arial"/>
                <w:sz w:val="21"/>
              </w:rPr>
            </w:pPr>
            <w:r/>
          </w:p>
        </w:tc>
      </w:tr>
      <w:tr>
        <w:trPr>
          <w:trHeight w:val="359" w:hRule="atLeast"/>
        </w:trPr>
        <w:tc>
          <w:tcPr>
            <w:tcW w:w="596" w:type="dxa"/>
            <w:vAlign w:val="top"/>
            <w:vMerge w:val="continue"/>
            <w:tcBorders>
              <w:left w:val="nil"/>
              <w:top w:val="nil"/>
            </w:tcBorders>
          </w:tcPr>
          <w:p>
            <w:pPr>
              <w:rPr>
                <w:rFonts w:ascii="Arial"/>
                <w:sz w:val="21"/>
              </w:rPr>
            </w:pPr>
            <w:r/>
          </w:p>
        </w:tc>
        <w:tc>
          <w:tcPr>
            <w:tcW w:w="2287" w:type="dxa"/>
            <w:vAlign w:val="top"/>
            <w:gridSpan w:val="2"/>
          </w:tcPr>
          <w:p>
            <w:pPr>
              <w:pStyle w:val="TableText"/>
              <w:ind w:left="729"/>
              <w:spacing w:before="91" w:line="221" w:lineRule="auto"/>
              <w:rPr/>
            </w:pPr>
            <w:r>
              <w:rPr>
                <w:spacing w:val="-2"/>
              </w:rPr>
              <w:t>餐厨垃圾</w:t>
            </w:r>
          </w:p>
        </w:tc>
        <w:tc>
          <w:tcPr>
            <w:tcW w:w="2264" w:type="dxa"/>
            <w:vAlign w:val="top"/>
          </w:tcPr>
          <w:p>
            <w:pPr>
              <w:pStyle w:val="TableText"/>
              <w:ind w:left="826"/>
              <w:spacing w:before="91" w:line="221" w:lineRule="auto"/>
              <w:rPr/>
            </w:pPr>
            <w:r>
              <w:rPr>
                <w:spacing w:val="-2"/>
              </w:rPr>
              <w:t>塑料桶</w:t>
            </w:r>
          </w:p>
        </w:tc>
        <w:tc>
          <w:tcPr>
            <w:tcW w:w="3744" w:type="dxa"/>
            <w:vAlign w:val="top"/>
          </w:tcPr>
          <w:p>
            <w:pPr>
              <w:pStyle w:val="TableText"/>
              <w:ind w:left="408"/>
              <w:spacing w:before="91" w:line="221" w:lineRule="auto"/>
              <w:rPr/>
            </w:pPr>
            <w:r>
              <w:rPr>
                <w:spacing w:val="-1"/>
              </w:rPr>
              <w:t>定期交由环卫部门进行统一处理</w:t>
            </w:r>
          </w:p>
        </w:tc>
        <w:tc>
          <w:tcPr>
            <w:tcW w:w="4697" w:type="dxa"/>
            <w:vAlign w:val="top"/>
            <w:vMerge w:val="continue"/>
            <w:tcBorders>
              <w:right w:val="nil"/>
              <w:top w:val="nil"/>
            </w:tcBorders>
          </w:tcPr>
          <w:p>
            <w:pPr>
              <w:rPr>
                <w:rFonts w:ascii="Arial"/>
                <w:sz w:val="21"/>
              </w:rPr>
            </w:pPr>
            <w:r/>
          </w:p>
        </w:tc>
      </w:tr>
      <w:tr>
        <w:trPr>
          <w:trHeight w:val="315" w:hRule="atLeast"/>
        </w:trPr>
        <w:tc>
          <w:tcPr>
            <w:tcW w:w="2883" w:type="dxa"/>
            <w:vAlign w:val="top"/>
            <w:gridSpan w:val="3"/>
            <w:tcBorders>
              <w:left w:val="nil"/>
            </w:tcBorders>
          </w:tcPr>
          <w:p>
            <w:pPr>
              <w:pStyle w:val="TableText"/>
              <w:ind w:left="1035"/>
              <w:spacing w:before="71" w:line="205" w:lineRule="auto"/>
              <w:rPr/>
            </w:pPr>
            <w:r>
              <w:rPr>
                <w:spacing w:val="-2"/>
              </w:rPr>
              <w:t>环境风险</w:t>
            </w:r>
          </w:p>
        </w:tc>
        <w:tc>
          <w:tcPr>
            <w:tcW w:w="6008" w:type="dxa"/>
            <w:vAlign w:val="top"/>
            <w:gridSpan w:val="2"/>
          </w:tcPr>
          <w:p>
            <w:pPr>
              <w:pStyle w:val="TableText"/>
              <w:ind w:left="2380"/>
              <w:spacing w:before="71" w:line="205" w:lineRule="auto"/>
              <w:rPr/>
            </w:pPr>
            <w:r>
              <w:rPr>
                <w:spacing w:val="-2"/>
              </w:rPr>
              <w:t>警示牌、防渗</w:t>
            </w:r>
          </w:p>
        </w:tc>
        <w:tc>
          <w:tcPr>
            <w:tcW w:w="4697" w:type="dxa"/>
            <w:vAlign w:val="top"/>
            <w:tcBorders>
              <w:right w:val="nil"/>
            </w:tcBorders>
          </w:tcPr>
          <w:p>
            <w:pPr>
              <w:pStyle w:val="TableText"/>
              <w:ind w:left="1305"/>
              <w:spacing w:before="71" w:line="205" w:lineRule="auto"/>
              <w:rPr/>
            </w:pPr>
            <w:r>
              <w:rPr>
                <w:spacing w:val="-1"/>
              </w:rPr>
              <w:t>警示牌、满足防渗要求</w:t>
            </w:r>
          </w:p>
        </w:tc>
      </w:tr>
      <w:tr>
        <w:trPr>
          <w:trHeight w:val="318" w:hRule="atLeast"/>
        </w:trPr>
        <w:tc>
          <w:tcPr>
            <w:tcW w:w="2883" w:type="dxa"/>
            <w:vAlign w:val="top"/>
            <w:gridSpan w:val="3"/>
            <w:tcBorders>
              <w:left w:val="nil"/>
            </w:tcBorders>
          </w:tcPr>
          <w:p>
            <w:pPr>
              <w:pStyle w:val="TableText"/>
              <w:ind w:left="721"/>
              <w:spacing w:before="73" w:line="206" w:lineRule="auto"/>
              <w:rPr/>
            </w:pPr>
            <w:r>
              <w:rPr>
                <w:spacing w:val="-1"/>
              </w:rPr>
              <w:t>环境管理与监测</w:t>
            </w:r>
          </w:p>
        </w:tc>
        <w:tc>
          <w:tcPr>
            <w:tcW w:w="6008" w:type="dxa"/>
            <w:vAlign w:val="top"/>
            <w:gridSpan w:val="2"/>
          </w:tcPr>
          <w:p>
            <w:pPr>
              <w:pStyle w:val="TableText"/>
              <w:ind w:left="1642"/>
              <w:spacing w:before="75" w:line="204" w:lineRule="auto"/>
              <w:rPr/>
            </w:pPr>
            <w:r>
              <w:rPr>
                <w:spacing w:val="-1"/>
              </w:rPr>
              <w:t>环境管理档案、环境监测计划</w:t>
            </w:r>
          </w:p>
        </w:tc>
        <w:tc>
          <w:tcPr>
            <w:tcW w:w="4697" w:type="dxa"/>
            <w:vAlign w:val="top"/>
            <w:tcBorders>
              <w:right w:val="nil"/>
            </w:tcBorders>
          </w:tcPr>
          <w:p>
            <w:pPr>
              <w:pStyle w:val="TableText"/>
              <w:ind w:left="987"/>
              <w:spacing w:before="75" w:line="204" w:lineRule="auto"/>
              <w:rPr/>
            </w:pPr>
            <w:r>
              <w:rPr>
                <w:spacing w:val="-1"/>
              </w:rPr>
              <w:t>环境管理档案、环境监测计划</w:t>
            </w:r>
          </w:p>
        </w:tc>
      </w:tr>
      <w:tr>
        <w:trPr>
          <w:trHeight w:val="316" w:hRule="atLeast"/>
        </w:trPr>
        <w:tc>
          <w:tcPr>
            <w:tcW w:w="2883" w:type="dxa"/>
            <w:vAlign w:val="top"/>
            <w:gridSpan w:val="3"/>
            <w:tcBorders>
              <w:left w:val="nil"/>
            </w:tcBorders>
          </w:tcPr>
          <w:p>
            <w:pPr>
              <w:pStyle w:val="TableText"/>
              <w:ind w:left="1248"/>
              <w:spacing w:before="71" w:line="206" w:lineRule="auto"/>
              <w:rPr/>
            </w:pPr>
            <w:r>
              <w:rPr>
                <w:spacing w:val="-2"/>
              </w:rPr>
              <w:t>绿化</w:t>
            </w:r>
          </w:p>
        </w:tc>
        <w:tc>
          <w:tcPr>
            <w:tcW w:w="6008" w:type="dxa"/>
            <w:vAlign w:val="top"/>
            <w:gridSpan w:val="2"/>
          </w:tcPr>
          <w:p>
            <w:pPr>
              <w:pStyle w:val="TableText"/>
              <w:ind w:left="2170"/>
              <w:spacing w:before="73" w:line="204" w:lineRule="auto"/>
              <w:rPr/>
            </w:pPr>
            <w:r>
              <w:rPr>
                <w:spacing w:val="-1"/>
              </w:rPr>
              <w:t>绿化面积及成活率</w:t>
            </w:r>
          </w:p>
        </w:tc>
        <w:tc>
          <w:tcPr>
            <w:tcW w:w="4697" w:type="dxa"/>
            <w:vAlign w:val="top"/>
            <w:tcBorders>
              <w:right w:val="nil"/>
            </w:tcBorders>
          </w:tcPr>
          <w:p>
            <w:pPr>
              <w:pStyle w:val="TableText"/>
              <w:ind w:left="1514"/>
              <w:spacing w:before="73" w:line="204" w:lineRule="auto"/>
              <w:rPr/>
            </w:pPr>
            <w:r>
              <w:rPr>
                <w:spacing w:val="-1"/>
              </w:rPr>
              <w:t>绿化面积及成活率</w:t>
            </w:r>
          </w:p>
        </w:tc>
      </w:tr>
      <w:tr>
        <w:trPr>
          <w:trHeight w:val="339" w:hRule="atLeast"/>
        </w:trPr>
        <w:tc>
          <w:tcPr>
            <w:tcW w:w="2883" w:type="dxa"/>
            <w:vAlign w:val="top"/>
            <w:gridSpan w:val="3"/>
            <w:tcBorders>
              <w:left w:val="nil"/>
              <w:bottom w:val="single" w:color="000000" w:sz="10" w:space="0"/>
            </w:tcBorders>
          </w:tcPr>
          <w:p>
            <w:pPr>
              <w:pStyle w:val="TableText"/>
              <w:ind w:left="827"/>
              <w:spacing w:before="71" w:line="221" w:lineRule="auto"/>
              <w:rPr/>
            </w:pPr>
            <w:r>
              <w:rPr>
                <w:spacing w:val="-1"/>
              </w:rPr>
              <w:t>土壤、地下水</w:t>
            </w:r>
          </w:p>
        </w:tc>
        <w:tc>
          <w:tcPr>
            <w:tcW w:w="6008" w:type="dxa"/>
            <w:vAlign w:val="top"/>
            <w:gridSpan w:val="2"/>
            <w:tcBorders>
              <w:bottom w:val="single" w:color="000000" w:sz="10" w:space="0"/>
            </w:tcBorders>
          </w:tcPr>
          <w:p>
            <w:pPr>
              <w:pStyle w:val="TableText"/>
              <w:ind w:left="73"/>
              <w:spacing w:before="74" w:line="221" w:lineRule="auto"/>
              <w:rPr/>
            </w:pPr>
            <w:r>
              <w:rPr/>
              <w:t>严格控制污水输送管线跑、冒、滴、漏而产生污染</w:t>
            </w:r>
            <w:r>
              <w:rPr>
                <w:spacing w:val="-1"/>
              </w:rPr>
              <w:t>；分区防渗。</w:t>
            </w:r>
          </w:p>
        </w:tc>
        <w:tc>
          <w:tcPr>
            <w:tcW w:w="4697" w:type="dxa"/>
            <w:vAlign w:val="top"/>
            <w:tcBorders>
              <w:right w:val="nil"/>
              <w:bottom w:val="single" w:color="000000" w:sz="10" w:space="0"/>
            </w:tcBorders>
          </w:tcPr>
          <w:p>
            <w:pPr>
              <w:pStyle w:val="TableText"/>
              <w:ind w:left="358"/>
              <w:spacing w:before="74" w:line="221" w:lineRule="auto"/>
              <w:rPr/>
            </w:pPr>
            <w:r>
              <w:rPr>
                <w:spacing w:val="-1"/>
              </w:rPr>
              <w:t>分区防渗，不对土壤、地下水产生不利影响</w:t>
            </w:r>
          </w:p>
        </w:tc>
      </w:tr>
    </w:tbl>
    <w:p>
      <w:pPr>
        <w:pStyle w:val="BodyText"/>
        <w:rPr/>
      </w:pPr>
      <w:r/>
    </w:p>
    <w:p>
      <w:pPr>
        <w:sectPr>
          <w:headerReference w:type="default" r:id="rId198"/>
          <w:footerReference w:type="default" r:id="rId199"/>
          <w:pgSz w:w="16839" w:h="11907"/>
          <w:pgMar w:top="1376" w:right="1630" w:bottom="1235" w:left="1606" w:header="1035" w:footer="990" w:gutter="0"/>
        </w:sectPr>
        <w:rPr/>
      </w:pPr>
    </w:p>
    <w:p>
      <w:pPr>
        <w:pStyle w:val="BodyText"/>
        <w:spacing w:line="241" w:lineRule="auto"/>
        <w:rPr/>
      </w:pPr>
      <w:r/>
    </w:p>
    <w:p>
      <w:pPr>
        <w:pStyle w:val="BodyText"/>
        <w:spacing w:line="242" w:lineRule="auto"/>
        <w:rPr/>
      </w:pPr>
      <w:r/>
    </w:p>
    <w:p>
      <w:pPr>
        <w:pStyle w:val="BodyText"/>
        <w:spacing w:line="242" w:lineRule="auto"/>
        <w:rPr/>
      </w:pPr>
      <w:r/>
    </w:p>
    <w:p>
      <w:pPr>
        <w:ind w:left="106"/>
        <w:spacing w:before="97" w:line="234" w:lineRule="auto"/>
        <w:outlineLvl w:val="0"/>
        <w:rPr>
          <w:rFonts w:ascii="SimSun" w:hAnsi="SimSun" w:eastAsia="SimSun" w:cs="SimSun"/>
          <w:sz w:val="30"/>
          <w:szCs w:val="30"/>
        </w:rPr>
      </w:pPr>
      <w:bookmarkStart w:name="bookmark40" w:id="47"/>
      <w:bookmarkEnd w:id="47"/>
      <w:r>
        <w:rPr>
          <w:rFonts w:ascii="Times New Roman" w:hAnsi="Times New Roman" w:eastAsia="Times New Roman" w:cs="Times New Roman"/>
          <w:sz w:val="30"/>
          <w:szCs w:val="30"/>
          <w:b/>
          <w:bCs/>
          <w:spacing w:val="-3"/>
        </w:rPr>
        <w:t>7.</w:t>
      </w:r>
      <w:r>
        <w:rPr>
          <w:rFonts w:ascii="SimSun" w:hAnsi="SimSun" w:eastAsia="SimSun" w:cs="SimSun"/>
          <w:sz w:val="30"/>
          <w:szCs w:val="30"/>
          <w:b/>
          <w:bCs/>
          <w:spacing w:val="-3"/>
        </w:rPr>
        <w:t>环境影响经济损益分析</w:t>
      </w:r>
    </w:p>
    <w:p>
      <w:pPr>
        <w:pStyle w:val="BodyText"/>
        <w:spacing w:line="445" w:lineRule="auto"/>
        <w:rPr/>
      </w:pPr>
      <w:r/>
    </w:p>
    <w:p>
      <w:pPr>
        <w:ind w:left="104" w:right="72" w:firstLine="420"/>
        <w:spacing w:before="78" w:line="360" w:lineRule="auto"/>
        <w:jc w:val="both"/>
        <w:rPr>
          <w:rFonts w:ascii="SimSun" w:hAnsi="SimSun" w:eastAsia="SimSun" w:cs="SimSun"/>
          <w:sz w:val="24"/>
          <w:szCs w:val="24"/>
        </w:rPr>
      </w:pPr>
      <w:r>
        <w:rPr>
          <w:rFonts w:ascii="SimSun" w:hAnsi="SimSun" w:eastAsia="SimSun" w:cs="SimSun"/>
          <w:sz w:val="24"/>
          <w:szCs w:val="24"/>
          <w:spacing w:val="4"/>
        </w:rPr>
        <w:t>环境影响经济效益分析的目的是运用环境经济学原理，在考虑工程建设与大</w:t>
      </w:r>
      <w:r>
        <w:rPr>
          <w:rFonts w:ascii="SimSun" w:hAnsi="SimSun" w:eastAsia="SimSun" w:cs="SimSun"/>
          <w:sz w:val="24"/>
          <w:szCs w:val="24"/>
          <w:spacing w:val="3"/>
        </w:rPr>
        <w:t>气、水、声、生态、社会环境以及区域社会经济</w:t>
      </w:r>
      <w:r>
        <w:rPr>
          <w:rFonts w:ascii="SimSun" w:hAnsi="SimSun" w:eastAsia="SimSun" w:cs="SimSun"/>
          <w:sz w:val="24"/>
          <w:szCs w:val="24"/>
          <w:spacing w:val="2"/>
        </w:rPr>
        <w:t>的持续、稳定、协调发展的前提</w:t>
      </w:r>
      <w:r>
        <w:rPr>
          <w:rFonts w:ascii="SimSun" w:hAnsi="SimSun" w:eastAsia="SimSun" w:cs="SimSun"/>
          <w:sz w:val="24"/>
          <w:szCs w:val="24"/>
        </w:rPr>
        <w:t>下，运用费用</w:t>
      </w:r>
      <w:r>
        <w:rPr>
          <w:rFonts w:ascii="Times New Roman" w:hAnsi="Times New Roman" w:eastAsia="Times New Roman" w:cs="Times New Roman"/>
          <w:sz w:val="24"/>
          <w:szCs w:val="24"/>
        </w:rPr>
        <w:t>-</w:t>
      </w:r>
      <w:r>
        <w:rPr>
          <w:rFonts w:ascii="SimSun" w:hAnsi="SimSun" w:eastAsia="SimSun" w:cs="SimSun"/>
          <w:sz w:val="24"/>
          <w:szCs w:val="24"/>
        </w:rPr>
        <w:t>效益分析方法，对工程的环境收益和损失进行分析，从环境经济角</w:t>
      </w:r>
      <w:r>
        <w:rPr>
          <w:rFonts w:ascii="SimSun" w:hAnsi="SimSun" w:eastAsia="SimSun" w:cs="SimSun"/>
          <w:sz w:val="24"/>
          <w:szCs w:val="24"/>
          <w:spacing w:val="-4"/>
        </w:rPr>
        <w:t>度评判工程建设的合理性。</w:t>
      </w:r>
    </w:p>
    <w:p>
      <w:pPr>
        <w:ind w:left="105" w:right="69" w:firstLine="419"/>
        <w:spacing w:before="1" w:line="361" w:lineRule="auto"/>
        <w:jc w:val="both"/>
        <w:rPr>
          <w:rFonts w:ascii="SimSun" w:hAnsi="SimSun" w:eastAsia="SimSun" w:cs="SimSun"/>
          <w:sz w:val="24"/>
          <w:szCs w:val="24"/>
        </w:rPr>
      </w:pPr>
      <w:r>
        <w:rPr>
          <w:rFonts w:ascii="SimSun" w:hAnsi="SimSun" w:eastAsia="SimSun" w:cs="SimSun"/>
          <w:sz w:val="24"/>
          <w:szCs w:val="24"/>
          <w:spacing w:val="-3"/>
        </w:rPr>
        <w:t>环境影响带来的经济损失，是由于环境资源的功能遭到了破坏所产生的，环境</w:t>
      </w:r>
      <w:r>
        <w:rPr>
          <w:rFonts w:ascii="SimSun" w:hAnsi="SimSun" w:eastAsia="SimSun" w:cs="SimSun"/>
          <w:sz w:val="24"/>
          <w:szCs w:val="24"/>
          <w:spacing w:val="2"/>
        </w:rPr>
        <w:t>影响带来的经济效益，往往表现在大气、水、声、生态、社会等方面，均难以货</w:t>
      </w:r>
      <w:r>
        <w:rPr>
          <w:rFonts w:ascii="SimSun" w:hAnsi="SimSun" w:eastAsia="SimSun" w:cs="SimSun"/>
          <w:sz w:val="24"/>
          <w:szCs w:val="24"/>
          <w:spacing w:val="2"/>
        </w:rPr>
        <w:t>币量化，因此，对项目环境影响带来的经济损益和经济效益，采用定量和定性描</w:t>
      </w:r>
      <w:r>
        <w:rPr>
          <w:rFonts w:ascii="SimSun" w:hAnsi="SimSun" w:eastAsia="SimSun" w:cs="SimSun"/>
          <w:sz w:val="24"/>
          <w:szCs w:val="24"/>
          <w:spacing w:val="-4"/>
        </w:rPr>
        <w:t>述相结合的方式进行分析。</w:t>
      </w:r>
    </w:p>
    <w:p>
      <w:pPr>
        <w:ind w:left="104"/>
        <w:spacing w:before="254" w:line="233" w:lineRule="auto"/>
        <w:outlineLvl w:val="1"/>
        <w:rPr>
          <w:rFonts w:ascii="SimSun" w:hAnsi="SimSun" w:eastAsia="SimSun" w:cs="SimSun"/>
          <w:sz w:val="24"/>
          <w:szCs w:val="24"/>
        </w:rPr>
      </w:pPr>
      <w:bookmarkStart w:name="bookmark41" w:id="48"/>
      <w:bookmarkEnd w:id="48"/>
      <w:r>
        <w:rPr>
          <w:rFonts w:ascii="Times New Roman" w:hAnsi="Times New Roman" w:eastAsia="Times New Roman" w:cs="Times New Roman"/>
          <w:sz w:val="24"/>
          <w:szCs w:val="24"/>
          <w:b/>
          <w:bCs/>
          <w:spacing w:val="-2"/>
        </w:rPr>
        <w:t>7.1 </w:t>
      </w:r>
      <w:r>
        <w:rPr>
          <w:rFonts w:ascii="SimSun" w:hAnsi="SimSun" w:eastAsia="SimSun" w:cs="SimSun"/>
          <w:sz w:val="24"/>
          <w:szCs w:val="24"/>
          <w:b/>
          <w:bCs/>
          <w:spacing w:val="-2"/>
        </w:rPr>
        <w:t>社会效益分析</w:t>
      </w:r>
    </w:p>
    <w:p>
      <w:pPr>
        <w:pStyle w:val="BodyText"/>
        <w:spacing w:line="345" w:lineRule="auto"/>
        <w:rPr/>
      </w:pPr>
      <w:r/>
    </w:p>
    <w:p>
      <w:pPr>
        <w:ind w:left="104" w:right="68" w:firstLine="455"/>
        <w:spacing w:before="78" w:line="360" w:lineRule="auto"/>
        <w:jc w:val="both"/>
        <w:rPr>
          <w:rFonts w:ascii="SimSun" w:hAnsi="SimSun" w:eastAsia="SimSun" w:cs="SimSun"/>
          <w:sz w:val="24"/>
          <w:szCs w:val="24"/>
        </w:rPr>
      </w:pPr>
      <w:r>
        <w:rPr>
          <w:rFonts w:ascii="SimSun" w:hAnsi="SimSun" w:eastAsia="SimSun" w:cs="SimSun"/>
          <w:sz w:val="24"/>
          <w:szCs w:val="24"/>
          <w:spacing w:val="-4"/>
        </w:rPr>
        <w:t>本项目符合国家三农政策，符合当地畜牧业发展方向，对促进项目区内优势产</w:t>
      </w:r>
      <w:r>
        <w:rPr>
          <w:rFonts w:ascii="SimSun" w:hAnsi="SimSun" w:eastAsia="SimSun" w:cs="SimSun"/>
          <w:sz w:val="24"/>
          <w:szCs w:val="24"/>
          <w:spacing w:val="3"/>
        </w:rPr>
        <w:t>业肉牛养殖基地建设，推进项目区内农业和农村经济结构</w:t>
      </w:r>
      <w:r>
        <w:rPr>
          <w:rFonts w:ascii="SimSun" w:hAnsi="SimSun" w:eastAsia="SimSun" w:cs="SimSun"/>
          <w:sz w:val="24"/>
          <w:szCs w:val="24"/>
          <w:spacing w:val="2"/>
        </w:rPr>
        <w:t>调整，提高农业产业化</w:t>
      </w:r>
      <w:r>
        <w:rPr>
          <w:rFonts w:ascii="SimSun" w:hAnsi="SimSun" w:eastAsia="SimSun" w:cs="SimSun"/>
          <w:sz w:val="24"/>
          <w:szCs w:val="24"/>
          <w:spacing w:val="2"/>
        </w:rPr>
        <w:t>经营水平，促进农民增收，发展现代农业，具有明显辐射带动作用。该项目的提</w:t>
      </w:r>
      <w:r>
        <w:rPr>
          <w:rFonts w:ascii="SimSun" w:hAnsi="SimSun" w:eastAsia="SimSun" w:cs="SimSun"/>
          <w:sz w:val="24"/>
          <w:szCs w:val="24"/>
          <w:spacing w:val="2"/>
        </w:rPr>
        <w:t>出适合农村经济发展，企业经济效益和社会效益好，对提高当地农民人均收入，</w:t>
      </w:r>
      <w:r>
        <w:rPr>
          <w:rFonts w:ascii="SimSun" w:hAnsi="SimSun" w:eastAsia="SimSun" w:cs="SimSun"/>
          <w:sz w:val="24"/>
          <w:szCs w:val="24"/>
          <w:spacing w:val="-2"/>
        </w:rPr>
        <w:t>壮大农村经济实力，推动新农村建设具有十分重要的现实意义。</w:t>
      </w:r>
    </w:p>
    <w:p>
      <w:pPr>
        <w:ind w:left="107" w:right="66" w:firstLine="455"/>
        <w:spacing w:before="3" w:line="358" w:lineRule="auto"/>
        <w:jc w:val="both"/>
        <w:rPr>
          <w:rFonts w:ascii="SimSun" w:hAnsi="SimSun" w:eastAsia="SimSun" w:cs="SimSun"/>
          <w:sz w:val="24"/>
          <w:szCs w:val="24"/>
        </w:rPr>
      </w:pPr>
      <w:r>
        <w:rPr>
          <w:rFonts w:ascii="SimSun" w:hAnsi="SimSun" w:eastAsia="SimSun" w:cs="SimSun"/>
          <w:sz w:val="24"/>
          <w:szCs w:val="24"/>
          <w:spacing w:val="-4"/>
        </w:rPr>
        <w:t>项目实施后给当地的畜牧业带来先进的管理理念和养殖技术。该项目不仅能够</w:t>
      </w:r>
      <w:r>
        <w:rPr>
          <w:rFonts w:ascii="SimSun" w:hAnsi="SimSun" w:eastAsia="SimSun" w:cs="SimSun"/>
          <w:sz w:val="24"/>
          <w:szCs w:val="24"/>
          <w:spacing w:val="-1"/>
        </w:rPr>
        <w:t>直接解决</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10 </w:t>
      </w:r>
      <w:r>
        <w:rPr>
          <w:rFonts w:ascii="SimSun" w:hAnsi="SimSun" w:eastAsia="SimSun" w:cs="SimSun"/>
          <w:sz w:val="24"/>
          <w:szCs w:val="24"/>
          <w:spacing w:val="-1"/>
        </w:rPr>
        <w:t>人的就业，还能够带动当地运</w:t>
      </w:r>
      <w:r>
        <w:rPr>
          <w:rFonts w:ascii="SimSun" w:hAnsi="SimSun" w:eastAsia="SimSun" w:cs="SimSun"/>
          <w:sz w:val="24"/>
          <w:szCs w:val="24"/>
          <w:spacing w:val="-2"/>
        </w:rPr>
        <w:t>输业、种植业等相关行业的发展。项目</w:t>
      </w:r>
      <w:r>
        <w:rPr>
          <w:rFonts w:ascii="SimSun" w:hAnsi="SimSun" w:eastAsia="SimSun" w:cs="SimSun"/>
          <w:sz w:val="24"/>
          <w:szCs w:val="24"/>
          <w:spacing w:val="2"/>
        </w:rPr>
        <w:t>能为当地提供更多的就业机会，有利于和谐社会的建设。由此可见，该项目的建</w:t>
      </w:r>
      <w:r>
        <w:rPr>
          <w:rFonts w:ascii="SimSun" w:hAnsi="SimSun" w:eastAsia="SimSun" w:cs="SimSun"/>
          <w:sz w:val="24"/>
          <w:szCs w:val="24"/>
          <w:spacing w:val="-4"/>
        </w:rPr>
        <w:t>设具有良好的社会效益。</w:t>
      </w:r>
    </w:p>
    <w:p>
      <w:pPr>
        <w:ind w:left="104"/>
        <w:spacing w:before="269" w:line="234" w:lineRule="auto"/>
        <w:outlineLvl w:val="1"/>
        <w:rPr>
          <w:rFonts w:ascii="SimSun" w:hAnsi="SimSun" w:eastAsia="SimSun" w:cs="SimSun"/>
          <w:sz w:val="24"/>
          <w:szCs w:val="24"/>
        </w:rPr>
      </w:pPr>
      <w:bookmarkStart w:name="bookmark42" w:id="49"/>
      <w:bookmarkEnd w:id="49"/>
      <w:r>
        <w:rPr>
          <w:rFonts w:ascii="Times New Roman" w:hAnsi="Times New Roman" w:eastAsia="Times New Roman" w:cs="Times New Roman"/>
          <w:sz w:val="24"/>
          <w:szCs w:val="24"/>
          <w:b/>
          <w:bCs/>
          <w:spacing w:val="-2"/>
        </w:rPr>
        <w:t>7.2 </w:t>
      </w:r>
      <w:r>
        <w:rPr>
          <w:rFonts w:ascii="SimSun" w:hAnsi="SimSun" w:eastAsia="SimSun" w:cs="SimSun"/>
          <w:sz w:val="24"/>
          <w:szCs w:val="24"/>
          <w:b/>
          <w:bCs/>
          <w:spacing w:val="-2"/>
        </w:rPr>
        <w:t>环境效益分析</w:t>
      </w:r>
    </w:p>
    <w:p>
      <w:pPr>
        <w:pStyle w:val="BodyText"/>
        <w:spacing w:line="340" w:lineRule="auto"/>
        <w:rPr/>
      </w:pPr>
      <w:r/>
    </w:p>
    <w:p>
      <w:pPr>
        <w:ind w:left="103" w:right="69" w:firstLine="482"/>
        <w:spacing w:before="79" w:line="361" w:lineRule="auto"/>
        <w:jc w:val="both"/>
        <w:rPr>
          <w:rFonts w:ascii="SimSun" w:hAnsi="SimSun" w:eastAsia="SimSun" w:cs="SimSun"/>
          <w:sz w:val="24"/>
          <w:szCs w:val="24"/>
        </w:rPr>
      </w:pPr>
      <w:r>
        <w:rPr>
          <w:rFonts w:ascii="SimSun" w:hAnsi="SimSun" w:eastAsia="SimSun" w:cs="SimSun"/>
          <w:sz w:val="24"/>
          <w:szCs w:val="24"/>
          <w:spacing w:val="3"/>
        </w:rPr>
        <w:t>本项目为畜禽养殖项目，三废均达标排放，在一定程度上减</w:t>
      </w:r>
      <w:r>
        <w:rPr>
          <w:rFonts w:ascii="SimSun" w:hAnsi="SimSun" w:eastAsia="SimSun" w:cs="SimSun"/>
          <w:sz w:val="24"/>
          <w:szCs w:val="24"/>
          <w:spacing w:val="2"/>
        </w:rPr>
        <w:t>轻了因废弃物弃</w:t>
      </w:r>
      <w:r>
        <w:rPr>
          <w:rFonts w:ascii="SimSun" w:hAnsi="SimSun" w:eastAsia="SimSun" w:cs="SimSun"/>
          <w:sz w:val="24"/>
          <w:szCs w:val="24"/>
          <w:spacing w:val="3"/>
        </w:rPr>
        <w:t>置排放造成的环境污染压力，可降低对水体、土壤</w:t>
      </w:r>
      <w:r>
        <w:rPr>
          <w:rFonts w:ascii="SimSun" w:hAnsi="SimSun" w:eastAsia="SimSun" w:cs="SimSun"/>
          <w:sz w:val="24"/>
          <w:szCs w:val="24"/>
          <w:spacing w:val="2"/>
        </w:rPr>
        <w:t>的污染负荷，可以推动畜牧业</w:t>
      </w:r>
      <w:r>
        <w:rPr>
          <w:rFonts w:ascii="SimSun" w:hAnsi="SimSun" w:eastAsia="SimSun" w:cs="SimSun"/>
          <w:sz w:val="24"/>
          <w:szCs w:val="24"/>
          <w:spacing w:val="2"/>
        </w:rPr>
        <w:t>实现由污染治理型向资源利用型、从种养分离型向种养结合型、从产品提供型向</w:t>
      </w:r>
      <w:r>
        <w:rPr>
          <w:rFonts w:ascii="SimSun" w:hAnsi="SimSun" w:eastAsia="SimSun" w:cs="SimSun"/>
          <w:sz w:val="24"/>
          <w:szCs w:val="24"/>
          <w:spacing w:val="-2"/>
        </w:rPr>
        <w:t>生态建设型的三个历史性转变，环境效益显著。</w:t>
      </w:r>
    </w:p>
    <w:p>
      <w:pPr>
        <w:spacing w:line="361" w:lineRule="auto"/>
        <w:sectPr>
          <w:headerReference w:type="default" r:id="rId177"/>
          <w:footerReference w:type="default" r:id="rId200"/>
          <w:pgSz w:w="11907" w:h="16839"/>
          <w:pgMar w:top="1375" w:right="1631" w:bottom="1235" w:left="1606" w:header="1035" w:footer="992" w:gutter="0"/>
        </w:sectPr>
        <w:rPr>
          <w:rFonts w:ascii="SimSun" w:hAnsi="SimSun" w:eastAsia="SimSun" w:cs="SimSun"/>
          <w:sz w:val="24"/>
          <w:szCs w:val="24"/>
        </w:rPr>
      </w:pPr>
    </w:p>
    <w:p>
      <w:pPr>
        <w:pStyle w:val="BodyText"/>
        <w:spacing w:line="359" w:lineRule="auto"/>
        <w:rPr/>
      </w:pPr>
      <w:r/>
    </w:p>
    <w:p>
      <w:pPr>
        <w:ind w:left="104"/>
        <w:spacing w:before="78" w:line="234" w:lineRule="auto"/>
        <w:outlineLvl w:val="1"/>
        <w:rPr>
          <w:rFonts w:ascii="SimSun" w:hAnsi="SimSun" w:eastAsia="SimSun" w:cs="SimSun"/>
          <w:sz w:val="24"/>
          <w:szCs w:val="24"/>
        </w:rPr>
      </w:pPr>
      <w:bookmarkStart w:name="bookmark43" w:id="50"/>
      <w:bookmarkEnd w:id="50"/>
      <w:r>
        <w:rPr>
          <w:rFonts w:ascii="Times New Roman" w:hAnsi="Times New Roman" w:eastAsia="Times New Roman" w:cs="Times New Roman"/>
          <w:sz w:val="24"/>
          <w:szCs w:val="24"/>
          <w:b/>
          <w:bCs/>
          <w:spacing w:val="-2"/>
        </w:rPr>
        <w:t>7.3 </w:t>
      </w:r>
      <w:r>
        <w:rPr>
          <w:rFonts w:ascii="SimSun" w:hAnsi="SimSun" w:eastAsia="SimSun" w:cs="SimSun"/>
          <w:sz w:val="24"/>
          <w:szCs w:val="24"/>
          <w:b/>
          <w:bCs/>
          <w:spacing w:val="-2"/>
        </w:rPr>
        <w:t>经济效益分析</w:t>
      </w:r>
    </w:p>
    <w:p>
      <w:pPr>
        <w:pStyle w:val="BodyText"/>
        <w:spacing w:line="343" w:lineRule="auto"/>
        <w:rPr/>
      </w:pPr>
      <w:r/>
    </w:p>
    <w:p>
      <w:pPr>
        <w:ind w:left="105" w:right="65" w:firstLine="480"/>
        <w:spacing w:before="78" w:line="354" w:lineRule="auto"/>
        <w:jc w:val="both"/>
        <w:rPr>
          <w:rFonts w:ascii="SimSun" w:hAnsi="SimSun" w:eastAsia="SimSun" w:cs="SimSun"/>
          <w:sz w:val="24"/>
          <w:szCs w:val="24"/>
        </w:rPr>
      </w:pPr>
      <w:r>
        <w:rPr>
          <w:rFonts w:ascii="SimSun" w:hAnsi="SimSun" w:eastAsia="SimSun" w:cs="SimSun"/>
          <w:sz w:val="24"/>
          <w:szCs w:val="24"/>
          <w:spacing w:val="-2"/>
        </w:rPr>
        <w:t>本项目总投资为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330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万元，本项目全部建成后，年出栏</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1200 </w:t>
      </w:r>
      <w:r>
        <w:rPr>
          <w:rFonts w:ascii="SimSun" w:hAnsi="SimSun" w:eastAsia="SimSun" w:cs="SimSun"/>
          <w:sz w:val="24"/>
          <w:szCs w:val="24"/>
          <w:spacing w:val="-2"/>
        </w:rPr>
        <w:t>头肉</w:t>
      </w:r>
      <w:r>
        <w:rPr>
          <w:rFonts w:ascii="SimSun" w:hAnsi="SimSun" w:eastAsia="SimSun" w:cs="SimSun"/>
          <w:sz w:val="24"/>
          <w:szCs w:val="24"/>
          <w:spacing w:val="-3"/>
        </w:rPr>
        <w:t>牛，企业提</w:t>
      </w:r>
      <w:r>
        <w:rPr>
          <w:rFonts w:ascii="SimSun" w:hAnsi="SimSun" w:eastAsia="SimSun" w:cs="SimSun"/>
          <w:sz w:val="24"/>
          <w:szCs w:val="24"/>
          <w:spacing w:val="-4"/>
        </w:rPr>
        <w:t>供，肉牛的净利润为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4"/>
        </w:rPr>
        <w:t>1000 </w:t>
      </w:r>
      <w:r>
        <w:rPr>
          <w:rFonts w:ascii="SimSun" w:hAnsi="SimSun" w:eastAsia="SimSun" w:cs="SimSun"/>
          <w:sz w:val="24"/>
          <w:szCs w:val="24"/>
          <w:spacing w:val="-4"/>
        </w:rPr>
        <w:t>元</w:t>
      </w:r>
      <w:r>
        <w:rPr>
          <w:rFonts w:ascii="Times New Roman" w:hAnsi="Times New Roman" w:eastAsia="Times New Roman" w:cs="Times New Roman"/>
          <w:sz w:val="24"/>
          <w:szCs w:val="24"/>
          <w:spacing w:val="-4"/>
        </w:rPr>
        <w:t>/</w:t>
      </w:r>
      <w:r>
        <w:rPr>
          <w:rFonts w:ascii="SimSun" w:hAnsi="SimSun" w:eastAsia="SimSun" w:cs="SimSun"/>
          <w:sz w:val="24"/>
          <w:szCs w:val="24"/>
          <w:spacing w:val="-4"/>
        </w:rPr>
        <w:t>头，年可获得收入</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120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万元，主要经济指标均</w:t>
      </w:r>
      <w:r>
        <w:rPr>
          <w:rFonts w:ascii="SimSun" w:hAnsi="SimSun" w:eastAsia="SimSun" w:cs="SimSun"/>
          <w:sz w:val="24"/>
          <w:szCs w:val="24"/>
          <w:spacing w:val="-5"/>
        </w:rPr>
        <w:t>高于同</w:t>
      </w:r>
      <w:r>
        <w:rPr>
          <w:rFonts w:ascii="SimSun" w:hAnsi="SimSun" w:eastAsia="SimSun" w:cs="SimSun"/>
          <w:sz w:val="24"/>
          <w:szCs w:val="24"/>
          <w:spacing w:val="-2"/>
        </w:rPr>
        <w:t>行业平均指标，具有一定的抗风险能力，经济效益较好。</w:t>
      </w:r>
    </w:p>
    <w:p>
      <w:pPr>
        <w:ind w:left="104"/>
        <w:spacing w:before="284" w:line="234" w:lineRule="auto"/>
        <w:outlineLvl w:val="1"/>
        <w:rPr>
          <w:rFonts w:ascii="SimSun" w:hAnsi="SimSun" w:eastAsia="SimSun" w:cs="SimSun"/>
          <w:sz w:val="24"/>
          <w:szCs w:val="24"/>
        </w:rPr>
      </w:pPr>
      <w:bookmarkStart w:name="bookmark44" w:id="51"/>
      <w:bookmarkEnd w:id="51"/>
      <w:r>
        <w:rPr>
          <w:rFonts w:ascii="Times New Roman" w:hAnsi="Times New Roman" w:eastAsia="Times New Roman" w:cs="Times New Roman"/>
          <w:sz w:val="24"/>
          <w:szCs w:val="24"/>
          <w:b/>
          <w:bCs/>
          <w:spacing w:val="-2"/>
        </w:rPr>
        <w:t>7.4 </w:t>
      </w:r>
      <w:r>
        <w:rPr>
          <w:rFonts w:ascii="SimSun" w:hAnsi="SimSun" w:eastAsia="SimSun" w:cs="SimSun"/>
          <w:sz w:val="24"/>
          <w:szCs w:val="24"/>
          <w:b/>
          <w:bCs/>
          <w:spacing w:val="-2"/>
        </w:rPr>
        <w:t>损益分析</w:t>
      </w:r>
    </w:p>
    <w:p>
      <w:pPr>
        <w:pStyle w:val="BodyText"/>
        <w:spacing w:line="264" w:lineRule="auto"/>
        <w:rPr/>
      </w:pPr>
      <w:r/>
    </w:p>
    <w:p>
      <w:pPr>
        <w:ind w:left="109" w:right="93" w:firstLine="476"/>
        <w:spacing w:before="78" w:line="359" w:lineRule="auto"/>
        <w:rPr>
          <w:rFonts w:ascii="SimSun" w:hAnsi="SimSun" w:eastAsia="SimSun" w:cs="SimSun"/>
          <w:sz w:val="24"/>
          <w:szCs w:val="24"/>
        </w:rPr>
      </w:pPr>
      <w:r>
        <w:rPr>
          <w:rFonts w:ascii="SimSun" w:hAnsi="SimSun" w:eastAsia="SimSun" w:cs="SimSun"/>
          <w:sz w:val="24"/>
          <w:szCs w:val="24"/>
        </w:rPr>
        <w:t>根据前述，运用费用</w:t>
      </w:r>
      <w:r>
        <w:rPr>
          <w:rFonts w:ascii="Times New Roman" w:hAnsi="Times New Roman" w:eastAsia="Times New Roman" w:cs="Times New Roman"/>
          <w:sz w:val="24"/>
          <w:szCs w:val="24"/>
        </w:rPr>
        <w:t>-</w:t>
      </w:r>
      <w:r>
        <w:rPr>
          <w:rFonts w:ascii="SimSun" w:hAnsi="SimSun" w:eastAsia="SimSun" w:cs="SimSun"/>
          <w:sz w:val="24"/>
          <w:szCs w:val="24"/>
        </w:rPr>
        <w:t>效益分析法对工程的环境效益</w:t>
      </w:r>
      <w:r>
        <w:rPr>
          <w:rFonts w:ascii="SimSun" w:hAnsi="SimSun" w:eastAsia="SimSun" w:cs="SimSun"/>
          <w:sz w:val="24"/>
          <w:szCs w:val="24"/>
          <w:spacing w:val="-1"/>
        </w:rPr>
        <w:t>和损失进行分析。计算运</w:t>
      </w:r>
      <w:r>
        <w:rPr>
          <w:rFonts w:ascii="SimSun" w:hAnsi="SimSun" w:eastAsia="SimSun" w:cs="SimSun"/>
          <w:sz w:val="24"/>
          <w:szCs w:val="24"/>
          <w:spacing w:val="-1"/>
        </w:rPr>
        <w:t>行期按</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20 </w:t>
      </w:r>
      <w:r>
        <w:rPr>
          <w:rFonts w:ascii="SimSun" w:hAnsi="SimSun" w:eastAsia="SimSun" w:cs="SimSun"/>
          <w:sz w:val="24"/>
          <w:szCs w:val="24"/>
          <w:spacing w:val="-1"/>
        </w:rPr>
        <w:t>年计，工程环境影响经济损益分析见表</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2"/>
        </w:rPr>
        <w:t>1</w:t>
      </w:r>
      <w:r>
        <w:rPr>
          <w:rFonts w:ascii="SimSun" w:hAnsi="SimSun" w:eastAsia="SimSun" w:cs="SimSun"/>
          <w:sz w:val="24"/>
          <w:szCs w:val="24"/>
          <w:spacing w:val="-2"/>
        </w:rPr>
        <w:t>。</w:t>
      </w:r>
    </w:p>
    <w:p>
      <w:pPr>
        <w:ind w:left="2348"/>
        <w:spacing w:line="232"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2"/>
        </w:rPr>
        <w:t>7-1      </w:t>
      </w:r>
      <w:r>
        <w:rPr>
          <w:rFonts w:ascii="SimSun" w:hAnsi="SimSun" w:eastAsia="SimSun" w:cs="SimSun"/>
          <w:sz w:val="24"/>
          <w:szCs w:val="24"/>
          <w:b/>
          <w:bCs/>
          <w:spacing w:val="-2"/>
        </w:rPr>
        <w:t>本项目环境影响经济损益分析</w:t>
      </w:r>
    </w:p>
    <w:p>
      <w:pPr>
        <w:spacing w:line="130" w:lineRule="exact"/>
        <w:rPr/>
      </w:pPr>
      <w:r/>
    </w:p>
    <w:tbl>
      <w:tblPr>
        <w:tblStyle w:val="TableNormal"/>
        <w:tblW w:w="8524" w:type="dxa"/>
        <w:tblInd w:w="8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39"/>
        <w:gridCol w:w="2038"/>
        <w:gridCol w:w="1913"/>
        <w:gridCol w:w="1234"/>
      </w:tblGrid>
      <w:tr>
        <w:trPr>
          <w:trHeight w:val="344" w:hRule="atLeast"/>
        </w:trPr>
        <w:tc>
          <w:tcPr>
            <w:tcW w:w="3339" w:type="dxa"/>
            <w:vAlign w:val="top"/>
            <w:tcBorders>
              <w:top w:val="single" w:color="000000" w:sz="10" w:space="0"/>
              <w:left w:val="nil"/>
            </w:tcBorders>
          </w:tcPr>
          <w:p>
            <w:pPr>
              <w:pStyle w:val="TableText"/>
              <w:ind w:left="1481"/>
              <w:spacing w:before="69" w:line="221" w:lineRule="auto"/>
              <w:rPr/>
            </w:pPr>
            <w:r>
              <w:rPr>
                <w:b/>
                <w:bCs/>
                <w:spacing w:val="-8"/>
              </w:rPr>
              <w:t>因素</w:t>
            </w:r>
          </w:p>
        </w:tc>
        <w:tc>
          <w:tcPr>
            <w:tcW w:w="2038" w:type="dxa"/>
            <w:vAlign w:val="top"/>
            <w:tcBorders>
              <w:top w:val="single" w:color="000000" w:sz="10" w:space="0"/>
            </w:tcBorders>
          </w:tcPr>
          <w:p>
            <w:pPr>
              <w:pStyle w:val="TableText"/>
              <w:ind w:left="154"/>
              <w:spacing w:before="69" w:line="221" w:lineRule="auto"/>
              <w:rPr/>
            </w:pPr>
            <w:r>
              <w:rPr>
                <w:b/>
                <w:bCs/>
                <w:spacing w:val="-2"/>
              </w:rPr>
              <w:t>费用（万元</w:t>
            </w:r>
            <w:r>
              <w:rPr>
                <w:b/>
                <w:bCs/>
                <w:spacing w:val="-8"/>
              </w:rPr>
              <w:t>）（</w:t>
            </w:r>
            <w:r>
              <w:rPr>
                <w:rFonts w:ascii="Times New Roman" w:hAnsi="Times New Roman" w:eastAsia="Times New Roman" w:cs="Times New Roman"/>
                <w:b/>
                <w:bCs/>
                <w:spacing w:val="-2"/>
              </w:rPr>
              <w:t>-</w:t>
            </w:r>
            <w:r>
              <w:rPr>
                <w:b/>
                <w:bCs/>
                <w:spacing w:val="-2"/>
              </w:rPr>
              <w:t>）</w:t>
            </w:r>
          </w:p>
        </w:tc>
        <w:tc>
          <w:tcPr>
            <w:tcW w:w="1913" w:type="dxa"/>
            <w:vAlign w:val="top"/>
            <w:tcBorders>
              <w:top w:val="single" w:color="000000" w:sz="10" w:space="0"/>
            </w:tcBorders>
          </w:tcPr>
          <w:p>
            <w:pPr>
              <w:pStyle w:val="TableText"/>
              <w:spacing w:before="70" w:line="232" w:lineRule="auto"/>
              <w:jc w:val="right"/>
              <w:rPr/>
            </w:pPr>
            <w:r>
              <w:rPr>
                <w:b/>
                <w:bCs/>
                <w:spacing w:val="-1"/>
              </w:rPr>
              <w:t>效益（万元</w:t>
            </w:r>
            <w:r>
              <w:rPr>
                <w:b/>
                <w:bCs/>
                <w:spacing w:val="-19"/>
              </w:rPr>
              <w:t>）（</w:t>
            </w:r>
            <w:r>
              <w:rPr>
                <w:rFonts w:ascii="Times New Roman" w:hAnsi="Times New Roman" w:eastAsia="Times New Roman" w:cs="Times New Roman"/>
                <w:b/>
                <w:bCs/>
                <w:spacing w:val="-1"/>
              </w:rPr>
              <w:t>+</w:t>
            </w:r>
            <w:r>
              <w:rPr>
                <w:b/>
                <w:bCs/>
                <w:spacing w:val="-1"/>
              </w:rPr>
              <w:t>）</w:t>
            </w:r>
          </w:p>
        </w:tc>
        <w:tc>
          <w:tcPr>
            <w:tcW w:w="1234" w:type="dxa"/>
            <w:vAlign w:val="top"/>
            <w:tcBorders>
              <w:top w:val="single" w:color="000000" w:sz="10" w:space="0"/>
              <w:right w:val="nil"/>
            </w:tcBorders>
          </w:tcPr>
          <w:p>
            <w:pPr>
              <w:pStyle w:val="TableText"/>
              <w:ind w:left="305"/>
              <w:spacing w:before="69" w:line="222" w:lineRule="auto"/>
              <w:rPr/>
            </w:pPr>
            <w:r>
              <w:rPr>
                <w:b/>
                <w:bCs/>
                <w:spacing w:val="-4"/>
              </w:rPr>
              <w:t>益损比</w:t>
            </w:r>
          </w:p>
        </w:tc>
      </w:tr>
      <w:tr>
        <w:trPr>
          <w:trHeight w:val="341" w:hRule="atLeast"/>
        </w:trPr>
        <w:tc>
          <w:tcPr>
            <w:tcW w:w="3339" w:type="dxa"/>
            <w:vAlign w:val="top"/>
            <w:tcBorders>
              <w:left w:val="nil"/>
            </w:tcBorders>
          </w:tcPr>
          <w:p>
            <w:pPr>
              <w:pStyle w:val="TableText"/>
              <w:ind w:left="118"/>
              <w:spacing w:before="70" w:line="220" w:lineRule="auto"/>
              <w:rPr/>
            </w:pPr>
            <w:r>
              <w:rPr>
                <w:spacing w:val="-1"/>
              </w:rPr>
              <w:t>工程静态投资（含环境保护投资）</w:t>
            </w:r>
          </w:p>
        </w:tc>
        <w:tc>
          <w:tcPr>
            <w:tcW w:w="2038" w:type="dxa"/>
            <w:vAlign w:val="top"/>
          </w:tcPr>
          <w:p>
            <w:pPr>
              <w:ind w:left="829"/>
              <w:spacing w:before="101" w:line="22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-330</w:t>
            </w:r>
          </w:p>
        </w:tc>
        <w:tc>
          <w:tcPr>
            <w:tcW w:w="1913" w:type="dxa"/>
            <w:vAlign w:val="top"/>
          </w:tcPr>
          <w:p>
            <w:pPr>
              <w:ind w:left="928"/>
              <w:spacing w:before="19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34" w:type="dxa"/>
            <w:vAlign w:val="top"/>
            <w:vMerge w:val="restart"/>
            <w:tcBorders>
              <w:bottom w:val="nil"/>
              <w:right w:val="nil"/>
            </w:tcBorders>
          </w:tcPr>
          <w:p>
            <w:pPr>
              <w:spacing w:line="281" w:lineRule="auto"/>
              <w:rPr>
                <w:rFonts w:ascii="Arial"/>
                <w:sz w:val="21"/>
              </w:rPr>
            </w:pPr>
            <w:r/>
          </w:p>
          <w:p>
            <w:pPr>
              <w:spacing w:line="282" w:lineRule="auto"/>
              <w:rPr>
                <w:rFonts w:ascii="Arial"/>
                <w:sz w:val="21"/>
              </w:rPr>
            </w:pPr>
            <w:r/>
          </w:p>
          <w:p>
            <w:pPr>
              <w:ind w:left="434"/>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2.58</w:t>
            </w:r>
          </w:p>
        </w:tc>
      </w:tr>
      <w:tr>
        <w:trPr>
          <w:trHeight w:val="340" w:hRule="atLeast"/>
        </w:trPr>
        <w:tc>
          <w:tcPr>
            <w:tcW w:w="3339" w:type="dxa"/>
            <w:vAlign w:val="top"/>
            <w:tcBorders>
              <w:left w:val="nil"/>
            </w:tcBorders>
          </w:tcPr>
          <w:p>
            <w:pPr>
              <w:pStyle w:val="TableText"/>
              <w:ind w:left="1047"/>
              <w:spacing w:before="73" w:line="221" w:lineRule="auto"/>
              <w:rPr/>
            </w:pPr>
            <w:r>
              <w:rPr>
                <w:spacing w:val="-2"/>
              </w:rPr>
              <w:t>工程运行费用</w:t>
            </w:r>
          </w:p>
        </w:tc>
        <w:tc>
          <w:tcPr>
            <w:tcW w:w="2038" w:type="dxa"/>
            <w:vAlign w:val="top"/>
          </w:tcPr>
          <w:p>
            <w:pPr>
              <w:pStyle w:val="TableText"/>
              <w:ind w:left="671"/>
              <w:spacing w:before="72" w:line="226" w:lineRule="auto"/>
              <w:rPr>
                <w:rFonts w:ascii="Times New Roman" w:hAnsi="Times New Roman" w:eastAsia="Times New Roman" w:cs="Times New Roman"/>
              </w:rPr>
            </w:pPr>
            <w:r>
              <w:rPr>
                <w:rFonts w:ascii="Times New Roman" w:hAnsi="Times New Roman" w:eastAsia="Times New Roman" w:cs="Times New Roman"/>
                <w:spacing w:val="-2"/>
              </w:rPr>
              <w:t>-30</w:t>
            </w:r>
            <w:r>
              <w:rPr>
                <w:spacing w:val="-2"/>
              </w:rPr>
              <w:t>×</w:t>
            </w:r>
            <w:r>
              <w:rPr>
                <w:rFonts w:ascii="Times New Roman" w:hAnsi="Times New Roman" w:eastAsia="Times New Roman" w:cs="Times New Roman"/>
                <w:spacing w:val="-2"/>
              </w:rPr>
              <w:t>20</w:t>
            </w:r>
          </w:p>
        </w:tc>
        <w:tc>
          <w:tcPr>
            <w:tcW w:w="1913" w:type="dxa"/>
            <w:vAlign w:val="top"/>
          </w:tcPr>
          <w:p>
            <w:pPr>
              <w:ind w:left="928"/>
              <w:spacing w:before="196"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234" w:type="dxa"/>
            <w:vAlign w:val="top"/>
            <w:vMerge w:val="continue"/>
            <w:tcBorders>
              <w:bottom w:val="nil"/>
              <w:right w:val="nil"/>
              <w:top w:val="nil"/>
            </w:tcBorders>
          </w:tcPr>
          <w:p>
            <w:pPr>
              <w:rPr>
                <w:rFonts w:ascii="Arial"/>
                <w:sz w:val="21"/>
              </w:rPr>
            </w:pPr>
            <w:r/>
          </w:p>
        </w:tc>
      </w:tr>
      <w:tr>
        <w:trPr>
          <w:trHeight w:val="341" w:hRule="atLeast"/>
        </w:trPr>
        <w:tc>
          <w:tcPr>
            <w:tcW w:w="3339" w:type="dxa"/>
            <w:vAlign w:val="top"/>
            <w:tcBorders>
              <w:left w:val="nil"/>
            </w:tcBorders>
          </w:tcPr>
          <w:p>
            <w:pPr>
              <w:pStyle w:val="TableText"/>
              <w:ind w:left="1257"/>
              <w:spacing w:before="77" w:line="221" w:lineRule="auto"/>
              <w:rPr/>
            </w:pPr>
            <w:r>
              <w:rPr>
                <w:spacing w:val="-2"/>
              </w:rPr>
              <w:t>经营收益</w:t>
            </w:r>
          </w:p>
        </w:tc>
        <w:tc>
          <w:tcPr>
            <w:tcW w:w="2038" w:type="dxa"/>
            <w:vAlign w:val="top"/>
          </w:tcPr>
          <w:p>
            <w:pPr>
              <w:ind w:left="988"/>
              <w:spacing w:before="20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913" w:type="dxa"/>
            <w:vAlign w:val="top"/>
          </w:tcPr>
          <w:p>
            <w:pPr>
              <w:pStyle w:val="TableText"/>
              <w:ind w:left="610"/>
              <w:spacing w:before="78" w:line="222" w:lineRule="auto"/>
              <w:rPr>
                <w:rFonts w:ascii="Times New Roman" w:hAnsi="Times New Roman" w:eastAsia="Times New Roman" w:cs="Times New Roman"/>
              </w:rPr>
            </w:pPr>
            <w:r>
              <w:rPr>
                <w:rFonts w:ascii="Times New Roman" w:hAnsi="Times New Roman" w:eastAsia="Times New Roman" w:cs="Times New Roman"/>
                <w:spacing w:val="-4"/>
              </w:rPr>
              <w:t>120</w:t>
            </w:r>
            <w:r>
              <w:rPr>
                <w:spacing w:val="-4"/>
              </w:rPr>
              <w:t>×</w:t>
            </w:r>
            <w:r>
              <w:rPr>
                <w:rFonts w:ascii="Times New Roman" w:hAnsi="Times New Roman" w:eastAsia="Times New Roman" w:cs="Times New Roman"/>
                <w:spacing w:val="-4"/>
              </w:rPr>
              <w:t>20</w:t>
            </w:r>
          </w:p>
        </w:tc>
        <w:tc>
          <w:tcPr>
            <w:tcW w:w="1234" w:type="dxa"/>
            <w:vAlign w:val="top"/>
            <w:vMerge w:val="continue"/>
            <w:tcBorders>
              <w:bottom w:val="nil"/>
              <w:right w:val="nil"/>
              <w:top w:val="nil"/>
            </w:tcBorders>
          </w:tcPr>
          <w:p>
            <w:pPr>
              <w:rPr>
                <w:rFonts w:ascii="Arial"/>
                <w:sz w:val="21"/>
              </w:rPr>
            </w:pPr>
            <w:r/>
          </w:p>
        </w:tc>
      </w:tr>
      <w:tr>
        <w:trPr>
          <w:trHeight w:val="364" w:hRule="atLeast"/>
        </w:trPr>
        <w:tc>
          <w:tcPr>
            <w:tcW w:w="3339" w:type="dxa"/>
            <w:vAlign w:val="top"/>
            <w:tcBorders>
              <w:bottom w:val="single" w:color="000000" w:sz="10" w:space="0"/>
              <w:left w:val="nil"/>
            </w:tcBorders>
          </w:tcPr>
          <w:p>
            <w:pPr>
              <w:pStyle w:val="TableText"/>
              <w:ind w:left="1465"/>
              <w:spacing w:before="82" w:line="222" w:lineRule="auto"/>
              <w:rPr/>
            </w:pPr>
            <w:r>
              <w:rPr>
                <w:spacing w:val="-2"/>
              </w:rPr>
              <w:t>合计</w:t>
            </w:r>
          </w:p>
        </w:tc>
        <w:tc>
          <w:tcPr>
            <w:tcW w:w="2038" w:type="dxa"/>
            <w:vAlign w:val="top"/>
            <w:tcBorders>
              <w:bottom w:val="single" w:color="000000" w:sz="10" w:space="0"/>
            </w:tcBorders>
          </w:tcPr>
          <w:p>
            <w:pPr>
              <w:ind w:left="829"/>
              <w:spacing w:before="11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-930</w:t>
            </w:r>
          </w:p>
        </w:tc>
        <w:tc>
          <w:tcPr>
            <w:tcW w:w="1913" w:type="dxa"/>
            <w:vAlign w:val="top"/>
            <w:tcBorders>
              <w:bottom w:val="single" w:color="000000" w:sz="10" w:space="0"/>
            </w:tcBorders>
          </w:tcPr>
          <w:p>
            <w:pPr>
              <w:ind w:left="748"/>
              <w:spacing w:before="112"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2400</w:t>
            </w:r>
          </w:p>
        </w:tc>
        <w:tc>
          <w:tcPr>
            <w:tcW w:w="1234" w:type="dxa"/>
            <w:vAlign w:val="top"/>
            <w:vMerge w:val="continue"/>
            <w:tcBorders>
              <w:bottom w:val="single" w:color="000000" w:sz="10" w:space="0"/>
              <w:right w:val="nil"/>
              <w:top w:val="nil"/>
            </w:tcBorders>
          </w:tcPr>
          <w:p>
            <w:pPr>
              <w:rPr>
                <w:rFonts w:ascii="Arial"/>
                <w:sz w:val="21"/>
              </w:rPr>
            </w:pPr>
            <w:r/>
          </w:p>
        </w:tc>
      </w:tr>
    </w:tbl>
    <w:p>
      <w:pPr>
        <w:ind w:left="108" w:right="1" w:firstLine="479"/>
        <w:spacing w:before="112" w:line="361" w:lineRule="auto"/>
        <w:jc w:val="both"/>
        <w:rPr>
          <w:rFonts w:ascii="SimSun" w:hAnsi="SimSun" w:eastAsia="SimSun" w:cs="SimSun"/>
          <w:sz w:val="24"/>
          <w:szCs w:val="24"/>
        </w:rPr>
      </w:pPr>
      <w:r>
        <w:rPr>
          <w:rFonts w:ascii="SimSun" w:hAnsi="SimSun" w:eastAsia="SimSun" w:cs="SimSun"/>
          <w:sz w:val="24"/>
          <w:szCs w:val="24"/>
          <w:spacing w:val="-4"/>
        </w:rPr>
        <w:t>从表</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7-1</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4"/>
        </w:rPr>
        <w:t>中可知，项目对环境的影响有利有弊，环境</w:t>
      </w:r>
      <w:r>
        <w:rPr>
          <w:rFonts w:ascii="SimSun" w:hAnsi="SimSun" w:eastAsia="SimSun" w:cs="SimSun"/>
          <w:sz w:val="24"/>
          <w:szCs w:val="24"/>
          <w:spacing w:val="-5"/>
        </w:rPr>
        <w:t>影响经济损失主要体现在</w:t>
      </w:r>
      <w:r>
        <w:rPr>
          <w:rFonts w:ascii="SimSun" w:hAnsi="SimSun" w:eastAsia="SimSun" w:cs="SimSun"/>
          <w:sz w:val="24"/>
          <w:szCs w:val="24"/>
          <w:spacing w:val="-8"/>
        </w:rPr>
        <w:t>工程建设投入等方面，环境影响经济效益主要体现在肉牛出售方面，益损比为</w:t>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8"/>
        </w:rPr>
        <w:t>2.58</w:t>
      </w:r>
      <w:r>
        <w:rPr>
          <w:rFonts w:ascii="SimSun" w:hAnsi="SimSun" w:eastAsia="SimSun" w:cs="SimSun"/>
          <w:sz w:val="24"/>
          <w:szCs w:val="24"/>
          <w:spacing w:val="-8"/>
        </w:rPr>
        <w:t>，</w:t>
      </w:r>
      <w:r>
        <w:rPr>
          <w:rFonts w:ascii="SimSun" w:hAnsi="SimSun" w:eastAsia="SimSun" w:cs="SimSun"/>
          <w:sz w:val="24"/>
          <w:szCs w:val="24"/>
          <w:spacing w:val="-4"/>
        </w:rPr>
        <w:t>大于</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4"/>
        </w:rPr>
        <w:t>1</w:t>
      </w:r>
      <w:r>
        <w:rPr>
          <w:rFonts w:ascii="SimSun" w:hAnsi="SimSun" w:eastAsia="SimSun" w:cs="SimSun"/>
          <w:sz w:val="24"/>
          <w:szCs w:val="24"/>
          <w:spacing w:val="-4"/>
        </w:rPr>
        <w:t>，说明项目建设在环境经济上是可行的。</w:t>
      </w:r>
    </w:p>
    <w:p>
      <w:pPr>
        <w:spacing w:line="361" w:lineRule="auto"/>
        <w:sectPr>
          <w:footerReference w:type="default" r:id="rId201"/>
          <w:pgSz w:w="11907" w:h="16839"/>
          <w:pgMar w:top="1375" w:right="1631" w:bottom="1235" w:left="1606" w:header="1035" w:footer="990" w:gutter="0"/>
        </w:sectPr>
        <w:rPr>
          <w:rFonts w:ascii="SimSun" w:hAnsi="SimSun" w:eastAsia="SimSun" w:cs="SimSun"/>
          <w:sz w:val="24"/>
          <w:szCs w:val="24"/>
        </w:rPr>
      </w:pPr>
    </w:p>
    <w:p>
      <w:pPr>
        <w:pStyle w:val="BodyText"/>
        <w:spacing w:line="260" w:lineRule="auto"/>
        <w:rPr/>
      </w:pPr>
      <w:r/>
    </w:p>
    <w:p>
      <w:pPr>
        <w:pStyle w:val="BodyText"/>
        <w:spacing w:line="260" w:lineRule="auto"/>
        <w:rPr/>
      </w:pPr>
      <w:r/>
    </w:p>
    <w:p>
      <w:pPr>
        <w:ind w:left="106"/>
        <w:spacing w:before="98" w:line="233" w:lineRule="auto"/>
        <w:outlineLvl w:val="0"/>
        <w:rPr>
          <w:rFonts w:ascii="SimSun" w:hAnsi="SimSun" w:eastAsia="SimSun" w:cs="SimSun"/>
          <w:sz w:val="30"/>
          <w:szCs w:val="30"/>
        </w:rPr>
      </w:pPr>
      <w:bookmarkStart w:name="bookmark45" w:id="52"/>
      <w:bookmarkEnd w:id="52"/>
      <w:r>
        <w:rPr>
          <w:rFonts w:ascii="Times New Roman" w:hAnsi="Times New Roman" w:eastAsia="Times New Roman" w:cs="Times New Roman"/>
          <w:sz w:val="30"/>
          <w:szCs w:val="30"/>
          <w:b/>
          <w:bCs/>
          <w:spacing w:val="-3"/>
        </w:rPr>
        <w:t>8.</w:t>
      </w:r>
      <w:r>
        <w:rPr>
          <w:rFonts w:ascii="SimSun" w:hAnsi="SimSun" w:eastAsia="SimSun" w:cs="SimSun"/>
          <w:sz w:val="30"/>
          <w:szCs w:val="30"/>
          <w:b/>
          <w:bCs/>
          <w:spacing w:val="-3"/>
        </w:rPr>
        <w:t>环境管理与监测计划</w:t>
      </w:r>
    </w:p>
    <w:p>
      <w:pPr>
        <w:pStyle w:val="BodyText"/>
        <w:spacing w:line="369" w:lineRule="auto"/>
        <w:rPr/>
      </w:pPr>
      <w:r/>
    </w:p>
    <w:p>
      <w:pPr>
        <w:ind w:left="106" w:right="3" w:firstLine="508"/>
        <w:spacing w:before="78" w:line="359" w:lineRule="auto"/>
        <w:jc w:val="both"/>
        <w:rPr>
          <w:rFonts w:ascii="SimSun" w:hAnsi="SimSun" w:eastAsia="SimSun" w:cs="SimSun"/>
          <w:sz w:val="24"/>
          <w:szCs w:val="24"/>
        </w:rPr>
      </w:pPr>
      <w:r>
        <w:rPr>
          <w:rFonts w:ascii="SimSun" w:hAnsi="SimSun" w:eastAsia="SimSun" w:cs="SimSun"/>
          <w:sz w:val="24"/>
          <w:szCs w:val="24"/>
          <w:spacing w:val="2"/>
        </w:rPr>
        <w:t>由于建设项目在运行过程中会产生一定数量的污染物</w:t>
      </w:r>
      <w:r>
        <w:rPr>
          <w:rFonts w:ascii="SimSun" w:hAnsi="SimSun" w:eastAsia="SimSun" w:cs="SimSun"/>
          <w:sz w:val="24"/>
          <w:szCs w:val="24"/>
          <w:spacing w:val="1"/>
        </w:rPr>
        <w:t>，对当地水、空气环境</w:t>
      </w:r>
      <w:r>
        <w:rPr>
          <w:rFonts w:ascii="SimSun" w:hAnsi="SimSun" w:eastAsia="SimSun" w:cs="SimSun"/>
          <w:sz w:val="24"/>
          <w:szCs w:val="24"/>
          <w:spacing w:val="-7"/>
        </w:rPr>
        <w:t>质量可能造成一定的影响。因此，</w:t>
      </w:r>
      <w:r>
        <w:rPr>
          <w:rFonts w:ascii="SimSun" w:hAnsi="SimSun" w:eastAsia="SimSun" w:cs="SimSun"/>
          <w:sz w:val="24"/>
          <w:szCs w:val="24"/>
          <w:spacing w:val="59"/>
        </w:rPr>
        <w:t xml:space="preserve"> </w:t>
      </w:r>
      <w:r>
        <w:rPr>
          <w:rFonts w:ascii="SimSun" w:hAnsi="SimSun" w:eastAsia="SimSun" w:cs="SimSun"/>
          <w:sz w:val="24"/>
          <w:szCs w:val="24"/>
          <w:spacing w:val="-7"/>
        </w:rPr>
        <w:t>为保证建设项目的所有环保</w:t>
      </w:r>
      <w:r>
        <w:rPr>
          <w:rFonts w:ascii="SimSun" w:hAnsi="SimSun" w:eastAsia="SimSun" w:cs="SimSun"/>
          <w:sz w:val="24"/>
          <w:szCs w:val="24"/>
          <w:spacing w:val="-8"/>
        </w:rPr>
        <w:t>措施都能正常运行，</w:t>
      </w:r>
      <w:r>
        <w:rPr>
          <w:rFonts w:ascii="SimSun" w:hAnsi="SimSun" w:eastAsia="SimSun" w:cs="SimSun"/>
          <w:sz w:val="24"/>
          <w:szCs w:val="24"/>
          <w:spacing w:val="2"/>
        </w:rPr>
        <w:t>本评价报告根据建设单位拟采取的环境管理和监测的措施，对照有关的标准和规</w:t>
      </w:r>
      <w:r>
        <w:rPr>
          <w:rFonts w:ascii="SimSun" w:hAnsi="SimSun" w:eastAsia="SimSun" w:cs="SimSun"/>
          <w:sz w:val="24"/>
          <w:szCs w:val="24"/>
          <w:spacing w:val="3"/>
        </w:rPr>
        <w:t>范进行评述，提出合理化建议供建设单位参考，并利</w:t>
      </w:r>
      <w:r>
        <w:rPr>
          <w:rFonts w:ascii="SimSun" w:hAnsi="SimSun" w:eastAsia="SimSun" w:cs="SimSun"/>
          <w:sz w:val="24"/>
          <w:szCs w:val="24"/>
          <w:spacing w:val="2"/>
        </w:rPr>
        <w:t>于生态环境主管部门的监督</w:t>
      </w:r>
      <w:r>
        <w:rPr>
          <w:rFonts w:ascii="SimSun" w:hAnsi="SimSun" w:eastAsia="SimSun" w:cs="SimSun"/>
          <w:sz w:val="24"/>
          <w:szCs w:val="24"/>
          <w:spacing w:val="-9"/>
        </w:rPr>
        <w:t>和管理。</w:t>
      </w:r>
    </w:p>
    <w:p>
      <w:pPr>
        <w:ind w:left="104"/>
        <w:spacing w:line="233" w:lineRule="auto"/>
        <w:outlineLvl w:val="1"/>
        <w:rPr>
          <w:rFonts w:ascii="SimSun" w:hAnsi="SimSun" w:eastAsia="SimSun" w:cs="SimSun"/>
          <w:sz w:val="24"/>
          <w:szCs w:val="24"/>
        </w:rPr>
      </w:pPr>
      <w:bookmarkStart w:name="bookmark46" w:id="53"/>
      <w:bookmarkEnd w:id="53"/>
      <w:r>
        <w:rPr>
          <w:rFonts w:ascii="Times New Roman" w:hAnsi="Times New Roman" w:eastAsia="Times New Roman" w:cs="Times New Roman"/>
          <w:sz w:val="24"/>
          <w:szCs w:val="24"/>
          <w:b/>
          <w:bCs/>
          <w:spacing w:val="-2"/>
        </w:rPr>
        <w:t>8.1 </w:t>
      </w:r>
      <w:r>
        <w:rPr>
          <w:rFonts w:ascii="SimSun" w:hAnsi="SimSun" w:eastAsia="SimSun" w:cs="SimSun"/>
          <w:sz w:val="24"/>
          <w:szCs w:val="24"/>
          <w:b/>
          <w:bCs/>
          <w:spacing w:val="-2"/>
        </w:rPr>
        <w:t>环境管理</w:t>
      </w:r>
    </w:p>
    <w:p>
      <w:pPr>
        <w:ind w:left="104"/>
        <w:spacing w:before="162" w:line="233" w:lineRule="auto"/>
        <w:rPr>
          <w:rFonts w:ascii="SimSun" w:hAnsi="SimSun" w:eastAsia="SimSun" w:cs="SimSun"/>
          <w:sz w:val="24"/>
          <w:szCs w:val="24"/>
        </w:rPr>
      </w:pPr>
      <w:r>
        <w:rPr>
          <w:rFonts w:ascii="Times New Roman" w:hAnsi="Times New Roman" w:eastAsia="Times New Roman" w:cs="Times New Roman"/>
          <w:sz w:val="24"/>
          <w:szCs w:val="24"/>
          <w:b/>
          <w:bCs/>
          <w:spacing w:val="-2"/>
        </w:rPr>
        <w:t>8.1.1 </w:t>
      </w:r>
      <w:r>
        <w:rPr>
          <w:rFonts w:ascii="SimSun" w:hAnsi="SimSun" w:eastAsia="SimSun" w:cs="SimSun"/>
          <w:sz w:val="24"/>
          <w:szCs w:val="24"/>
          <w:b/>
          <w:bCs/>
          <w:spacing w:val="-2"/>
        </w:rPr>
        <w:t>施工期环境管理</w:t>
      </w:r>
    </w:p>
    <w:p>
      <w:pPr>
        <w:ind w:left="110"/>
        <w:spacing w:before="164" w:line="233" w:lineRule="auto"/>
        <w:rPr>
          <w:rFonts w:ascii="SimSun" w:hAnsi="SimSun" w:eastAsia="SimSun" w:cs="SimSun"/>
          <w:sz w:val="24"/>
          <w:szCs w:val="24"/>
        </w:rPr>
      </w:pPr>
      <w:r>
        <w:rPr>
          <w:rFonts w:ascii="Times New Roman" w:hAnsi="Times New Roman" w:eastAsia="Times New Roman" w:cs="Times New Roman"/>
          <w:sz w:val="24"/>
          <w:szCs w:val="24"/>
          <w:spacing w:val="-1"/>
        </w:rPr>
        <w:t>8.1.1.1 </w:t>
      </w:r>
      <w:r>
        <w:rPr>
          <w:rFonts w:ascii="SimSun" w:hAnsi="SimSun" w:eastAsia="SimSun" w:cs="SimSun"/>
          <w:sz w:val="24"/>
          <w:szCs w:val="24"/>
          <w:spacing w:val="-1"/>
        </w:rPr>
        <w:t>环境管理机构及职责</w:t>
      </w:r>
    </w:p>
    <w:p>
      <w:pPr>
        <w:ind w:left="106" w:right="77" w:firstLine="481"/>
        <w:spacing w:before="163" w:line="359" w:lineRule="auto"/>
        <w:jc w:val="both"/>
        <w:rPr>
          <w:rFonts w:ascii="SimSun" w:hAnsi="SimSun" w:eastAsia="SimSun" w:cs="SimSun"/>
          <w:sz w:val="24"/>
          <w:szCs w:val="24"/>
        </w:rPr>
      </w:pPr>
      <w:r>
        <w:rPr>
          <w:rFonts w:ascii="SimSun" w:hAnsi="SimSun" w:eastAsia="SimSun" w:cs="SimSun"/>
          <w:sz w:val="24"/>
          <w:szCs w:val="24"/>
          <w:spacing w:val="2"/>
        </w:rPr>
        <w:t>建设施工单位应设立内部环境保护管理机构（由施工单位主要负责人及专业</w:t>
      </w:r>
      <w:r>
        <w:rPr>
          <w:rFonts w:ascii="SimSun" w:hAnsi="SimSun" w:eastAsia="SimSun" w:cs="SimSun"/>
          <w:sz w:val="24"/>
          <w:szCs w:val="24"/>
          <w:spacing w:val="2"/>
        </w:rPr>
        <w:t>技术人员组成</w:t>
      </w:r>
      <w:r>
        <w:rPr>
          <w:rFonts w:ascii="SimSun" w:hAnsi="SimSun" w:eastAsia="SimSun" w:cs="SimSun"/>
          <w:sz w:val="24"/>
          <w:szCs w:val="24"/>
          <w:spacing w:val="9"/>
        </w:rPr>
        <w:t>），</w:t>
      </w:r>
      <w:r>
        <w:rPr>
          <w:rFonts w:ascii="SimSun" w:hAnsi="SimSun" w:eastAsia="SimSun" w:cs="SimSun"/>
          <w:sz w:val="24"/>
          <w:szCs w:val="24"/>
          <w:spacing w:val="2"/>
        </w:rPr>
        <w:t>专人负责环境保护工作，实行定岗定员，落实岗位责任制</w:t>
      </w:r>
      <w:r>
        <w:rPr>
          <w:rFonts w:ascii="SimSun" w:hAnsi="SimSun" w:eastAsia="SimSun" w:cs="SimSun"/>
          <w:sz w:val="24"/>
          <w:szCs w:val="24"/>
          <w:spacing w:val="1"/>
        </w:rPr>
        <w:t>，负</w:t>
      </w:r>
      <w:r>
        <w:rPr>
          <w:rFonts w:ascii="SimSun" w:hAnsi="SimSun" w:eastAsia="SimSun" w:cs="SimSun"/>
          <w:sz w:val="24"/>
          <w:szCs w:val="24"/>
          <w:spacing w:val="2"/>
        </w:rPr>
        <w:t>责各施工工序的环境保护管理，保证施工期各项环境保护对策措施的落实。建设</w:t>
      </w:r>
      <w:r>
        <w:rPr>
          <w:rFonts w:ascii="SimSun" w:hAnsi="SimSun" w:eastAsia="SimSun" w:cs="SimSun"/>
          <w:sz w:val="24"/>
          <w:szCs w:val="24"/>
          <w:spacing w:val="-2"/>
        </w:rPr>
        <w:t>单位应负责对施工单位的环境管理工作进行监督。</w:t>
      </w:r>
    </w:p>
    <w:p>
      <w:pPr>
        <w:ind w:left="588"/>
        <w:spacing w:before="1" w:line="218" w:lineRule="auto"/>
        <w:rPr>
          <w:rFonts w:ascii="SimSun" w:hAnsi="SimSun" w:eastAsia="SimSun" w:cs="SimSun"/>
          <w:sz w:val="24"/>
          <w:szCs w:val="24"/>
        </w:rPr>
      </w:pPr>
      <w:r>
        <w:rPr>
          <w:rFonts w:ascii="SimSun" w:hAnsi="SimSun" w:eastAsia="SimSun" w:cs="SimSun"/>
          <w:sz w:val="24"/>
          <w:szCs w:val="24"/>
          <w:spacing w:val="-3"/>
        </w:rPr>
        <w:t>建设施工单位环境保护管理机构应明确如下责任：</w:t>
      </w:r>
    </w:p>
    <w:p>
      <w:pPr>
        <w:ind w:left="105" w:right="77" w:firstLine="486"/>
        <w:spacing w:before="182" w:line="31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）及时将国家、地方与项目环境保护有关的法律、法规</w:t>
      </w:r>
      <w:r>
        <w:rPr>
          <w:rFonts w:ascii="SimSun" w:hAnsi="SimSun" w:eastAsia="SimSun" w:cs="SimSun"/>
          <w:sz w:val="24"/>
          <w:szCs w:val="24"/>
          <w:spacing w:val="-2"/>
        </w:rPr>
        <w:t>和其它要求向施工</w:t>
      </w:r>
      <w:r>
        <w:rPr>
          <w:rFonts w:ascii="SimSun" w:hAnsi="SimSun" w:eastAsia="SimSun" w:cs="SimSun"/>
          <w:sz w:val="24"/>
          <w:szCs w:val="24"/>
          <w:spacing w:val="2"/>
        </w:rPr>
        <w:t>单位负责人汇报，及时向施工单位相关机构、人员进行通报，组织施工人员进行</w:t>
      </w:r>
      <w:r>
        <w:rPr>
          <w:rFonts w:ascii="SimSun" w:hAnsi="SimSun" w:eastAsia="SimSun" w:cs="SimSun"/>
          <w:sz w:val="24"/>
          <w:szCs w:val="24"/>
          <w:spacing w:val="-3"/>
        </w:rPr>
        <w:t>环境保护方面的教育、培训，提高环保意识。</w:t>
      </w:r>
    </w:p>
    <w:p>
      <w:pPr>
        <w:ind w:left="125" w:right="78" w:firstLine="466"/>
        <w:spacing w:before="180"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）及时向单位负责人汇报与本项目施工有关的污染因</w:t>
      </w:r>
      <w:r>
        <w:rPr>
          <w:rFonts w:ascii="SimSun" w:hAnsi="SimSun" w:eastAsia="SimSun" w:cs="SimSun"/>
          <w:sz w:val="24"/>
          <w:szCs w:val="24"/>
          <w:spacing w:val="-2"/>
        </w:rPr>
        <w:t>素、存在问题、采取</w:t>
      </w:r>
      <w:r>
        <w:rPr>
          <w:rFonts w:ascii="SimSun" w:hAnsi="SimSun" w:eastAsia="SimSun" w:cs="SimSun"/>
          <w:sz w:val="24"/>
          <w:szCs w:val="24"/>
          <w:spacing w:val="-3"/>
        </w:rPr>
        <w:t>的污染控制对策、实施情况等，提出改进建议。</w:t>
      </w:r>
    </w:p>
    <w:p>
      <w:pPr>
        <w:ind w:left="104" w:right="68" w:firstLine="487"/>
        <w:spacing w:before="178" w:line="314"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3</w:t>
      </w:r>
      <w:r>
        <w:rPr>
          <w:rFonts w:ascii="SimSun" w:hAnsi="SimSun" w:eastAsia="SimSun" w:cs="SimSun"/>
          <w:sz w:val="24"/>
          <w:szCs w:val="24"/>
          <w:spacing w:val="-7"/>
        </w:rPr>
        <w:t>）负责制定、监督、落实有关环境保护管理规章制度，</w:t>
      </w:r>
      <w:r>
        <w:rPr>
          <w:rFonts w:ascii="SimSun" w:hAnsi="SimSun" w:eastAsia="SimSun" w:cs="SimSun"/>
          <w:sz w:val="24"/>
          <w:szCs w:val="24"/>
          <w:spacing w:val="85"/>
        </w:rPr>
        <w:t xml:space="preserve"> </w:t>
      </w:r>
      <w:r>
        <w:rPr>
          <w:rFonts w:ascii="SimSun" w:hAnsi="SimSun" w:eastAsia="SimSun" w:cs="SimSun"/>
          <w:sz w:val="24"/>
          <w:szCs w:val="24"/>
          <w:spacing w:val="-7"/>
        </w:rPr>
        <w:t>负责实施环境保护</w:t>
      </w:r>
      <w:r>
        <w:rPr>
          <w:rFonts w:ascii="SimSun" w:hAnsi="SimSun" w:eastAsia="SimSun" w:cs="SimSun"/>
          <w:sz w:val="24"/>
          <w:szCs w:val="24"/>
          <w:spacing w:val="2"/>
        </w:rPr>
        <w:t>控制措施、管理污染治理设施，并进行详细的记录，以备检查，做到文明施工，</w:t>
      </w:r>
      <w:r>
        <w:rPr>
          <w:rFonts w:ascii="SimSun" w:hAnsi="SimSun" w:eastAsia="SimSun" w:cs="SimSun"/>
          <w:sz w:val="24"/>
          <w:szCs w:val="24"/>
          <w:spacing w:val="-7"/>
        </w:rPr>
        <w:t>保护环境。</w:t>
      </w:r>
    </w:p>
    <w:p>
      <w:pPr>
        <w:ind w:left="105" w:right="77" w:firstLine="486"/>
        <w:spacing w:before="178" w:line="32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）按本报告提出的各项环境保护措施，编制详细施工期</w:t>
      </w:r>
      <w:r>
        <w:rPr>
          <w:rFonts w:ascii="SimSun" w:hAnsi="SimSun" w:eastAsia="SimSun" w:cs="SimSun"/>
          <w:sz w:val="24"/>
          <w:szCs w:val="24"/>
          <w:spacing w:val="-2"/>
        </w:rPr>
        <w:t>环境保护措施落实</w:t>
      </w:r>
      <w:r>
        <w:rPr>
          <w:rFonts w:ascii="SimSun" w:hAnsi="SimSun" w:eastAsia="SimSun" w:cs="SimSun"/>
          <w:sz w:val="24"/>
          <w:szCs w:val="24"/>
          <w:spacing w:val="2"/>
        </w:rPr>
        <w:t>计划，明确各施工工序的施工场地位置、环境影响、环境保护措施、落实责任机</w:t>
      </w:r>
      <w:r>
        <w:rPr>
          <w:rFonts w:ascii="SimSun" w:hAnsi="SimSun" w:eastAsia="SimSun" w:cs="SimSun"/>
          <w:sz w:val="24"/>
          <w:szCs w:val="24"/>
          <w:spacing w:val="2"/>
        </w:rPr>
        <w:t>构（人）等，并将该环境保护计划以书面形式发放给相关人员，以便于各项措施</w:t>
      </w:r>
      <w:r>
        <w:rPr>
          <w:rFonts w:ascii="SimSun" w:hAnsi="SimSun" w:eastAsia="SimSun" w:cs="SimSun"/>
          <w:sz w:val="24"/>
          <w:szCs w:val="24"/>
          <w:spacing w:val="-7"/>
        </w:rPr>
        <w:t>的有效落实。</w:t>
      </w:r>
    </w:p>
    <w:p>
      <w:pPr>
        <w:ind w:left="591"/>
        <w:spacing w:before="178" w:line="233"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5</w:t>
      </w:r>
      <w:r>
        <w:rPr>
          <w:rFonts w:ascii="SimSun" w:hAnsi="SimSun" w:eastAsia="SimSun" w:cs="SimSun"/>
          <w:sz w:val="24"/>
          <w:szCs w:val="24"/>
          <w:spacing w:val="-7"/>
        </w:rPr>
        <w:t>）做好宣传工作。由于技术条件和施工环境的限制，</w:t>
      </w:r>
      <w:r>
        <w:rPr>
          <w:rFonts w:ascii="SimSun" w:hAnsi="SimSun" w:eastAsia="SimSun" w:cs="SimSun"/>
          <w:sz w:val="24"/>
          <w:szCs w:val="24"/>
          <w:spacing w:val="80"/>
        </w:rPr>
        <w:t xml:space="preserve"> </w:t>
      </w:r>
      <w:r>
        <w:rPr>
          <w:rFonts w:ascii="SimSun" w:hAnsi="SimSun" w:eastAsia="SimSun" w:cs="SimSun"/>
          <w:sz w:val="24"/>
          <w:szCs w:val="24"/>
          <w:spacing w:val="-7"/>
        </w:rPr>
        <w:t>即使采取了相应的控</w:t>
      </w:r>
    </w:p>
    <w:p>
      <w:pPr>
        <w:spacing w:line="233" w:lineRule="auto"/>
        <w:sectPr>
          <w:headerReference w:type="default" r:id="rId90"/>
          <w:footerReference w:type="default" r:id="rId202"/>
          <w:pgSz w:w="11907" w:h="16839"/>
          <w:pgMar w:top="1582" w:right="1631" w:bottom="1235" w:left="1606" w:header="1241" w:footer="992" w:gutter="0"/>
        </w:sectPr>
        <w:rPr>
          <w:rFonts w:ascii="SimSun" w:hAnsi="SimSun" w:eastAsia="SimSun" w:cs="SimSun"/>
          <w:sz w:val="24"/>
          <w:szCs w:val="24"/>
        </w:rPr>
      </w:pPr>
    </w:p>
    <w:p>
      <w:pPr>
        <w:ind w:left="113" w:right="77" w:hanging="7"/>
        <w:spacing w:before="153" w:line="359" w:lineRule="auto"/>
        <w:rPr>
          <w:rFonts w:ascii="SimSun" w:hAnsi="SimSun" w:eastAsia="SimSun" w:cs="SimSun"/>
          <w:sz w:val="24"/>
          <w:szCs w:val="24"/>
        </w:rPr>
      </w:pPr>
      <w:r>
        <w:rPr>
          <w:rFonts w:ascii="SimSun" w:hAnsi="SimSun" w:eastAsia="SimSun" w:cs="SimSun"/>
          <w:sz w:val="24"/>
          <w:szCs w:val="24"/>
          <w:spacing w:val="2"/>
        </w:rPr>
        <w:t>制措施，施工时带来的环境污染仍是避免不了的，因此要向附近的居民及有关对</w:t>
      </w:r>
      <w:r>
        <w:rPr>
          <w:rFonts w:ascii="SimSun" w:hAnsi="SimSun" w:eastAsia="SimSun" w:cs="SimSun"/>
          <w:sz w:val="24"/>
          <w:szCs w:val="24"/>
          <w:spacing w:val="-3"/>
        </w:rPr>
        <w:t>象做好宣传工作，取得理解，克服暂时困难。</w:t>
      </w:r>
    </w:p>
    <w:p>
      <w:pPr>
        <w:ind w:left="591"/>
        <w:spacing w:line="2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）接待群众投诉并派专人限时解决问题，妥善处理附近居民投诉。</w:t>
      </w:r>
    </w:p>
    <w:p>
      <w:pPr>
        <w:ind w:left="110"/>
        <w:spacing w:before="163" w:line="233" w:lineRule="auto"/>
        <w:rPr>
          <w:rFonts w:ascii="SimSun" w:hAnsi="SimSun" w:eastAsia="SimSun" w:cs="SimSun"/>
          <w:sz w:val="24"/>
          <w:szCs w:val="24"/>
        </w:rPr>
      </w:pPr>
      <w:r>
        <w:rPr>
          <w:rFonts w:ascii="Times New Roman" w:hAnsi="Times New Roman" w:eastAsia="Times New Roman" w:cs="Times New Roman"/>
          <w:sz w:val="24"/>
          <w:szCs w:val="24"/>
          <w:spacing w:val="-1"/>
        </w:rPr>
        <w:t>8.1.1.2 </w:t>
      </w:r>
      <w:r>
        <w:rPr>
          <w:rFonts w:ascii="SimSun" w:hAnsi="SimSun" w:eastAsia="SimSun" w:cs="SimSun"/>
          <w:sz w:val="24"/>
          <w:szCs w:val="24"/>
          <w:spacing w:val="-1"/>
        </w:rPr>
        <w:t>施工期环境管理制度</w:t>
      </w:r>
    </w:p>
    <w:p>
      <w:pPr>
        <w:ind w:left="105" w:right="77" w:firstLine="478"/>
        <w:spacing w:before="164" w:line="359" w:lineRule="auto"/>
        <w:jc w:val="both"/>
        <w:rPr>
          <w:rFonts w:ascii="SimSun" w:hAnsi="SimSun" w:eastAsia="SimSun" w:cs="SimSun"/>
          <w:sz w:val="24"/>
          <w:szCs w:val="24"/>
        </w:rPr>
      </w:pPr>
      <w:r>
        <w:rPr>
          <w:rFonts w:ascii="SimSun" w:hAnsi="SimSun" w:eastAsia="SimSun" w:cs="SimSun"/>
          <w:sz w:val="24"/>
          <w:szCs w:val="24"/>
          <w:spacing w:val="2"/>
        </w:rPr>
        <w:t>施工单位及建设单位应建立完善的环境管理体系，健全内部环境管理制度，</w:t>
      </w:r>
      <w:r>
        <w:rPr>
          <w:rFonts w:ascii="SimSun" w:hAnsi="SimSun" w:eastAsia="SimSun" w:cs="SimSun"/>
          <w:sz w:val="24"/>
          <w:szCs w:val="24"/>
          <w:spacing w:val="2"/>
        </w:rPr>
        <w:t>加强日常环境管理工作，对整个施工过程实行全程环境管理，杜绝施工过程中的</w:t>
      </w:r>
      <w:r>
        <w:rPr>
          <w:rFonts w:ascii="SimSun" w:hAnsi="SimSun" w:eastAsia="SimSun" w:cs="SimSun"/>
          <w:sz w:val="24"/>
          <w:szCs w:val="24"/>
          <w:spacing w:val="-3"/>
        </w:rPr>
        <w:t>环境污染事故的发生，保护环境。</w:t>
      </w:r>
    </w:p>
    <w:p>
      <w:pPr>
        <w:ind w:left="110" w:right="66" w:firstLine="481"/>
        <w:spacing w:before="4" w:line="31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）行动计划制定及落实制度：根据本报告提出的环境保护措施和对策，项</w:t>
      </w:r>
      <w:r>
        <w:rPr>
          <w:rFonts w:ascii="SimSun" w:hAnsi="SimSun" w:eastAsia="SimSun" w:cs="SimSun"/>
          <w:sz w:val="24"/>
          <w:szCs w:val="24"/>
          <w:spacing w:val="2"/>
        </w:rPr>
        <w:t>目施工单位应制定出切实可行的环境保护行动计划，将环境保护措施分解落实到</w:t>
      </w:r>
      <w:r>
        <w:rPr>
          <w:rFonts w:ascii="SimSun" w:hAnsi="SimSun" w:eastAsia="SimSun" w:cs="SimSun"/>
          <w:sz w:val="24"/>
          <w:szCs w:val="24"/>
          <w:spacing w:val="-6"/>
        </w:rPr>
        <w:t>具体机构（人）。</w:t>
      </w:r>
    </w:p>
    <w:p>
      <w:pPr>
        <w:ind w:left="108" w:right="66" w:firstLine="483"/>
        <w:spacing w:before="182" w:line="31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）宣传制度：做好环境教育和宣传工作，提高各级施工管理人员和具体施</w:t>
      </w:r>
      <w:r>
        <w:rPr>
          <w:rFonts w:ascii="SimSun" w:hAnsi="SimSun" w:eastAsia="SimSun" w:cs="SimSun"/>
          <w:sz w:val="24"/>
          <w:szCs w:val="24"/>
          <w:spacing w:val="1"/>
        </w:rPr>
        <w:t>工人员的环境保护意识，加强员工对环境污染防治的责任心，</w:t>
      </w:r>
      <w:r>
        <w:rPr>
          <w:rFonts w:ascii="SimSun" w:hAnsi="SimSun" w:eastAsia="SimSun" w:cs="SimSun"/>
          <w:sz w:val="24"/>
          <w:szCs w:val="24"/>
          <w:spacing w:val="-67"/>
        </w:rPr>
        <w:t xml:space="preserve"> </w:t>
      </w:r>
      <w:r>
        <w:rPr>
          <w:rFonts w:ascii="SimSun" w:hAnsi="SimSun" w:eastAsia="SimSun" w:cs="SimSun"/>
          <w:sz w:val="24"/>
          <w:szCs w:val="24"/>
          <w:spacing w:val="1"/>
        </w:rPr>
        <w:t>自觉遵守和执行各</w:t>
      </w:r>
      <w:r>
        <w:rPr>
          <w:rFonts w:ascii="SimSun" w:hAnsi="SimSun" w:eastAsia="SimSun" w:cs="SimSun"/>
          <w:sz w:val="24"/>
          <w:szCs w:val="24"/>
          <w:spacing w:val="-4"/>
        </w:rPr>
        <w:t>项环境保护的规章制度。</w:t>
      </w:r>
    </w:p>
    <w:p>
      <w:pPr>
        <w:ind w:left="105" w:right="67" w:firstLine="486"/>
        <w:spacing w:before="184"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）环境保护设施的管理制度：定期对环境保护设施进行维修和保养，确保</w:t>
      </w:r>
      <w:r>
        <w:rPr>
          <w:rFonts w:ascii="SimSun" w:hAnsi="SimSun" w:eastAsia="SimSun" w:cs="SimSun"/>
          <w:sz w:val="24"/>
          <w:szCs w:val="24"/>
          <w:spacing w:val="-2"/>
        </w:rPr>
        <w:t>环境保护设施的正常运行，防止污染事故的发生。</w:t>
      </w:r>
    </w:p>
    <w:p>
      <w:pPr>
        <w:ind w:left="111" w:right="70" w:firstLine="480"/>
        <w:spacing w:before="182"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）沟通、监督制度：加强与环境保护部门的沟通和联系，主动接受环境主</w:t>
      </w:r>
      <w:r>
        <w:rPr>
          <w:rFonts w:ascii="SimSun" w:hAnsi="SimSun" w:eastAsia="SimSun" w:cs="SimSun"/>
          <w:sz w:val="24"/>
          <w:szCs w:val="24"/>
          <w:spacing w:val="-4"/>
        </w:rPr>
        <w:t>管部门的管理、监督和指导。</w:t>
      </w:r>
    </w:p>
    <w:p>
      <w:pPr>
        <w:ind w:left="110"/>
        <w:spacing w:before="183" w:line="234" w:lineRule="auto"/>
        <w:rPr>
          <w:rFonts w:ascii="SimSun" w:hAnsi="SimSun" w:eastAsia="SimSun" w:cs="SimSun"/>
          <w:sz w:val="24"/>
          <w:szCs w:val="24"/>
        </w:rPr>
      </w:pPr>
      <w:r>
        <w:rPr>
          <w:rFonts w:ascii="Times New Roman" w:hAnsi="Times New Roman" w:eastAsia="Times New Roman" w:cs="Times New Roman"/>
          <w:sz w:val="24"/>
          <w:szCs w:val="24"/>
          <w:spacing w:val="-1"/>
        </w:rPr>
        <w:t>8.1.1.3 </w:t>
      </w:r>
      <w:r>
        <w:rPr>
          <w:rFonts w:ascii="SimSun" w:hAnsi="SimSun" w:eastAsia="SimSun" w:cs="SimSun"/>
          <w:sz w:val="24"/>
          <w:szCs w:val="24"/>
          <w:spacing w:val="-1"/>
        </w:rPr>
        <w:t>施工期环境监理</w:t>
      </w:r>
    </w:p>
    <w:p>
      <w:pPr>
        <w:ind w:left="104" w:right="77" w:firstLine="480"/>
        <w:spacing w:before="163" w:line="359" w:lineRule="auto"/>
        <w:rPr>
          <w:rFonts w:ascii="SimSun" w:hAnsi="SimSun" w:eastAsia="SimSun" w:cs="SimSun"/>
          <w:sz w:val="24"/>
          <w:szCs w:val="24"/>
        </w:rPr>
      </w:pPr>
      <w:r>
        <w:rPr>
          <w:rFonts w:ascii="SimSun" w:hAnsi="SimSun" w:eastAsia="SimSun" w:cs="SimSun"/>
          <w:sz w:val="24"/>
          <w:szCs w:val="24"/>
          <w:spacing w:val="1"/>
        </w:rPr>
        <w:t>执行环境监理制度，启动环境监测机制，把施工期的环境保护工作制度化。</w:t>
      </w:r>
      <w:r>
        <w:rPr>
          <w:rFonts w:ascii="SimSun" w:hAnsi="SimSun" w:eastAsia="SimSun" w:cs="SimSun"/>
          <w:sz w:val="24"/>
          <w:szCs w:val="24"/>
          <w:spacing w:val="2"/>
        </w:rPr>
        <w:t>建设单位可委托具有相应资质的环境监理部门，由专职环境保护监测工程师监督</w:t>
      </w:r>
      <w:r>
        <w:rPr>
          <w:rFonts w:ascii="SimSun" w:hAnsi="SimSun" w:eastAsia="SimSun" w:cs="SimSun"/>
          <w:sz w:val="24"/>
          <w:szCs w:val="24"/>
          <w:spacing w:val="-2"/>
        </w:rPr>
        <w:t>施工单位落实施工期应采取的环境保护措施。环境监理主要工作范围包括：</w:t>
      </w:r>
    </w:p>
    <w:p>
      <w:pPr>
        <w:ind w:left="591"/>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）监督施工单位建立施工环境保护制度；</w:t>
      </w:r>
    </w:p>
    <w:p>
      <w:pPr>
        <w:ind w:left="591"/>
        <w:spacing w:before="162"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）落实施工期污染源监测环境质量监测工作；</w:t>
      </w:r>
    </w:p>
    <w:p>
      <w:pPr>
        <w:ind w:left="109" w:right="67" w:firstLine="482"/>
        <w:spacing w:before="163"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）监督检查施工单位在各个环节落实环境保护措施，纠正可能造成环境污</w:t>
      </w:r>
      <w:r>
        <w:rPr>
          <w:rFonts w:ascii="SimSun" w:hAnsi="SimSun" w:eastAsia="SimSun" w:cs="SimSun"/>
          <w:sz w:val="24"/>
          <w:szCs w:val="24"/>
          <w:spacing w:val="-2"/>
        </w:rPr>
        <w:t>染的施工操作，处理违反环境保护的行为，</w:t>
      </w:r>
      <w:r>
        <w:rPr>
          <w:rFonts w:ascii="SimSun" w:hAnsi="SimSun" w:eastAsia="SimSun" w:cs="SimSun"/>
          <w:sz w:val="24"/>
          <w:szCs w:val="24"/>
          <w:spacing w:val="-3"/>
        </w:rPr>
        <w:t>防范环境污染于未然；</w:t>
      </w:r>
    </w:p>
    <w:p>
      <w:pPr>
        <w:ind w:left="591"/>
        <w:spacing w:before="180"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）配合环境主管部门处理各种原因造成的环境污染事故。</w:t>
      </w:r>
    </w:p>
    <w:p>
      <w:pPr>
        <w:ind w:left="104"/>
        <w:spacing w:before="166" w:line="233" w:lineRule="auto"/>
        <w:rPr>
          <w:rFonts w:ascii="SimSun" w:hAnsi="SimSun" w:eastAsia="SimSun" w:cs="SimSun"/>
          <w:sz w:val="24"/>
          <w:szCs w:val="24"/>
        </w:rPr>
      </w:pPr>
      <w:r>
        <w:rPr>
          <w:rFonts w:ascii="Times New Roman" w:hAnsi="Times New Roman" w:eastAsia="Times New Roman" w:cs="Times New Roman"/>
          <w:sz w:val="24"/>
          <w:szCs w:val="24"/>
          <w:b/>
          <w:bCs/>
          <w:spacing w:val="-4"/>
        </w:rPr>
        <w:t>8.1.2</w:t>
      </w:r>
      <w:r>
        <w:rPr>
          <w:rFonts w:ascii="Times New Roman" w:hAnsi="Times New Roman" w:eastAsia="Times New Roman" w:cs="Times New Roman"/>
          <w:sz w:val="24"/>
          <w:szCs w:val="24"/>
          <w:b/>
          <w:bCs/>
          <w:spacing w:val="27"/>
        </w:rPr>
        <w:t xml:space="preserve"> </w:t>
      </w:r>
      <w:r>
        <w:rPr>
          <w:rFonts w:ascii="SimSun" w:hAnsi="SimSun" w:eastAsia="SimSun" w:cs="SimSun"/>
          <w:sz w:val="24"/>
          <w:szCs w:val="24"/>
          <w:b/>
          <w:bCs/>
          <w:spacing w:val="-4"/>
        </w:rPr>
        <w:t>营运期环境管理</w:t>
      </w:r>
    </w:p>
    <w:p>
      <w:pPr>
        <w:ind w:left="110"/>
        <w:spacing w:before="161" w:line="233" w:lineRule="auto"/>
        <w:rPr>
          <w:rFonts w:ascii="SimSun" w:hAnsi="SimSun" w:eastAsia="SimSun" w:cs="SimSun"/>
          <w:sz w:val="24"/>
          <w:szCs w:val="24"/>
        </w:rPr>
      </w:pPr>
      <w:r>
        <w:rPr>
          <w:rFonts w:ascii="Times New Roman" w:hAnsi="Times New Roman" w:eastAsia="Times New Roman" w:cs="Times New Roman"/>
          <w:sz w:val="24"/>
          <w:szCs w:val="24"/>
          <w:spacing w:val="-1"/>
        </w:rPr>
        <w:t>8.1.2.1 </w:t>
      </w:r>
      <w:r>
        <w:rPr>
          <w:rFonts w:ascii="SimSun" w:hAnsi="SimSun" w:eastAsia="SimSun" w:cs="SimSun"/>
          <w:sz w:val="24"/>
          <w:szCs w:val="24"/>
          <w:spacing w:val="-1"/>
        </w:rPr>
        <w:t>环境管理机构</w:t>
      </w:r>
    </w:p>
    <w:p>
      <w:pPr>
        <w:ind w:left="585"/>
        <w:spacing w:before="165" w:line="220" w:lineRule="auto"/>
        <w:rPr>
          <w:rFonts w:ascii="SimSun" w:hAnsi="SimSun" w:eastAsia="SimSun" w:cs="SimSun"/>
          <w:sz w:val="24"/>
          <w:szCs w:val="24"/>
        </w:rPr>
      </w:pPr>
      <w:r>
        <w:rPr>
          <w:rFonts w:ascii="SimSun" w:hAnsi="SimSun" w:eastAsia="SimSun" w:cs="SimSun"/>
          <w:sz w:val="24"/>
          <w:szCs w:val="24"/>
          <w:spacing w:val="3"/>
        </w:rPr>
        <w:t>环境管理应由公司的主要领导主管负责，根</w:t>
      </w:r>
      <w:r>
        <w:rPr>
          <w:rFonts w:ascii="SimSun" w:hAnsi="SimSun" w:eastAsia="SimSun" w:cs="SimSun"/>
          <w:sz w:val="24"/>
          <w:szCs w:val="24"/>
          <w:spacing w:val="2"/>
        </w:rPr>
        <w:t>据项目的排污特点以及严格的环</w:t>
      </w:r>
    </w:p>
    <w:p>
      <w:pPr>
        <w:spacing w:line="220" w:lineRule="auto"/>
        <w:sectPr>
          <w:footerReference w:type="default" r:id="rId203"/>
          <w:pgSz w:w="11907" w:h="16839"/>
          <w:pgMar w:top="1582" w:right="1631" w:bottom="1235" w:left="1606" w:header="1241" w:footer="992" w:gutter="0"/>
        </w:sectPr>
        <w:rPr>
          <w:rFonts w:ascii="SimSun" w:hAnsi="SimSun" w:eastAsia="SimSun" w:cs="SimSun"/>
          <w:sz w:val="24"/>
          <w:szCs w:val="24"/>
        </w:rPr>
      </w:pPr>
    </w:p>
    <w:p>
      <w:pPr>
        <w:ind w:left="105" w:right="77"/>
        <w:spacing w:before="153" w:line="359" w:lineRule="auto"/>
        <w:rPr>
          <w:rFonts w:ascii="SimSun" w:hAnsi="SimSun" w:eastAsia="SimSun" w:cs="SimSun"/>
          <w:sz w:val="24"/>
          <w:szCs w:val="24"/>
        </w:rPr>
      </w:pPr>
      <w:r>
        <w:rPr>
          <w:rFonts w:ascii="SimSun" w:hAnsi="SimSun" w:eastAsia="SimSun" w:cs="SimSun"/>
          <w:sz w:val="24"/>
          <w:szCs w:val="24"/>
          <w:spacing w:val="2"/>
        </w:rPr>
        <w:t>保要求，设立专门的环境管理部门，配备专职技术人员，实施整个营运期全过程</w:t>
      </w:r>
      <w:r>
        <w:rPr>
          <w:rFonts w:ascii="SimSun" w:hAnsi="SimSun" w:eastAsia="SimSun" w:cs="SimSun"/>
          <w:sz w:val="24"/>
          <w:szCs w:val="24"/>
          <w:spacing w:val="-6"/>
        </w:rPr>
        <w:t>环境管理工作。</w:t>
      </w:r>
    </w:p>
    <w:p>
      <w:pPr>
        <w:ind w:left="585"/>
        <w:spacing w:before="1" w:line="218" w:lineRule="auto"/>
        <w:rPr>
          <w:rFonts w:ascii="SimSun" w:hAnsi="SimSun" w:eastAsia="SimSun" w:cs="SimSun"/>
          <w:sz w:val="24"/>
          <w:szCs w:val="24"/>
        </w:rPr>
      </w:pPr>
      <w:r>
        <w:rPr>
          <w:rFonts w:ascii="SimSun" w:hAnsi="SimSun" w:eastAsia="SimSun" w:cs="SimSun"/>
          <w:sz w:val="24"/>
          <w:szCs w:val="24"/>
          <w:spacing w:val="-5"/>
        </w:rPr>
        <w:t>环境管理机构的职责如下：</w:t>
      </w:r>
    </w:p>
    <w:p>
      <w:pPr>
        <w:ind w:left="105" w:right="66" w:firstLine="486"/>
        <w:spacing w:before="180"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）除负责公司内有关环保工作外，还应接受生态环境行政主管部门领导的</w:t>
      </w:r>
      <w:r>
        <w:rPr>
          <w:rFonts w:ascii="SimSun" w:hAnsi="SimSun" w:eastAsia="SimSun" w:cs="SimSun"/>
          <w:sz w:val="24"/>
          <w:szCs w:val="24"/>
          <w:spacing w:val="-7"/>
        </w:rPr>
        <w:t>检查与监督。</w:t>
      </w:r>
    </w:p>
    <w:p>
      <w:pPr>
        <w:ind w:left="104" w:right="67" w:firstLine="487"/>
        <w:spacing w:before="180" w:line="290"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2</w:t>
      </w:r>
      <w:r>
        <w:rPr>
          <w:rFonts w:ascii="SimSun" w:hAnsi="SimSun" w:eastAsia="SimSun" w:cs="SimSun"/>
          <w:sz w:val="24"/>
          <w:szCs w:val="24"/>
          <w:spacing w:val="-6"/>
        </w:rPr>
        <w:t>）贯彻执行国家和地方颁布的环境保护法规、政策和环境</w:t>
      </w:r>
      <w:r>
        <w:rPr>
          <w:rFonts w:ascii="SimSun" w:hAnsi="SimSun" w:eastAsia="SimSun" w:cs="SimSun"/>
          <w:sz w:val="24"/>
          <w:szCs w:val="24"/>
          <w:spacing w:val="-7"/>
        </w:rPr>
        <w:t>保护标准，</w:t>
      </w:r>
      <w:r>
        <w:rPr>
          <w:rFonts w:ascii="SimSun" w:hAnsi="SimSun" w:eastAsia="SimSun" w:cs="SimSun"/>
          <w:sz w:val="24"/>
          <w:szCs w:val="24"/>
          <w:spacing w:val="59"/>
        </w:rPr>
        <w:t xml:space="preserve"> </w:t>
      </w:r>
      <w:r>
        <w:rPr>
          <w:rFonts w:ascii="SimSun" w:hAnsi="SimSun" w:eastAsia="SimSun" w:cs="SimSun"/>
          <w:sz w:val="24"/>
          <w:szCs w:val="24"/>
          <w:spacing w:val="-7"/>
        </w:rPr>
        <w:t>协助</w:t>
      </w:r>
      <w:r>
        <w:rPr>
          <w:rFonts w:ascii="SimSun" w:hAnsi="SimSun" w:eastAsia="SimSun" w:cs="SimSun"/>
          <w:sz w:val="24"/>
          <w:szCs w:val="24"/>
          <w:spacing w:val="-3"/>
        </w:rPr>
        <w:t>场区领导确定场区环境保护方针、目标。</w:t>
      </w:r>
    </w:p>
    <w:p>
      <w:pPr>
        <w:ind w:left="111" w:right="65" w:firstLine="480"/>
        <w:spacing w:before="179"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）制定全场的环境保护管理的规章制度和实施办法，并监督执行；组织制</w:t>
      </w:r>
      <w:r>
        <w:rPr>
          <w:rFonts w:ascii="SimSun" w:hAnsi="SimSun" w:eastAsia="SimSun" w:cs="SimSun"/>
          <w:sz w:val="24"/>
          <w:szCs w:val="24"/>
          <w:spacing w:val="-2"/>
        </w:rPr>
        <w:t>定场区环境保护规划和年度计划，并组织或监督实施。</w:t>
      </w:r>
    </w:p>
    <w:p>
      <w:pPr>
        <w:ind w:left="88" w:right="65" w:firstLine="503"/>
        <w:spacing w:before="181" w:line="324"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）负责场区环境监测管理工作，制定环境监测计划并组织实施；掌握场区</w:t>
      </w:r>
      <w:r>
        <w:rPr>
          <w:rFonts w:ascii="SimSun" w:hAnsi="SimSun" w:eastAsia="SimSun" w:cs="SimSun"/>
          <w:sz w:val="24"/>
          <w:szCs w:val="24"/>
          <w:spacing w:val="2"/>
        </w:rPr>
        <w:t>“三废</w:t>
      </w:r>
      <w:r>
        <w:rPr>
          <w:rFonts w:ascii="SimSun" w:hAnsi="SimSun" w:eastAsia="SimSun" w:cs="SimSun"/>
          <w:sz w:val="24"/>
          <w:szCs w:val="24"/>
          <w:spacing w:val="-81"/>
        </w:rPr>
        <w:t xml:space="preserve"> </w:t>
      </w:r>
      <w:r>
        <w:rPr>
          <w:rFonts w:ascii="SimSun" w:hAnsi="SimSun" w:eastAsia="SimSun" w:cs="SimSun"/>
          <w:sz w:val="24"/>
          <w:szCs w:val="24"/>
          <w:spacing w:val="2"/>
        </w:rPr>
        <w:t>”排放状况，建立污染源排污档案，按规定向地方生态环境部门汇报排污</w:t>
      </w:r>
      <w:r>
        <w:rPr>
          <w:rFonts w:ascii="SimSun" w:hAnsi="SimSun" w:eastAsia="SimSun" w:cs="SimSun"/>
          <w:sz w:val="24"/>
          <w:szCs w:val="24"/>
          <w:spacing w:val="3"/>
        </w:rPr>
        <w:t>情况及企业年度排污申报登记，并为解决场区重大环境问题和综合治理</w:t>
      </w:r>
      <w:r>
        <w:rPr>
          <w:rFonts w:ascii="SimSun" w:hAnsi="SimSun" w:eastAsia="SimSun" w:cs="SimSun"/>
          <w:sz w:val="24"/>
          <w:szCs w:val="24"/>
          <w:spacing w:val="2"/>
        </w:rPr>
        <w:t>决策提供</w:t>
      </w:r>
      <w:r>
        <w:rPr>
          <w:rFonts w:ascii="SimSun" w:hAnsi="SimSun" w:eastAsia="SimSun" w:cs="SimSun"/>
          <w:sz w:val="24"/>
          <w:szCs w:val="24"/>
          <w:spacing w:val="-7"/>
        </w:rPr>
        <w:t>依据。</w:t>
      </w:r>
    </w:p>
    <w:p>
      <w:pPr>
        <w:ind w:left="105" w:right="66" w:firstLine="486"/>
        <w:spacing w:before="184"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）加强对污染防治设施的监督管理，安排专人负责设施的具体运作，确保</w:t>
      </w:r>
      <w:r>
        <w:rPr>
          <w:rFonts w:ascii="SimSun" w:hAnsi="SimSun" w:eastAsia="SimSun" w:cs="SimSun"/>
          <w:sz w:val="24"/>
          <w:szCs w:val="24"/>
          <w:spacing w:val="-3"/>
        </w:rPr>
        <w:t>环保设施运行正常，保证污染物达标排放。</w:t>
      </w:r>
    </w:p>
    <w:p>
      <w:pPr>
        <w:ind w:left="105" w:right="78" w:firstLine="486"/>
        <w:spacing w:before="183"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6</w:t>
      </w:r>
      <w:r>
        <w:rPr>
          <w:rFonts w:ascii="SimSun" w:hAnsi="SimSun" w:eastAsia="SimSun" w:cs="SimSun"/>
          <w:sz w:val="24"/>
          <w:szCs w:val="24"/>
          <w:spacing w:val="-1"/>
        </w:rPr>
        <w:t>）防范风险事故发生，协助生态环境行政主管部门、</w:t>
      </w:r>
      <w:r>
        <w:rPr>
          <w:rFonts w:ascii="SimSun" w:hAnsi="SimSun" w:eastAsia="SimSun" w:cs="SimSun"/>
          <w:sz w:val="24"/>
          <w:szCs w:val="24"/>
          <w:spacing w:val="-2"/>
        </w:rPr>
        <w:t>生产安全部门处理各</w:t>
      </w:r>
      <w:r>
        <w:rPr>
          <w:rFonts w:ascii="SimSun" w:hAnsi="SimSun" w:eastAsia="SimSun" w:cs="SimSun"/>
          <w:sz w:val="24"/>
          <w:szCs w:val="24"/>
          <w:spacing w:val="-7"/>
        </w:rPr>
        <w:t>种风险事故。</w:t>
      </w:r>
    </w:p>
    <w:p>
      <w:pPr>
        <w:ind w:left="108" w:right="94" w:firstLine="483"/>
        <w:spacing w:before="183" w:line="28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7</w:t>
      </w:r>
      <w:r>
        <w:rPr>
          <w:rFonts w:ascii="SimSun" w:hAnsi="SimSun" w:eastAsia="SimSun" w:cs="SimSun"/>
          <w:sz w:val="24"/>
          <w:szCs w:val="24"/>
          <w:spacing w:val="-2"/>
        </w:rPr>
        <w:t>）开展环保知识教育，组织开展本企业的环保技术培训，提高职工的素质</w:t>
      </w:r>
      <w:r>
        <w:rPr>
          <w:rFonts w:ascii="SimSun" w:hAnsi="SimSun" w:eastAsia="SimSun" w:cs="SimSun"/>
          <w:sz w:val="24"/>
          <w:szCs w:val="24"/>
          <w:spacing w:val="-3"/>
        </w:rPr>
        <w:t>水平，领导和组织本企业的环境监测工作。</w:t>
      </w:r>
    </w:p>
    <w:p>
      <w:pPr>
        <w:ind w:left="110"/>
        <w:spacing w:before="184" w:line="233" w:lineRule="auto"/>
        <w:rPr>
          <w:rFonts w:ascii="SimSun" w:hAnsi="SimSun" w:eastAsia="SimSun" w:cs="SimSun"/>
          <w:sz w:val="24"/>
          <w:szCs w:val="24"/>
        </w:rPr>
      </w:pPr>
      <w:r>
        <w:rPr>
          <w:rFonts w:ascii="Times New Roman" w:hAnsi="Times New Roman" w:eastAsia="Times New Roman" w:cs="Times New Roman"/>
          <w:sz w:val="24"/>
          <w:szCs w:val="24"/>
          <w:spacing w:val="-2"/>
        </w:rPr>
        <w:t>8.1.2.2</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2"/>
        </w:rPr>
        <w:t>营运期环境管理制度</w:t>
      </w:r>
    </w:p>
    <w:p>
      <w:pPr>
        <w:ind w:left="591"/>
        <w:spacing w:before="162"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）排污许可证制度</w:t>
      </w:r>
    </w:p>
    <w:p>
      <w:pPr>
        <w:ind w:left="107" w:right="68" w:firstLine="478"/>
        <w:spacing w:before="164" w:line="350" w:lineRule="auto"/>
        <w:rPr>
          <w:rFonts w:ascii="SimSun" w:hAnsi="SimSun" w:eastAsia="SimSun" w:cs="SimSun"/>
          <w:sz w:val="24"/>
          <w:szCs w:val="24"/>
        </w:rPr>
      </w:pPr>
      <w:r>
        <w:rPr>
          <w:rFonts w:ascii="SimSun" w:hAnsi="SimSun" w:eastAsia="SimSun" w:cs="SimSun"/>
          <w:sz w:val="24"/>
          <w:szCs w:val="24"/>
          <w:spacing w:val="-2"/>
        </w:rPr>
        <w:t>根据《排污许可管理办法（试行）》（部令第</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48</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2"/>
        </w:rPr>
        <w:t>号）中：纳入固定污染源排</w:t>
      </w:r>
      <w:r>
        <w:rPr>
          <w:rFonts w:ascii="SimSun" w:hAnsi="SimSun" w:eastAsia="SimSun" w:cs="SimSun"/>
          <w:sz w:val="24"/>
          <w:szCs w:val="24"/>
          <w:spacing w:val="-2"/>
        </w:rPr>
        <w:t>污许可分类管理名录的企业事业单位和其他生产经营者（以下简称排污单位</w:t>
      </w:r>
      <w:r>
        <w:rPr>
          <w:rFonts w:ascii="SimSun" w:hAnsi="SimSun" w:eastAsia="SimSun" w:cs="SimSun"/>
          <w:sz w:val="24"/>
          <w:szCs w:val="24"/>
          <w:spacing w:val="1"/>
        </w:rPr>
        <w:t>），</w:t>
      </w:r>
    </w:p>
    <w:p>
      <w:pPr>
        <w:ind w:left="105" w:right="172"/>
        <w:spacing w:before="25" w:line="359" w:lineRule="auto"/>
        <w:rPr>
          <w:rFonts w:ascii="SimSun" w:hAnsi="SimSun" w:eastAsia="SimSun" w:cs="SimSun"/>
          <w:sz w:val="24"/>
          <w:szCs w:val="24"/>
        </w:rPr>
      </w:pPr>
      <w:r>
        <w:rPr>
          <w:rFonts w:ascii="SimSun" w:hAnsi="SimSun" w:eastAsia="SimSun" w:cs="SimSun"/>
          <w:sz w:val="24"/>
          <w:szCs w:val="24"/>
        </w:rPr>
        <w:t>应当进行排污许可证的申请。建设单位应当在项目投入生</w:t>
      </w:r>
      <w:r>
        <w:rPr>
          <w:rFonts w:ascii="SimSun" w:hAnsi="SimSun" w:eastAsia="SimSun" w:cs="SimSun"/>
          <w:sz w:val="24"/>
          <w:szCs w:val="24"/>
          <w:spacing w:val="-1"/>
        </w:rPr>
        <w:t>产或使用并产生实际排</w:t>
      </w:r>
      <w:r>
        <w:rPr>
          <w:rFonts w:ascii="SimSun" w:hAnsi="SimSun" w:eastAsia="SimSun" w:cs="SimSun"/>
          <w:sz w:val="24"/>
          <w:szCs w:val="24"/>
        </w:rPr>
        <w:t>污行为之前申请领取排污许可证。依法按照排污许可证</w:t>
      </w:r>
      <w:r>
        <w:rPr>
          <w:rFonts w:ascii="SimSun" w:hAnsi="SimSun" w:eastAsia="SimSun" w:cs="SimSun"/>
          <w:sz w:val="24"/>
          <w:szCs w:val="24"/>
          <w:spacing w:val="-1"/>
        </w:rPr>
        <w:t>申请与核发技术规范提交</w:t>
      </w:r>
      <w:r>
        <w:rPr>
          <w:rFonts w:ascii="SimSun" w:hAnsi="SimSun" w:eastAsia="SimSun" w:cs="SimSun"/>
          <w:sz w:val="24"/>
          <w:szCs w:val="24"/>
        </w:rPr>
        <w:t>排污许可申请，申报排放污染物种类、排放浓度等，测算</w:t>
      </w:r>
      <w:r>
        <w:rPr>
          <w:rFonts w:ascii="SimSun" w:hAnsi="SimSun" w:eastAsia="SimSun" w:cs="SimSun"/>
          <w:sz w:val="24"/>
          <w:szCs w:val="24"/>
          <w:spacing w:val="-1"/>
        </w:rPr>
        <w:t>并申报污染物排放量。</w:t>
      </w:r>
      <w:r>
        <w:rPr>
          <w:rFonts w:ascii="SimSun" w:hAnsi="SimSun" w:eastAsia="SimSun" w:cs="SimSun"/>
          <w:sz w:val="24"/>
          <w:szCs w:val="24"/>
          <w:spacing w:val="-1"/>
        </w:rPr>
        <w:t>建设单位应当严格执行排污许可证的规定，禁</w:t>
      </w:r>
      <w:r>
        <w:rPr>
          <w:rFonts w:ascii="SimSun" w:hAnsi="SimSun" w:eastAsia="SimSun" w:cs="SimSun"/>
          <w:sz w:val="24"/>
          <w:szCs w:val="24"/>
          <w:spacing w:val="-2"/>
        </w:rPr>
        <w:t>止无证排污或不按证排污。</w:t>
      </w:r>
    </w:p>
    <w:p>
      <w:pPr>
        <w:ind w:left="591"/>
        <w:spacing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）验收制度</w:t>
      </w:r>
    </w:p>
    <w:p>
      <w:pPr>
        <w:ind w:left="588"/>
        <w:spacing w:before="164" w:line="220" w:lineRule="auto"/>
        <w:rPr>
          <w:rFonts w:ascii="SimSun" w:hAnsi="SimSun" w:eastAsia="SimSun" w:cs="SimSun"/>
          <w:sz w:val="24"/>
          <w:szCs w:val="24"/>
        </w:rPr>
      </w:pPr>
      <w:r>
        <w:rPr>
          <w:rFonts w:ascii="SimSun" w:hAnsi="SimSun" w:eastAsia="SimSun" w:cs="SimSun"/>
          <w:sz w:val="24"/>
          <w:szCs w:val="24"/>
          <w:spacing w:val="2"/>
        </w:rPr>
        <w:t>建设单位根据《建设项目竣工环境保护验收暂行办法》中华人民共和国环境</w:t>
      </w:r>
    </w:p>
    <w:p>
      <w:pPr>
        <w:spacing w:line="220" w:lineRule="auto"/>
        <w:sectPr>
          <w:footerReference w:type="default" r:id="rId204"/>
          <w:pgSz w:w="11907" w:h="16839"/>
          <w:pgMar w:top="1582" w:right="1631" w:bottom="1235" w:left="1606" w:header="1241" w:footer="992" w:gutter="0"/>
        </w:sectPr>
        <w:rPr>
          <w:rFonts w:ascii="SimSun" w:hAnsi="SimSun" w:eastAsia="SimSun" w:cs="SimSun"/>
          <w:sz w:val="24"/>
          <w:szCs w:val="24"/>
        </w:rPr>
      </w:pPr>
    </w:p>
    <w:p>
      <w:pPr>
        <w:ind w:left="104" w:right="88" w:firstLine="1"/>
        <w:spacing w:before="153" w:line="359" w:lineRule="auto"/>
        <w:jc w:val="both"/>
        <w:rPr>
          <w:rFonts w:ascii="SimSun" w:hAnsi="SimSun" w:eastAsia="SimSun" w:cs="SimSun"/>
          <w:sz w:val="24"/>
          <w:szCs w:val="24"/>
        </w:rPr>
      </w:pPr>
      <w:r>
        <w:rPr>
          <w:rFonts w:ascii="SimSun" w:hAnsi="SimSun" w:eastAsia="SimSun" w:cs="SimSun"/>
          <w:sz w:val="24"/>
          <w:szCs w:val="24"/>
        </w:rPr>
        <w:t>保护部国环规环评［</w:t>
      </w:r>
      <w:r>
        <w:rPr>
          <w:rFonts w:ascii="Times New Roman" w:hAnsi="Times New Roman" w:eastAsia="Times New Roman" w:cs="Times New Roman"/>
          <w:sz w:val="24"/>
          <w:szCs w:val="24"/>
        </w:rPr>
        <w:t>2017]4  </w:t>
      </w:r>
      <w:r>
        <w:rPr>
          <w:rFonts w:ascii="SimSun" w:hAnsi="SimSun" w:eastAsia="SimSun" w:cs="SimSun"/>
          <w:sz w:val="24"/>
          <w:szCs w:val="24"/>
        </w:rPr>
        <w:t>号要求执行验收规定。建设单位是项目竣工环境保护</w:t>
      </w:r>
      <w:r>
        <w:rPr>
          <w:rFonts w:ascii="SimSun" w:hAnsi="SimSun" w:eastAsia="SimSun" w:cs="SimSun"/>
          <w:sz w:val="24"/>
          <w:szCs w:val="24"/>
          <w:spacing w:val="2"/>
        </w:rPr>
        <w:t>验收的责任主体，应组织对配套建设的环境保护设施进行验收，编制验收报告，</w:t>
      </w:r>
      <w:r>
        <w:rPr>
          <w:rFonts w:ascii="SimSun" w:hAnsi="SimSun" w:eastAsia="SimSun" w:cs="SimSun"/>
          <w:sz w:val="24"/>
          <w:szCs w:val="24"/>
          <w:spacing w:val="3"/>
        </w:rPr>
        <w:t>公开相关信息，接受社会监督，确保建设项目需要</w:t>
      </w:r>
      <w:r>
        <w:rPr>
          <w:rFonts w:ascii="SimSun" w:hAnsi="SimSun" w:eastAsia="SimSun" w:cs="SimSun"/>
          <w:sz w:val="24"/>
          <w:szCs w:val="24"/>
          <w:spacing w:val="2"/>
        </w:rPr>
        <w:t>配套建设的环境保护设施与主</w:t>
      </w:r>
      <w:r>
        <w:rPr>
          <w:rFonts w:ascii="SimSun" w:hAnsi="SimSun" w:eastAsia="SimSun" w:cs="SimSun"/>
          <w:sz w:val="24"/>
          <w:szCs w:val="24"/>
          <w:spacing w:val="2"/>
        </w:rPr>
        <w:t>体工程同时投产或者使用，并对验收内容、结论和所公开信息的真实性、准确性</w:t>
      </w:r>
      <w:r>
        <w:rPr>
          <w:rFonts w:ascii="SimSun" w:hAnsi="SimSun" w:eastAsia="SimSun" w:cs="SimSun"/>
          <w:sz w:val="24"/>
          <w:szCs w:val="24"/>
          <w:spacing w:val="-3"/>
        </w:rPr>
        <w:t>和完整性负责，不得在验收过程中弄虚作假。</w:t>
      </w:r>
    </w:p>
    <w:p>
      <w:pPr>
        <w:ind w:left="107" w:right="86" w:firstLine="481"/>
        <w:spacing w:line="359" w:lineRule="auto"/>
        <w:rPr>
          <w:rFonts w:ascii="SimSun" w:hAnsi="SimSun" w:eastAsia="SimSun" w:cs="SimSun"/>
          <w:sz w:val="24"/>
          <w:szCs w:val="24"/>
        </w:rPr>
      </w:pPr>
      <w:r>
        <w:rPr>
          <w:rFonts w:ascii="SimSun" w:hAnsi="SimSun" w:eastAsia="SimSun" w:cs="SimSun"/>
          <w:sz w:val="24"/>
          <w:szCs w:val="24"/>
          <w:spacing w:val="3"/>
        </w:rPr>
        <w:t>项目建成后应严格执行环境污染报告制度，即定期向当</w:t>
      </w:r>
      <w:r>
        <w:rPr>
          <w:rFonts w:ascii="SimSun" w:hAnsi="SimSun" w:eastAsia="SimSun" w:cs="SimSun"/>
          <w:sz w:val="24"/>
          <w:szCs w:val="24"/>
          <w:spacing w:val="2"/>
        </w:rPr>
        <w:t>地生态环境部门报告</w:t>
      </w:r>
      <w:r>
        <w:rPr>
          <w:rFonts w:ascii="SimSun" w:hAnsi="SimSun" w:eastAsia="SimSun" w:cs="SimSun"/>
          <w:sz w:val="24"/>
          <w:szCs w:val="24"/>
          <w:spacing w:val="-1"/>
        </w:rPr>
        <w:t>污染治理设施运行情况、污染物排放情况以及</w:t>
      </w:r>
      <w:r>
        <w:rPr>
          <w:rFonts w:ascii="SimSun" w:hAnsi="SimSun" w:eastAsia="SimSun" w:cs="SimSun"/>
          <w:sz w:val="24"/>
          <w:szCs w:val="24"/>
          <w:spacing w:val="-2"/>
        </w:rPr>
        <w:t>污染事故、污染纠纷等情况。</w:t>
      </w:r>
    </w:p>
    <w:p>
      <w:pPr>
        <w:ind w:left="120" w:right="95" w:firstLine="468"/>
        <w:spacing w:line="360" w:lineRule="auto"/>
        <w:rPr>
          <w:rFonts w:ascii="SimSun" w:hAnsi="SimSun" w:eastAsia="SimSun" w:cs="SimSun"/>
          <w:sz w:val="24"/>
          <w:szCs w:val="24"/>
        </w:rPr>
      </w:pPr>
      <w:r>
        <w:rPr>
          <w:rFonts w:ascii="SimSun" w:hAnsi="SimSun" w:eastAsia="SimSun" w:cs="SimSun"/>
          <w:sz w:val="24"/>
          <w:szCs w:val="24"/>
          <w:spacing w:val="2"/>
        </w:rPr>
        <w:t>企业排污发生重大变化、污染治理设施改变或生产运行计划改变等都必须向</w:t>
      </w:r>
      <w:r>
        <w:rPr>
          <w:rFonts w:ascii="SimSun" w:hAnsi="SimSun" w:eastAsia="SimSun" w:cs="SimSun"/>
          <w:sz w:val="24"/>
          <w:szCs w:val="24"/>
          <w:spacing w:val="-3"/>
        </w:rPr>
        <w:t>当地生态环境部门申报，经审批同意后方可实施。</w:t>
      </w:r>
    </w:p>
    <w:p>
      <w:pPr>
        <w:ind w:left="591"/>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）环境风险应急预案备案制度</w:t>
      </w:r>
    </w:p>
    <w:p>
      <w:pPr>
        <w:ind w:left="105" w:firstLine="481"/>
        <w:spacing w:before="162" w:line="358" w:lineRule="auto"/>
        <w:rPr>
          <w:rFonts w:ascii="SimSun" w:hAnsi="SimSun" w:eastAsia="SimSun" w:cs="SimSun"/>
          <w:sz w:val="24"/>
          <w:szCs w:val="24"/>
        </w:rPr>
      </w:pPr>
      <w:r>
        <w:rPr>
          <w:rFonts w:ascii="SimSun" w:hAnsi="SimSun" w:eastAsia="SimSun" w:cs="SimSun"/>
          <w:sz w:val="24"/>
          <w:szCs w:val="24"/>
          <w:spacing w:val="-2"/>
        </w:rPr>
        <w:t>依据《中华人民共和国突发事件应对法》、《中华人民共和国环境保护法》、</w:t>
      </w:r>
      <w:r>
        <w:rPr>
          <w:rFonts w:ascii="SimSun" w:hAnsi="SimSun" w:eastAsia="SimSun" w:cs="SimSun"/>
          <w:sz w:val="24"/>
          <w:szCs w:val="24"/>
          <w:spacing w:val="6"/>
        </w:rPr>
        <w:t xml:space="preserve"> </w:t>
      </w:r>
      <w:r>
        <w:rPr>
          <w:rFonts w:ascii="SimSun" w:hAnsi="SimSun" w:eastAsia="SimSun" w:cs="SimSun"/>
          <w:sz w:val="24"/>
          <w:szCs w:val="24"/>
          <w:spacing w:val="26"/>
        </w:rPr>
        <w:t>《</w:t>
      </w:r>
      <w:r>
        <w:rPr>
          <w:rFonts w:ascii="SimSun" w:hAnsi="SimSun" w:eastAsia="SimSun" w:cs="SimSun"/>
          <w:sz w:val="24"/>
          <w:szCs w:val="24"/>
          <w:spacing w:val="-28"/>
        </w:rPr>
        <w:t xml:space="preserve"> </w:t>
      </w:r>
      <w:r>
        <w:rPr>
          <w:rFonts w:ascii="SimSun" w:hAnsi="SimSun" w:eastAsia="SimSun" w:cs="SimSun"/>
          <w:sz w:val="24"/>
          <w:szCs w:val="24"/>
          <w:spacing w:val="26"/>
        </w:rPr>
        <w:t>国家突发环境事件应急预案</w:t>
      </w:r>
      <w:r>
        <w:rPr>
          <w:rFonts w:ascii="SimSun" w:hAnsi="SimSun" w:eastAsia="SimSun" w:cs="SimSun"/>
          <w:sz w:val="24"/>
          <w:szCs w:val="24"/>
          <w:spacing w:val="-62"/>
        </w:rPr>
        <w:t xml:space="preserve"> </w:t>
      </w:r>
      <w:r>
        <w:rPr>
          <w:rFonts w:ascii="SimSun" w:hAnsi="SimSun" w:eastAsia="SimSun" w:cs="SimSun"/>
          <w:sz w:val="24"/>
          <w:szCs w:val="24"/>
          <w:spacing w:val="26"/>
        </w:rPr>
        <w:t>》及《</w:t>
      </w:r>
      <w:r>
        <w:rPr>
          <w:rFonts w:ascii="SimSun" w:hAnsi="SimSun" w:eastAsia="SimSun" w:cs="SimSun"/>
          <w:sz w:val="24"/>
          <w:szCs w:val="24"/>
          <w:spacing w:val="-50"/>
        </w:rPr>
        <w:t xml:space="preserve"> </w:t>
      </w:r>
      <w:r>
        <w:rPr>
          <w:rFonts w:ascii="SimSun" w:hAnsi="SimSun" w:eastAsia="SimSun" w:cs="SimSun"/>
          <w:sz w:val="24"/>
          <w:szCs w:val="24"/>
          <w:spacing w:val="26"/>
        </w:rPr>
        <w:t>企业突发环</w:t>
      </w:r>
      <w:r>
        <w:rPr>
          <w:rFonts w:ascii="SimSun" w:hAnsi="SimSun" w:eastAsia="SimSun" w:cs="SimSun"/>
          <w:sz w:val="24"/>
          <w:szCs w:val="24"/>
          <w:spacing w:val="25"/>
        </w:rPr>
        <w:t>境事件风险分级方法</w:t>
      </w:r>
      <w:r>
        <w:rPr>
          <w:rFonts w:ascii="SimSun" w:hAnsi="SimSun" w:eastAsia="SimSun" w:cs="SimSun"/>
          <w:sz w:val="24"/>
          <w:szCs w:val="24"/>
          <w:spacing w:val="-61"/>
        </w:rPr>
        <w:t xml:space="preserve"> </w:t>
      </w:r>
      <w:r>
        <w:rPr>
          <w:rFonts w:ascii="SimSun" w:hAnsi="SimSun" w:eastAsia="SimSun" w:cs="SimSun"/>
          <w:sz w:val="24"/>
          <w:szCs w:val="24"/>
          <w:spacing w:val="25"/>
        </w:rPr>
        <w:t>》</w:t>
      </w:r>
      <w:r>
        <w:rPr>
          <w:rFonts w:ascii="SimSun" w:hAnsi="SimSun" w:eastAsia="SimSun" w:cs="SimSu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3"/>
        </w:rPr>
        <w:t>941-2018</w:t>
      </w:r>
      <w:r>
        <w:rPr>
          <w:rFonts w:ascii="SimSun" w:hAnsi="SimSun" w:eastAsia="SimSun" w:cs="SimSun"/>
          <w:sz w:val="24"/>
          <w:szCs w:val="24"/>
          <w:spacing w:val="3"/>
        </w:rPr>
        <w:t>）等法律法规和有关规定，企业应根</w:t>
      </w:r>
      <w:r>
        <w:rPr>
          <w:rFonts w:ascii="SimSun" w:hAnsi="SimSun" w:eastAsia="SimSun" w:cs="SimSun"/>
          <w:sz w:val="24"/>
          <w:szCs w:val="24"/>
          <w:spacing w:val="2"/>
        </w:rPr>
        <w:t>据企业生产情况编制突发环境</w:t>
      </w:r>
      <w:r>
        <w:rPr>
          <w:rFonts w:ascii="SimSun" w:hAnsi="SimSun" w:eastAsia="SimSun" w:cs="SimSun"/>
          <w:sz w:val="24"/>
          <w:szCs w:val="24"/>
          <w:spacing w:val="-2"/>
        </w:rPr>
        <w:t>事件风险应急预案，并取得相关生态环境部门备案文件。</w:t>
      </w:r>
    </w:p>
    <w:p>
      <w:pPr>
        <w:ind w:left="591"/>
        <w:spacing w:before="4"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）污染处理设施的管理制度</w:t>
      </w:r>
    </w:p>
    <w:p>
      <w:pPr>
        <w:ind w:left="108" w:right="107" w:firstLine="476"/>
        <w:spacing w:before="165" w:line="359" w:lineRule="auto"/>
        <w:rPr>
          <w:rFonts w:ascii="SimSun" w:hAnsi="SimSun" w:eastAsia="SimSun" w:cs="SimSun"/>
          <w:sz w:val="24"/>
          <w:szCs w:val="24"/>
        </w:rPr>
      </w:pPr>
      <w:r>
        <w:rPr>
          <w:rFonts w:ascii="SimSun" w:hAnsi="SimSun" w:eastAsia="SimSun" w:cs="SimSun"/>
          <w:sz w:val="24"/>
          <w:szCs w:val="24"/>
          <w:spacing w:val="2"/>
        </w:rPr>
        <w:t>对污染治理设施和管理必须与生产经营活动一起纳入企业的日常管理中，要</w:t>
      </w:r>
      <w:r>
        <w:rPr>
          <w:rFonts w:ascii="SimSun" w:hAnsi="SimSun" w:eastAsia="SimSun" w:cs="SimSun"/>
          <w:sz w:val="24"/>
          <w:szCs w:val="24"/>
          <w:spacing w:val="-2"/>
        </w:rPr>
        <w:t>建立岗位责任制，制定操作规程，建立管理台</w:t>
      </w:r>
      <w:r>
        <w:rPr>
          <w:rFonts w:ascii="SimSun" w:hAnsi="SimSun" w:eastAsia="SimSun" w:cs="SimSun"/>
          <w:sz w:val="24"/>
          <w:szCs w:val="24"/>
          <w:spacing w:val="-3"/>
        </w:rPr>
        <w:t>账。</w:t>
      </w:r>
    </w:p>
    <w:p>
      <w:pPr>
        <w:ind w:left="591"/>
        <w:spacing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）奖惩制度</w:t>
      </w:r>
    </w:p>
    <w:p>
      <w:pPr>
        <w:ind w:left="107" w:right="95" w:firstLine="481"/>
        <w:spacing w:before="163" w:line="359" w:lineRule="auto"/>
        <w:rPr>
          <w:rFonts w:ascii="SimSun" w:hAnsi="SimSun" w:eastAsia="SimSun" w:cs="SimSun"/>
          <w:sz w:val="24"/>
          <w:szCs w:val="24"/>
        </w:rPr>
      </w:pPr>
      <w:r>
        <w:rPr>
          <w:rFonts w:ascii="SimSun" w:hAnsi="SimSun" w:eastAsia="SimSun" w:cs="SimSun"/>
          <w:sz w:val="24"/>
          <w:szCs w:val="24"/>
          <w:spacing w:val="2"/>
        </w:rPr>
        <w:t>企业应设置环境保护奖惩制度，对爱护环保设施、节能降耗、改善环境者给</w:t>
      </w:r>
      <w:r>
        <w:rPr>
          <w:rFonts w:ascii="SimSun" w:hAnsi="SimSun" w:eastAsia="SimSun" w:cs="SimSun"/>
          <w:sz w:val="24"/>
          <w:szCs w:val="24"/>
          <w:spacing w:val="2"/>
        </w:rPr>
        <w:t>予奖励；对不按环保要求管理，造成环保设施损坏、环境污染和资源、能源浪费</w:t>
      </w:r>
      <w:r>
        <w:rPr>
          <w:rFonts w:ascii="SimSun" w:hAnsi="SimSun" w:eastAsia="SimSun" w:cs="SimSun"/>
          <w:sz w:val="24"/>
          <w:szCs w:val="24"/>
          <w:spacing w:val="-7"/>
        </w:rPr>
        <w:t>者予以重罚。</w:t>
      </w:r>
    </w:p>
    <w:p>
      <w:pPr>
        <w:ind w:left="591"/>
        <w:spacing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）建立和完善档案管理制度</w:t>
      </w:r>
    </w:p>
    <w:p>
      <w:pPr>
        <w:ind w:left="588"/>
        <w:spacing w:before="163" w:line="220" w:lineRule="auto"/>
        <w:rPr>
          <w:rFonts w:ascii="SimSun" w:hAnsi="SimSun" w:eastAsia="SimSun" w:cs="SimSun"/>
          <w:sz w:val="24"/>
          <w:szCs w:val="24"/>
        </w:rPr>
      </w:pPr>
      <w:r>
        <w:rPr>
          <w:rFonts w:ascii="SimSun" w:hAnsi="SimSun" w:eastAsia="SimSun" w:cs="SimSun"/>
          <w:sz w:val="24"/>
          <w:szCs w:val="24"/>
          <w:spacing w:val="-2"/>
        </w:rPr>
        <w:t>建立资料库，管理污染源监测数据及资料的收集与存档。</w:t>
      </w:r>
    </w:p>
    <w:p>
      <w:pPr>
        <w:ind w:left="591"/>
        <w:spacing w:before="182"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）人员培训制度</w:t>
      </w:r>
    </w:p>
    <w:p>
      <w:pPr>
        <w:ind w:left="106" w:right="97" w:firstLine="488"/>
        <w:spacing w:before="165" w:line="360" w:lineRule="auto"/>
        <w:rPr>
          <w:rFonts w:ascii="SimSun" w:hAnsi="SimSun" w:eastAsia="SimSun" w:cs="SimSun"/>
          <w:sz w:val="24"/>
          <w:szCs w:val="24"/>
        </w:rPr>
      </w:pPr>
      <w:r>
        <w:rPr>
          <w:rFonts w:ascii="SimSun" w:hAnsi="SimSun" w:eastAsia="SimSun" w:cs="SimSun"/>
          <w:sz w:val="24"/>
          <w:szCs w:val="24"/>
          <w:spacing w:val="2"/>
        </w:rPr>
        <w:t>公司应对管理人员、技术人员、操作人员进行相关法律法规和专业技术、环</w:t>
      </w:r>
      <w:r>
        <w:rPr>
          <w:rFonts w:ascii="SimSun" w:hAnsi="SimSun" w:eastAsia="SimSun" w:cs="SimSun"/>
          <w:sz w:val="24"/>
          <w:szCs w:val="24"/>
          <w:spacing w:val="-1"/>
        </w:rPr>
        <w:t>境保护、紧急处理等理论知识和操作技能培训。</w:t>
      </w:r>
    </w:p>
    <w:p>
      <w:pPr>
        <w:spacing w:line="360" w:lineRule="auto"/>
        <w:sectPr>
          <w:headerReference w:type="default" r:id="rId114"/>
          <w:footerReference w:type="default" r:id="rId205"/>
          <w:pgSz w:w="11907" w:h="16839"/>
          <w:pgMar w:top="1582" w:right="1613" w:bottom="1235" w:left="1606" w:header="1241" w:footer="992" w:gutter="0"/>
        </w:sectPr>
        <w:rPr>
          <w:rFonts w:ascii="SimSun" w:hAnsi="SimSun" w:eastAsia="SimSun" w:cs="SimSun"/>
          <w:sz w:val="24"/>
          <w:szCs w:val="24"/>
        </w:rPr>
      </w:pPr>
    </w:p>
    <w:p>
      <w:pPr>
        <w:pStyle w:val="BodyText"/>
        <w:spacing w:line="413" w:lineRule="auto"/>
        <w:rPr/>
      </w:pPr>
      <w:r/>
    </w:p>
    <w:p>
      <w:pPr>
        <w:ind w:left="130"/>
        <w:spacing w:before="78" w:line="234" w:lineRule="auto"/>
        <w:outlineLvl w:val="1"/>
        <w:rPr>
          <w:rFonts w:ascii="SimSun" w:hAnsi="SimSun" w:eastAsia="SimSun" w:cs="SimSun"/>
          <w:sz w:val="24"/>
          <w:szCs w:val="24"/>
        </w:rPr>
      </w:pPr>
      <w:bookmarkStart w:name="bookmark47" w:id="54"/>
      <w:bookmarkEnd w:id="54"/>
      <w:r>
        <w:rPr>
          <w:rFonts w:ascii="Times New Roman" w:hAnsi="Times New Roman" w:eastAsia="Times New Roman" w:cs="Times New Roman"/>
          <w:sz w:val="24"/>
          <w:szCs w:val="24"/>
          <w:b/>
          <w:bCs/>
          <w:spacing w:val="-2"/>
        </w:rPr>
        <w:t>8.2 </w:t>
      </w:r>
      <w:r>
        <w:rPr>
          <w:rFonts w:ascii="SimSun" w:hAnsi="SimSun" w:eastAsia="SimSun" w:cs="SimSun"/>
          <w:sz w:val="24"/>
          <w:szCs w:val="24"/>
          <w:b/>
          <w:bCs/>
          <w:spacing w:val="-2"/>
        </w:rPr>
        <w:t>污染物排放清单</w:t>
      </w:r>
    </w:p>
    <w:p>
      <w:pPr>
        <w:pStyle w:val="BodyText"/>
        <w:spacing w:line="339" w:lineRule="auto"/>
        <w:rPr/>
      </w:pPr>
      <w:r/>
    </w:p>
    <w:p>
      <w:pPr>
        <w:ind w:left="613"/>
        <w:spacing w:before="78" w:line="233" w:lineRule="auto"/>
        <w:rPr>
          <w:rFonts w:ascii="SimSun" w:hAnsi="SimSun" w:eastAsia="SimSun" w:cs="SimSun"/>
          <w:sz w:val="24"/>
          <w:szCs w:val="24"/>
        </w:rPr>
      </w:pPr>
      <w:r>
        <w:rPr>
          <w:rFonts w:ascii="SimSun" w:hAnsi="SimSun" w:eastAsia="SimSun" w:cs="SimSun"/>
          <w:sz w:val="24"/>
          <w:szCs w:val="24"/>
          <w:spacing w:val="-2"/>
        </w:rPr>
        <w:t>本项目污染物排放清单详见表</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8-1</w:t>
      </w:r>
      <w:r>
        <w:rPr>
          <w:rFonts w:ascii="SimSun" w:hAnsi="SimSun" w:eastAsia="SimSun" w:cs="SimSun"/>
          <w:sz w:val="24"/>
          <w:szCs w:val="24"/>
          <w:spacing w:val="-2"/>
        </w:rPr>
        <w:t>。</w:t>
      </w:r>
    </w:p>
    <w:p>
      <w:pPr>
        <w:ind w:left="5512"/>
        <w:spacing w:before="87"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8"/>
        </w:rPr>
        <w:t xml:space="preserve"> </w:t>
      </w:r>
      <w:r>
        <w:rPr>
          <w:rFonts w:ascii="Times New Roman" w:hAnsi="Times New Roman" w:eastAsia="Times New Roman" w:cs="Times New Roman"/>
          <w:sz w:val="24"/>
          <w:szCs w:val="24"/>
          <w:b/>
          <w:bCs/>
          <w:spacing w:val="-2"/>
        </w:rPr>
        <w:t>8-1      </w:t>
      </w:r>
      <w:r>
        <w:rPr>
          <w:rFonts w:ascii="SimSun" w:hAnsi="SimSun" w:eastAsia="SimSun" w:cs="SimSun"/>
          <w:sz w:val="24"/>
          <w:szCs w:val="24"/>
          <w:b/>
          <w:bCs/>
          <w:spacing w:val="-2"/>
        </w:rPr>
        <w:t>污染物排放清单</w:t>
      </w:r>
    </w:p>
    <w:p>
      <w:pPr>
        <w:spacing w:line="129" w:lineRule="exact"/>
        <w:rPr/>
      </w:pPr>
      <w:r/>
    </w:p>
    <w:tbl>
      <w:tblPr>
        <w:tblStyle w:val="TableNormal"/>
        <w:tblW w:w="13667"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500"/>
        <w:gridCol w:w="494"/>
        <w:gridCol w:w="936"/>
        <w:gridCol w:w="1056"/>
        <w:gridCol w:w="1404"/>
        <w:gridCol w:w="1109"/>
        <w:gridCol w:w="765"/>
        <w:gridCol w:w="2187"/>
        <w:gridCol w:w="2626"/>
        <w:gridCol w:w="2590"/>
      </w:tblGrid>
      <w:tr>
        <w:trPr>
          <w:trHeight w:val="283" w:hRule="atLeast"/>
        </w:trPr>
        <w:tc>
          <w:tcPr>
            <w:tcW w:w="1930" w:type="dxa"/>
            <w:vAlign w:val="top"/>
            <w:gridSpan w:val="3"/>
            <w:vMerge w:val="restart"/>
            <w:tcBorders>
              <w:top w:val="single" w:color="000000" w:sz="10" w:space="0"/>
              <w:left w:val="nil"/>
              <w:bottom w:val="nil"/>
            </w:tcBorders>
          </w:tcPr>
          <w:p>
            <w:pPr>
              <w:pStyle w:val="TableText"/>
              <w:ind w:left="663"/>
              <w:spacing w:before="307" w:line="221" w:lineRule="auto"/>
              <w:rPr/>
            </w:pPr>
            <w:r>
              <w:rPr>
                <w:b/>
                <w:bCs/>
                <w:spacing w:val="-4"/>
              </w:rPr>
              <w:t>污染源</w:t>
            </w:r>
          </w:p>
        </w:tc>
        <w:tc>
          <w:tcPr>
            <w:tcW w:w="1056" w:type="dxa"/>
            <w:vAlign w:val="top"/>
            <w:vMerge w:val="restart"/>
            <w:tcBorders>
              <w:top w:val="single" w:color="000000" w:sz="10" w:space="0"/>
              <w:bottom w:val="nil"/>
            </w:tcBorders>
          </w:tcPr>
          <w:p>
            <w:pPr>
              <w:pStyle w:val="TableText"/>
              <w:ind w:left="213"/>
              <w:spacing w:before="307" w:line="221" w:lineRule="auto"/>
              <w:rPr/>
            </w:pPr>
            <w:r>
              <w:rPr>
                <w:b/>
                <w:bCs/>
                <w:spacing w:val="-4"/>
              </w:rPr>
              <w:t>污染物</w:t>
            </w:r>
          </w:p>
        </w:tc>
        <w:tc>
          <w:tcPr>
            <w:tcW w:w="1404" w:type="dxa"/>
            <w:vAlign w:val="top"/>
            <w:vMerge w:val="restart"/>
            <w:tcBorders>
              <w:top w:val="single" w:color="000000" w:sz="10" w:space="0"/>
              <w:bottom w:val="nil"/>
            </w:tcBorders>
          </w:tcPr>
          <w:p>
            <w:pPr>
              <w:pStyle w:val="TableText"/>
              <w:ind w:left="284"/>
              <w:spacing w:before="307" w:line="221" w:lineRule="auto"/>
              <w:rPr/>
            </w:pPr>
            <w:r>
              <w:rPr>
                <w:b/>
                <w:bCs/>
                <w:spacing w:val="-3"/>
              </w:rPr>
              <w:t>排放浓度</w:t>
            </w:r>
          </w:p>
        </w:tc>
        <w:tc>
          <w:tcPr>
            <w:tcW w:w="1109" w:type="dxa"/>
            <w:vAlign w:val="top"/>
            <w:vMerge w:val="restart"/>
            <w:tcBorders>
              <w:top w:val="single" w:color="000000" w:sz="10" w:space="0"/>
              <w:bottom w:val="nil"/>
            </w:tcBorders>
          </w:tcPr>
          <w:p>
            <w:pPr>
              <w:pStyle w:val="TableText"/>
              <w:ind w:left="233" w:right="234" w:firstLine="5"/>
              <w:spacing w:before="170" w:line="254" w:lineRule="auto"/>
              <w:rPr/>
            </w:pPr>
            <w:r>
              <w:rPr>
                <w:b/>
                <w:bCs/>
                <w:spacing w:val="-4"/>
              </w:rPr>
              <w:t>排放量</w:t>
            </w:r>
            <w:r>
              <w:rPr>
                <w:b/>
                <w:bCs/>
                <w:spacing w:val="-7"/>
              </w:rPr>
              <w:t>（</w:t>
            </w:r>
            <w:r>
              <w:rPr>
                <w:rFonts w:ascii="Times New Roman" w:hAnsi="Times New Roman" w:eastAsia="Times New Roman" w:cs="Times New Roman"/>
                <w:b/>
                <w:bCs/>
                <w:spacing w:val="-7"/>
              </w:rPr>
              <w:t>t/a</w:t>
            </w:r>
            <w:r>
              <w:rPr>
                <w:b/>
                <w:bCs/>
                <w:spacing w:val="-7"/>
              </w:rPr>
              <w:t>）</w:t>
            </w:r>
          </w:p>
        </w:tc>
        <w:tc>
          <w:tcPr>
            <w:tcW w:w="765" w:type="dxa"/>
            <w:vAlign w:val="top"/>
            <w:vMerge w:val="restart"/>
            <w:tcBorders>
              <w:top w:val="single" w:color="000000" w:sz="10" w:space="0"/>
              <w:bottom w:val="nil"/>
            </w:tcBorders>
          </w:tcPr>
          <w:p>
            <w:pPr>
              <w:pStyle w:val="TableText"/>
              <w:ind w:left="174"/>
              <w:spacing w:before="33" w:line="223" w:lineRule="auto"/>
              <w:rPr/>
            </w:pPr>
            <w:r>
              <w:rPr>
                <w:b/>
                <w:bCs/>
                <w:spacing w:val="-4"/>
              </w:rPr>
              <w:t>排污</w:t>
            </w:r>
          </w:p>
          <w:p>
            <w:pPr>
              <w:pStyle w:val="TableText"/>
              <w:ind w:left="288" w:right="166" w:hanging="82"/>
              <w:spacing w:before="19" w:line="224" w:lineRule="auto"/>
              <w:rPr/>
            </w:pPr>
            <w:r>
              <w:rPr>
                <w:b/>
                <w:bCs/>
                <w:spacing w:val="-22"/>
              </w:rPr>
              <w:t>口信</w:t>
            </w:r>
            <w:r>
              <w:rPr>
                <w:b/>
                <w:bCs/>
                <w:spacing w:val="-3"/>
              </w:rPr>
              <w:t>息</w:t>
            </w:r>
          </w:p>
        </w:tc>
        <w:tc>
          <w:tcPr>
            <w:tcW w:w="4813" w:type="dxa"/>
            <w:vAlign w:val="top"/>
            <w:gridSpan w:val="2"/>
            <w:tcBorders>
              <w:top w:val="single" w:color="000000" w:sz="10" w:space="0"/>
            </w:tcBorders>
          </w:tcPr>
          <w:p>
            <w:pPr>
              <w:pStyle w:val="TableText"/>
              <w:ind w:left="1672"/>
              <w:spacing w:before="34" w:line="210" w:lineRule="auto"/>
              <w:rPr/>
            </w:pPr>
            <w:r>
              <w:rPr>
                <w:b/>
                <w:bCs/>
                <w:spacing w:val="-3"/>
              </w:rPr>
              <w:t>执行的环境标准</w:t>
            </w:r>
          </w:p>
        </w:tc>
        <w:tc>
          <w:tcPr>
            <w:tcW w:w="2590" w:type="dxa"/>
            <w:vAlign w:val="top"/>
            <w:vMerge w:val="restart"/>
            <w:tcBorders>
              <w:top w:val="single" w:color="000000" w:sz="10" w:space="0"/>
              <w:right w:val="nil"/>
              <w:bottom w:val="nil"/>
            </w:tcBorders>
          </w:tcPr>
          <w:p>
            <w:pPr>
              <w:pStyle w:val="TableText"/>
              <w:ind w:left="141"/>
              <w:spacing w:before="306" w:line="221" w:lineRule="auto"/>
              <w:rPr/>
            </w:pPr>
            <w:r>
              <w:rPr>
                <w:b/>
                <w:bCs/>
                <w:spacing w:val="-2"/>
              </w:rPr>
              <w:t>环境保护措施及运行参数</w:t>
            </w:r>
          </w:p>
        </w:tc>
      </w:tr>
      <w:tr>
        <w:trPr>
          <w:trHeight w:val="533" w:hRule="atLeast"/>
        </w:trPr>
        <w:tc>
          <w:tcPr>
            <w:tcW w:w="1930" w:type="dxa"/>
            <w:vAlign w:val="top"/>
            <w:gridSpan w:val="3"/>
            <w:vMerge w:val="continue"/>
            <w:tcBorders>
              <w:top w:val="nil"/>
              <w:left w:val="nil"/>
            </w:tcBorders>
          </w:tcPr>
          <w:p>
            <w:pPr>
              <w:rPr>
                <w:rFonts w:ascii="Arial"/>
                <w:sz w:val="21"/>
              </w:rPr>
            </w:pPr>
            <w:r/>
          </w:p>
        </w:tc>
        <w:tc>
          <w:tcPr>
            <w:tcW w:w="1056" w:type="dxa"/>
            <w:vAlign w:val="top"/>
            <w:vMerge w:val="continue"/>
            <w:tcBorders>
              <w:top w:val="nil"/>
            </w:tcBorders>
          </w:tcPr>
          <w:p>
            <w:pPr>
              <w:rPr>
                <w:rFonts w:ascii="Arial"/>
                <w:sz w:val="21"/>
              </w:rPr>
            </w:pPr>
            <w:r/>
          </w:p>
        </w:tc>
        <w:tc>
          <w:tcPr>
            <w:tcW w:w="1404" w:type="dxa"/>
            <w:vAlign w:val="top"/>
            <w:vMerge w:val="continue"/>
            <w:tcBorders>
              <w:top w:val="nil"/>
            </w:tcBorders>
          </w:tcPr>
          <w:p>
            <w:pPr>
              <w:rPr>
                <w:rFonts w:ascii="Arial"/>
                <w:sz w:val="21"/>
              </w:rPr>
            </w:pPr>
            <w:r/>
          </w:p>
        </w:tc>
        <w:tc>
          <w:tcPr>
            <w:tcW w:w="1109" w:type="dxa"/>
            <w:vAlign w:val="top"/>
            <w:vMerge w:val="continue"/>
            <w:tcBorders>
              <w:top w:val="nil"/>
            </w:tcBorders>
          </w:tcPr>
          <w:p>
            <w:pPr>
              <w:rPr>
                <w:rFonts w:ascii="Arial"/>
                <w:sz w:val="21"/>
              </w:rPr>
            </w:pPr>
            <w:r/>
          </w:p>
        </w:tc>
        <w:tc>
          <w:tcPr>
            <w:tcW w:w="765" w:type="dxa"/>
            <w:vAlign w:val="top"/>
            <w:vMerge w:val="continue"/>
            <w:tcBorders>
              <w:top w:val="nil"/>
            </w:tcBorders>
          </w:tcPr>
          <w:p>
            <w:pPr>
              <w:rPr>
                <w:rFonts w:ascii="Arial"/>
                <w:sz w:val="21"/>
              </w:rPr>
            </w:pPr>
            <w:r/>
          </w:p>
        </w:tc>
        <w:tc>
          <w:tcPr>
            <w:tcW w:w="2187" w:type="dxa"/>
            <w:vAlign w:val="top"/>
          </w:tcPr>
          <w:p>
            <w:pPr>
              <w:pStyle w:val="TableText"/>
              <w:ind w:left="676"/>
              <w:spacing w:before="158" w:line="221" w:lineRule="auto"/>
              <w:rPr/>
            </w:pPr>
            <w:r>
              <w:rPr>
                <w:b/>
                <w:bCs/>
                <w:spacing w:val="-3"/>
              </w:rPr>
              <w:t>排放标准</w:t>
            </w:r>
          </w:p>
        </w:tc>
        <w:tc>
          <w:tcPr>
            <w:tcW w:w="2626" w:type="dxa"/>
            <w:vAlign w:val="top"/>
          </w:tcPr>
          <w:p>
            <w:pPr>
              <w:pStyle w:val="TableText"/>
              <w:ind w:left="895"/>
              <w:spacing w:before="158" w:line="221" w:lineRule="auto"/>
              <w:rPr/>
            </w:pPr>
            <w:r>
              <w:rPr>
                <w:b/>
                <w:bCs/>
                <w:spacing w:val="-4"/>
              </w:rPr>
              <w:t>质量标准</w:t>
            </w:r>
          </w:p>
        </w:tc>
        <w:tc>
          <w:tcPr>
            <w:tcW w:w="2590" w:type="dxa"/>
            <w:vAlign w:val="top"/>
            <w:vMerge w:val="continue"/>
            <w:tcBorders>
              <w:top w:val="nil"/>
              <w:right w:val="nil"/>
            </w:tcBorders>
          </w:tcPr>
          <w:p>
            <w:pPr>
              <w:rPr>
                <w:rFonts w:ascii="Arial"/>
                <w:sz w:val="21"/>
              </w:rPr>
            </w:pPr>
            <w:r/>
          </w:p>
        </w:tc>
      </w:tr>
      <w:tr>
        <w:trPr>
          <w:trHeight w:val="246" w:hRule="atLeast"/>
        </w:trPr>
        <w:tc>
          <w:tcPr>
            <w:tcW w:w="1930" w:type="dxa"/>
            <w:vAlign w:val="top"/>
            <w:gridSpan w:val="3"/>
            <w:vMerge w:val="restart"/>
            <w:tcBorders>
              <w:left w:val="nil"/>
              <w:bottom w:val="nil"/>
            </w:tcBorders>
          </w:tcPr>
          <w:p>
            <w:pPr>
              <w:spacing w:line="251" w:lineRule="auto"/>
              <w:rPr>
                <w:rFonts w:ascii="Arial"/>
                <w:sz w:val="21"/>
              </w:rPr>
            </w:pPr>
            <w:r/>
          </w:p>
          <w:p>
            <w:pPr>
              <w:spacing w:line="252" w:lineRule="auto"/>
              <w:rPr>
                <w:rFonts w:ascii="Arial"/>
                <w:sz w:val="21"/>
              </w:rPr>
            </w:pPr>
            <w:r/>
          </w:p>
          <w:p>
            <w:pPr>
              <w:pStyle w:val="TableText"/>
              <w:ind w:left="768"/>
              <w:spacing w:before="68" w:line="221" w:lineRule="auto"/>
              <w:rPr/>
            </w:pPr>
            <w:r>
              <w:rPr>
                <w:spacing w:val="-2"/>
              </w:rPr>
              <w:t>废水</w:t>
            </w:r>
          </w:p>
        </w:tc>
        <w:tc>
          <w:tcPr>
            <w:tcW w:w="1056" w:type="dxa"/>
            <w:vAlign w:val="top"/>
          </w:tcPr>
          <w:p>
            <w:pPr>
              <w:ind w:left="305"/>
              <w:spacing w:before="4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COD</w:t>
            </w:r>
          </w:p>
        </w:tc>
        <w:tc>
          <w:tcPr>
            <w:tcW w:w="1404" w:type="dxa"/>
            <w:vAlign w:val="top"/>
          </w:tcPr>
          <w:p>
            <w:pPr>
              <w:ind w:left="425"/>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0mg/L</w:t>
            </w:r>
          </w:p>
        </w:tc>
        <w:tc>
          <w:tcPr>
            <w:tcW w:w="1109" w:type="dxa"/>
            <w:vAlign w:val="top"/>
          </w:tcPr>
          <w:p>
            <w:pPr>
              <w:ind w:left="502"/>
              <w:spacing w:before="4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65" w:type="dxa"/>
            <w:vAlign w:val="top"/>
            <w:vMerge w:val="restart"/>
            <w:tcBorders>
              <w:bottom w:val="nil"/>
            </w:tcBorders>
          </w:tcPr>
          <w:p>
            <w:pPr>
              <w:spacing w:line="366" w:lineRule="auto"/>
              <w:rPr>
                <w:rFonts w:ascii="Arial"/>
                <w:sz w:val="21"/>
              </w:rPr>
            </w:pPr>
            <w:r/>
          </w:p>
          <w:p>
            <w:pPr>
              <w:pStyle w:val="TableText"/>
              <w:ind w:left="279" w:right="166" w:hanging="102"/>
              <w:spacing w:before="69" w:line="244" w:lineRule="auto"/>
              <w:rPr/>
            </w:pPr>
            <w:r>
              <w:rPr>
                <w:spacing w:val="-5"/>
              </w:rPr>
              <w:t>不外</w:t>
            </w:r>
            <w:r>
              <w:rPr/>
              <w:t>排</w:t>
            </w:r>
          </w:p>
        </w:tc>
        <w:tc>
          <w:tcPr>
            <w:tcW w:w="2187" w:type="dxa"/>
            <w:vAlign w:val="top"/>
            <w:vMerge w:val="restart"/>
            <w:tcBorders>
              <w:bottom w:val="nil"/>
            </w:tcBorders>
          </w:tcPr>
          <w:p>
            <w:pPr>
              <w:spacing w:line="319" w:lineRule="auto"/>
              <w:rPr>
                <w:rFonts w:ascii="Arial"/>
                <w:sz w:val="21"/>
              </w:rPr>
            </w:pPr>
            <w:r/>
          </w:p>
          <w:p>
            <w:pPr>
              <w:spacing w:line="320" w:lineRule="auto"/>
              <w:rPr>
                <w:rFonts w:ascii="Arial"/>
                <w:sz w:val="21"/>
              </w:rPr>
            </w:pPr>
            <w:r/>
          </w:p>
          <w:p>
            <w:pPr>
              <w:ind w:left="1066"/>
              <w:spacing w:before="52"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position w:val="-5"/>
              </w:rPr>
              <w:t>-</w:t>
            </w:r>
          </w:p>
        </w:tc>
        <w:tc>
          <w:tcPr>
            <w:tcW w:w="2626" w:type="dxa"/>
            <w:vAlign w:val="top"/>
            <w:vMerge w:val="restart"/>
            <w:tcBorders>
              <w:bottom w:val="nil"/>
            </w:tcBorders>
          </w:tcPr>
          <w:p>
            <w:pPr>
              <w:spacing w:line="368" w:lineRule="auto"/>
              <w:rPr>
                <w:rFonts w:ascii="Arial"/>
                <w:sz w:val="21"/>
              </w:rPr>
            </w:pPr>
            <w:r/>
          </w:p>
          <w:p>
            <w:pPr>
              <w:pStyle w:val="TableText"/>
              <w:ind w:left="160" w:right="120" w:hanging="42"/>
              <w:spacing w:before="68" w:line="236" w:lineRule="auto"/>
              <w:rPr/>
            </w:pPr>
            <w:r>
              <w:rPr>
                <w:rFonts w:ascii="Times New Roman" w:hAnsi="Times New Roman" w:eastAsia="Times New Roman" w:cs="Times New Roman"/>
                <w:spacing w:val="-1"/>
              </w:rPr>
              <w:t>GB3838—2002</w:t>
            </w:r>
            <w:r>
              <w:rPr>
                <w:spacing w:val="-1"/>
              </w:rPr>
              <w:t>《地表水环</w:t>
            </w:r>
            <w:r>
              <w:rPr>
                <w:spacing w:val="-1"/>
              </w:rPr>
              <w:t>境质量标准》中Ⅲ类标准</w:t>
            </w:r>
          </w:p>
        </w:tc>
        <w:tc>
          <w:tcPr>
            <w:tcW w:w="2590" w:type="dxa"/>
            <w:vAlign w:val="top"/>
            <w:vMerge w:val="restart"/>
            <w:tcBorders>
              <w:right w:val="nil"/>
              <w:bottom w:val="nil"/>
            </w:tcBorders>
          </w:tcPr>
          <w:p>
            <w:pPr>
              <w:pStyle w:val="TableText"/>
              <w:ind w:left="145"/>
              <w:spacing w:before="29" w:line="221" w:lineRule="auto"/>
              <w:rPr/>
            </w:pPr>
            <w:r>
              <w:rPr/>
              <w:t>生活污水排入防渗池，定</w:t>
            </w:r>
          </w:p>
          <w:p>
            <w:pPr>
              <w:pStyle w:val="TableText"/>
              <w:ind w:left="145"/>
              <w:spacing w:before="22" w:line="221" w:lineRule="auto"/>
              <w:rPr/>
            </w:pPr>
            <w:r>
              <w:rPr>
                <w:spacing w:val="-3"/>
              </w:rPr>
              <w:t>期由环卫部门清运处理；</w:t>
            </w:r>
          </w:p>
          <w:p>
            <w:pPr>
              <w:pStyle w:val="TableText"/>
              <w:ind w:left="148"/>
              <w:spacing w:before="20" w:line="220" w:lineRule="auto"/>
              <w:rPr/>
            </w:pPr>
            <w:r>
              <w:rPr>
                <w:spacing w:val="-1"/>
              </w:rPr>
              <w:t>牛尿进入垫层，废垫层定</w:t>
            </w:r>
          </w:p>
          <w:p>
            <w:pPr>
              <w:pStyle w:val="TableText"/>
              <w:ind w:left="145"/>
              <w:spacing w:before="23" w:line="221" w:lineRule="auto"/>
              <w:rPr/>
            </w:pPr>
            <w:r>
              <w:rPr>
                <w:spacing w:val="-1"/>
              </w:rPr>
              <w:t>期外售给相关单位生产有</w:t>
            </w:r>
          </w:p>
          <w:p>
            <w:pPr>
              <w:pStyle w:val="TableText"/>
              <w:ind w:left="982"/>
              <w:spacing w:before="19" w:line="205" w:lineRule="auto"/>
              <w:rPr/>
            </w:pPr>
            <w:r>
              <w:rPr>
                <w:spacing w:val="-12"/>
              </w:rPr>
              <w:t>机肥；</w:t>
            </w:r>
          </w:p>
        </w:tc>
      </w:tr>
      <w:tr>
        <w:trPr>
          <w:trHeight w:val="246" w:hRule="atLeast"/>
        </w:trPr>
        <w:tc>
          <w:tcPr>
            <w:tcW w:w="1930" w:type="dxa"/>
            <w:vAlign w:val="top"/>
            <w:gridSpan w:val="3"/>
            <w:vMerge w:val="continue"/>
            <w:tcBorders>
              <w:left w:val="nil"/>
              <w:top w:val="nil"/>
              <w:bottom w:val="nil"/>
            </w:tcBorders>
          </w:tcPr>
          <w:p>
            <w:pPr>
              <w:rPr>
                <w:rFonts w:ascii="Arial"/>
                <w:sz w:val="21"/>
              </w:rPr>
            </w:pPr>
            <w:r/>
          </w:p>
        </w:tc>
        <w:tc>
          <w:tcPr>
            <w:tcW w:w="1056" w:type="dxa"/>
            <w:vAlign w:val="top"/>
          </w:tcPr>
          <w:p>
            <w:pPr>
              <w:ind w:left="267"/>
              <w:spacing w:before="48" w:line="18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BOD</w:t>
            </w:r>
            <w:r>
              <w:rPr>
                <w:rFonts w:ascii="Times New Roman" w:hAnsi="Times New Roman" w:eastAsia="Times New Roman" w:cs="Times New Roman"/>
                <w:sz w:val="13"/>
                <w:szCs w:val="13"/>
                <w:spacing w:val="4"/>
                <w:position w:val="-2"/>
              </w:rPr>
              <w:t>5</w:t>
            </w:r>
          </w:p>
        </w:tc>
        <w:tc>
          <w:tcPr>
            <w:tcW w:w="1404" w:type="dxa"/>
            <w:vAlign w:val="top"/>
          </w:tcPr>
          <w:p>
            <w:pPr>
              <w:ind w:left="425"/>
              <w:spacing w:before="44"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0mg/L</w:t>
            </w:r>
          </w:p>
        </w:tc>
        <w:tc>
          <w:tcPr>
            <w:tcW w:w="1109" w:type="dxa"/>
            <w:vAlign w:val="top"/>
          </w:tcPr>
          <w:p>
            <w:pPr>
              <w:ind w:left="502"/>
              <w:spacing w:before="44"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65" w:type="dxa"/>
            <w:vAlign w:val="top"/>
            <w:vMerge w:val="continue"/>
            <w:tcBorders>
              <w:top w:val="nil"/>
              <w:bottom w:val="nil"/>
            </w:tcBorders>
          </w:tcPr>
          <w:p>
            <w:pPr>
              <w:rPr>
                <w:rFonts w:ascii="Arial"/>
                <w:sz w:val="21"/>
              </w:rPr>
            </w:pPr>
            <w:r/>
          </w:p>
        </w:tc>
        <w:tc>
          <w:tcPr>
            <w:tcW w:w="2187" w:type="dxa"/>
            <w:vAlign w:val="top"/>
            <w:vMerge w:val="continue"/>
            <w:tcBorders>
              <w:top w:val="nil"/>
              <w:bottom w:val="nil"/>
            </w:tcBorders>
          </w:tcPr>
          <w:p>
            <w:pPr>
              <w:rPr>
                <w:rFonts w:ascii="Arial"/>
                <w:sz w:val="21"/>
              </w:rPr>
            </w:pPr>
            <w:r/>
          </w:p>
        </w:tc>
        <w:tc>
          <w:tcPr>
            <w:tcW w:w="2626" w:type="dxa"/>
            <w:vAlign w:val="top"/>
            <w:vMerge w:val="continue"/>
            <w:tcBorders>
              <w:top w:val="nil"/>
              <w:bottom w:val="nil"/>
            </w:tcBorders>
          </w:tcPr>
          <w:p>
            <w:pPr>
              <w:rPr>
                <w:rFonts w:ascii="Arial"/>
                <w:sz w:val="21"/>
              </w:rPr>
            </w:pPr>
            <w:r/>
          </w:p>
        </w:tc>
        <w:tc>
          <w:tcPr>
            <w:tcW w:w="2590" w:type="dxa"/>
            <w:vAlign w:val="top"/>
            <w:vMerge w:val="continue"/>
            <w:tcBorders>
              <w:right w:val="nil"/>
              <w:top w:val="nil"/>
              <w:bottom w:val="nil"/>
            </w:tcBorders>
          </w:tcPr>
          <w:p>
            <w:pPr>
              <w:rPr>
                <w:rFonts w:ascii="Arial"/>
                <w:sz w:val="21"/>
              </w:rPr>
            </w:pPr>
            <w:r/>
          </w:p>
        </w:tc>
      </w:tr>
      <w:tr>
        <w:trPr>
          <w:trHeight w:val="243" w:hRule="atLeast"/>
        </w:trPr>
        <w:tc>
          <w:tcPr>
            <w:tcW w:w="1930" w:type="dxa"/>
            <w:vAlign w:val="top"/>
            <w:gridSpan w:val="3"/>
            <w:vMerge w:val="continue"/>
            <w:tcBorders>
              <w:left w:val="nil"/>
              <w:top w:val="nil"/>
              <w:bottom w:val="nil"/>
            </w:tcBorders>
          </w:tcPr>
          <w:p>
            <w:pPr>
              <w:rPr>
                <w:rFonts w:ascii="Arial"/>
                <w:sz w:val="21"/>
              </w:rPr>
            </w:pPr>
            <w:r/>
          </w:p>
        </w:tc>
        <w:tc>
          <w:tcPr>
            <w:tcW w:w="1056" w:type="dxa"/>
            <w:vAlign w:val="top"/>
          </w:tcPr>
          <w:p>
            <w:pPr>
              <w:ind w:left="416"/>
              <w:spacing w:before="4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SS</w:t>
            </w:r>
          </w:p>
        </w:tc>
        <w:tc>
          <w:tcPr>
            <w:tcW w:w="1404" w:type="dxa"/>
            <w:vAlign w:val="top"/>
          </w:tcPr>
          <w:p>
            <w:pPr>
              <w:ind w:left="425"/>
              <w:spacing w:before="4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0mg/L</w:t>
            </w:r>
          </w:p>
        </w:tc>
        <w:tc>
          <w:tcPr>
            <w:tcW w:w="1109" w:type="dxa"/>
            <w:vAlign w:val="top"/>
          </w:tcPr>
          <w:p>
            <w:pPr>
              <w:ind w:left="502"/>
              <w:spacing w:before="4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65" w:type="dxa"/>
            <w:vAlign w:val="top"/>
            <w:vMerge w:val="continue"/>
            <w:tcBorders>
              <w:top w:val="nil"/>
              <w:bottom w:val="nil"/>
            </w:tcBorders>
          </w:tcPr>
          <w:p>
            <w:pPr>
              <w:rPr>
                <w:rFonts w:ascii="Arial"/>
                <w:sz w:val="21"/>
              </w:rPr>
            </w:pPr>
            <w:r/>
          </w:p>
        </w:tc>
        <w:tc>
          <w:tcPr>
            <w:tcW w:w="2187" w:type="dxa"/>
            <w:vAlign w:val="top"/>
            <w:vMerge w:val="continue"/>
            <w:tcBorders>
              <w:top w:val="nil"/>
              <w:bottom w:val="nil"/>
            </w:tcBorders>
          </w:tcPr>
          <w:p>
            <w:pPr>
              <w:rPr>
                <w:rFonts w:ascii="Arial"/>
                <w:sz w:val="21"/>
              </w:rPr>
            </w:pPr>
            <w:r/>
          </w:p>
        </w:tc>
        <w:tc>
          <w:tcPr>
            <w:tcW w:w="2626" w:type="dxa"/>
            <w:vAlign w:val="top"/>
            <w:vMerge w:val="continue"/>
            <w:tcBorders>
              <w:top w:val="nil"/>
              <w:bottom w:val="nil"/>
            </w:tcBorders>
          </w:tcPr>
          <w:p>
            <w:pPr>
              <w:rPr>
                <w:rFonts w:ascii="Arial"/>
                <w:sz w:val="21"/>
              </w:rPr>
            </w:pPr>
            <w:r/>
          </w:p>
        </w:tc>
        <w:tc>
          <w:tcPr>
            <w:tcW w:w="2590" w:type="dxa"/>
            <w:vAlign w:val="top"/>
            <w:vMerge w:val="continue"/>
            <w:tcBorders>
              <w:right w:val="nil"/>
              <w:top w:val="nil"/>
              <w:bottom w:val="nil"/>
            </w:tcBorders>
          </w:tcPr>
          <w:p>
            <w:pPr>
              <w:rPr>
                <w:rFonts w:ascii="Arial"/>
                <w:sz w:val="21"/>
              </w:rPr>
            </w:pPr>
            <w:r/>
          </w:p>
        </w:tc>
      </w:tr>
      <w:tr>
        <w:trPr>
          <w:trHeight w:val="598" w:hRule="atLeast"/>
        </w:trPr>
        <w:tc>
          <w:tcPr>
            <w:tcW w:w="1930" w:type="dxa"/>
            <w:vAlign w:val="top"/>
            <w:gridSpan w:val="3"/>
            <w:vMerge w:val="continue"/>
            <w:tcBorders>
              <w:left w:val="nil"/>
              <w:top w:val="nil"/>
            </w:tcBorders>
          </w:tcPr>
          <w:p>
            <w:pPr>
              <w:rPr>
                <w:rFonts w:ascii="Arial"/>
                <w:sz w:val="21"/>
              </w:rPr>
            </w:pPr>
            <w:r/>
          </w:p>
        </w:tc>
        <w:tc>
          <w:tcPr>
            <w:tcW w:w="1056" w:type="dxa"/>
            <w:vAlign w:val="top"/>
          </w:tcPr>
          <w:p>
            <w:pPr>
              <w:ind w:left="220"/>
              <w:spacing w:before="230" w:line="22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3"/>
                <w:position w:val="-2"/>
              </w:rPr>
              <w:t>3</w:t>
            </w:r>
            <w:r>
              <w:rPr>
                <w:rFonts w:ascii="Times New Roman" w:hAnsi="Times New Roman" w:eastAsia="Times New Roman" w:cs="Times New Roman"/>
                <w:sz w:val="21"/>
                <w:szCs w:val="21"/>
                <w:spacing w:val="3"/>
              </w:rPr>
              <w:t>-N</w:t>
            </w:r>
          </w:p>
        </w:tc>
        <w:tc>
          <w:tcPr>
            <w:tcW w:w="1404" w:type="dxa"/>
            <w:vAlign w:val="top"/>
          </w:tcPr>
          <w:p>
            <w:pPr>
              <w:ind w:left="425"/>
              <w:spacing w:before="224"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0mg/L</w:t>
            </w:r>
          </w:p>
        </w:tc>
        <w:tc>
          <w:tcPr>
            <w:tcW w:w="1109" w:type="dxa"/>
            <w:vAlign w:val="top"/>
          </w:tcPr>
          <w:p>
            <w:pPr>
              <w:ind w:left="502"/>
              <w:spacing w:before="224"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765" w:type="dxa"/>
            <w:vAlign w:val="top"/>
            <w:vMerge w:val="continue"/>
            <w:tcBorders>
              <w:top w:val="nil"/>
            </w:tcBorders>
          </w:tcPr>
          <w:p>
            <w:pPr>
              <w:rPr>
                <w:rFonts w:ascii="Arial"/>
                <w:sz w:val="21"/>
              </w:rPr>
            </w:pPr>
            <w:r/>
          </w:p>
        </w:tc>
        <w:tc>
          <w:tcPr>
            <w:tcW w:w="2187" w:type="dxa"/>
            <w:vAlign w:val="top"/>
            <w:vMerge w:val="continue"/>
            <w:tcBorders>
              <w:top w:val="nil"/>
            </w:tcBorders>
          </w:tcPr>
          <w:p>
            <w:pPr>
              <w:rPr>
                <w:rFonts w:ascii="Arial"/>
                <w:sz w:val="21"/>
              </w:rPr>
            </w:pPr>
            <w:r/>
          </w:p>
        </w:tc>
        <w:tc>
          <w:tcPr>
            <w:tcW w:w="2626" w:type="dxa"/>
            <w:vAlign w:val="top"/>
            <w:vMerge w:val="continue"/>
            <w:tcBorders>
              <w:top w:val="nil"/>
            </w:tcBorders>
          </w:tcPr>
          <w:p>
            <w:pPr>
              <w:rPr>
                <w:rFonts w:ascii="Arial"/>
                <w:sz w:val="21"/>
              </w:rPr>
            </w:pPr>
            <w:r/>
          </w:p>
        </w:tc>
        <w:tc>
          <w:tcPr>
            <w:tcW w:w="2590" w:type="dxa"/>
            <w:vAlign w:val="top"/>
            <w:vMerge w:val="continue"/>
            <w:tcBorders>
              <w:right w:val="nil"/>
              <w:top w:val="nil"/>
            </w:tcBorders>
          </w:tcPr>
          <w:p>
            <w:pPr>
              <w:rPr>
                <w:rFonts w:ascii="Arial"/>
                <w:sz w:val="21"/>
              </w:rPr>
            </w:pPr>
            <w:r/>
          </w:p>
        </w:tc>
      </w:tr>
      <w:tr>
        <w:trPr>
          <w:trHeight w:val="243" w:hRule="atLeast"/>
        </w:trPr>
        <w:tc>
          <w:tcPr>
            <w:tcW w:w="500" w:type="dxa"/>
            <w:vAlign w:val="top"/>
            <w:vMerge w:val="restart"/>
            <w:textDirection w:val="tbRlV"/>
            <w:tcBorders>
              <w:left w:val="nil"/>
              <w:bottom w:val="nil"/>
              <w:right w:val="single" w:color="000000" w:sz="2" w:space="0"/>
            </w:tcBorders>
          </w:tcPr>
          <w:p>
            <w:pPr>
              <w:pStyle w:val="TableText"/>
              <w:spacing w:before="134" w:line="209" w:lineRule="auto"/>
              <w:jc w:val="right"/>
              <w:rPr/>
            </w:pPr>
            <w:r>
              <w:rPr>
                <w:spacing w:val="-18"/>
                <w:w w:val="94"/>
              </w:rPr>
              <w:t>废</w:t>
            </w:r>
            <w:r>
              <w:rPr>
                <w:spacing w:val="-8"/>
                <w:w w:val="94"/>
              </w:rPr>
              <w:t>气</w:t>
            </w:r>
          </w:p>
        </w:tc>
        <w:tc>
          <w:tcPr>
            <w:tcW w:w="494" w:type="dxa"/>
            <w:vAlign w:val="top"/>
            <w:vMerge w:val="restart"/>
            <w:textDirection w:val="tbRlV"/>
            <w:tcBorders>
              <w:left w:val="single" w:color="000000" w:sz="2" w:space="0"/>
              <w:right w:val="single" w:color="000000" w:sz="2" w:space="0"/>
              <w:bottom w:val="nil"/>
            </w:tcBorders>
          </w:tcPr>
          <w:p>
            <w:pPr>
              <w:pStyle w:val="TableText"/>
              <w:ind w:left="313"/>
              <w:spacing w:before="141" w:line="208" w:lineRule="auto"/>
              <w:rPr/>
            </w:pPr>
            <w:r>
              <w:rPr>
                <w:spacing w:val="1"/>
              </w:rPr>
              <w:t>恶</w:t>
            </w:r>
            <w:r>
              <w:rPr>
                <w:spacing w:val="-43"/>
              </w:rPr>
              <w:t xml:space="preserve"> </w:t>
            </w:r>
            <w:r>
              <w:rPr>
                <w:spacing w:val="1"/>
              </w:rPr>
              <w:t>臭</w:t>
            </w:r>
            <w:r>
              <w:rPr>
                <w:spacing w:val="-45"/>
              </w:rPr>
              <w:t xml:space="preserve"> </w:t>
            </w:r>
            <w:r>
              <w:rPr>
                <w:spacing w:val="1"/>
              </w:rPr>
              <w:t>气</w:t>
            </w:r>
            <w:r>
              <w:rPr>
                <w:spacing w:val="-43"/>
              </w:rPr>
              <w:t xml:space="preserve"> </w:t>
            </w:r>
            <w:r>
              <w:rPr>
                <w:spacing w:val="1"/>
              </w:rPr>
              <w:t>体</w:t>
            </w:r>
          </w:p>
        </w:tc>
        <w:tc>
          <w:tcPr>
            <w:tcW w:w="936" w:type="dxa"/>
            <w:vAlign w:val="top"/>
            <w:vMerge w:val="restart"/>
            <w:tcBorders>
              <w:left w:val="single" w:color="000000" w:sz="2" w:space="0"/>
              <w:bottom w:val="nil"/>
            </w:tcBorders>
          </w:tcPr>
          <w:p>
            <w:pPr>
              <w:spacing w:line="257" w:lineRule="auto"/>
              <w:rPr>
                <w:rFonts w:ascii="Arial"/>
                <w:sz w:val="21"/>
              </w:rPr>
            </w:pPr>
            <w:r/>
          </w:p>
          <w:p>
            <w:pPr>
              <w:spacing w:line="258" w:lineRule="auto"/>
              <w:rPr>
                <w:rFonts w:ascii="Arial"/>
                <w:sz w:val="21"/>
              </w:rPr>
            </w:pPr>
            <w:r/>
          </w:p>
          <w:p>
            <w:pPr>
              <w:pStyle w:val="TableText"/>
              <w:ind w:left="265" w:right="153" w:hanging="102"/>
              <w:spacing w:before="68" w:line="242" w:lineRule="auto"/>
              <w:rPr/>
            </w:pPr>
            <w:r>
              <w:rPr>
                <w:spacing w:val="-7"/>
              </w:rPr>
              <w:t>（无组</w:t>
            </w:r>
            <w:r>
              <w:rPr>
                <w:spacing w:val="-6"/>
              </w:rPr>
              <w:t>织）</w:t>
            </w:r>
          </w:p>
        </w:tc>
        <w:tc>
          <w:tcPr>
            <w:tcW w:w="1056" w:type="dxa"/>
            <w:vAlign w:val="top"/>
          </w:tcPr>
          <w:p>
            <w:pPr>
              <w:ind w:left="353"/>
              <w:spacing w:before="52" w:line="17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t>
            </w:r>
            <w:r>
              <w:rPr>
                <w:rFonts w:ascii="Times New Roman" w:hAnsi="Times New Roman" w:eastAsia="Times New Roman" w:cs="Times New Roman"/>
                <w:sz w:val="13"/>
                <w:szCs w:val="13"/>
                <w:spacing w:val="1"/>
                <w:position w:val="-2"/>
              </w:rPr>
              <w:t>2</w:t>
            </w:r>
            <w:r>
              <w:rPr>
                <w:rFonts w:ascii="Times New Roman" w:hAnsi="Times New Roman" w:eastAsia="Times New Roman" w:cs="Times New Roman"/>
                <w:sz w:val="21"/>
                <w:szCs w:val="21"/>
                <w:spacing w:val="1"/>
              </w:rPr>
              <w:t>S</w:t>
            </w:r>
          </w:p>
        </w:tc>
        <w:tc>
          <w:tcPr>
            <w:tcW w:w="1404" w:type="dxa"/>
            <w:vAlign w:val="top"/>
          </w:tcPr>
          <w:p>
            <w:pPr>
              <w:ind w:left="667"/>
              <w:spacing w:before="4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9" w:type="dxa"/>
            <w:vAlign w:val="top"/>
          </w:tcPr>
          <w:p>
            <w:pPr>
              <w:ind w:left="264"/>
              <w:spacing w:before="4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0.0068</w:t>
            </w:r>
          </w:p>
        </w:tc>
        <w:tc>
          <w:tcPr>
            <w:tcW w:w="765" w:type="dxa"/>
            <w:vAlign w:val="top"/>
            <w:vMerge w:val="restart"/>
            <w:tcBorders>
              <w:bottom w:val="nil"/>
            </w:tcBorders>
          </w:tcPr>
          <w:p>
            <w:pPr>
              <w:spacing w:line="244" w:lineRule="auto"/>
              <w:rPr>
                <w:rFonts w:ascii="Arial"/>
                <w:sz w:val="21"/>
              </w:rPr>
            </w:pPr>
            <w:r/>
          </w:p>
          <w:p>
            <w:pPr>
              <w:pStyle w:val="TableText"/>
              <w:ind w:left="173"/>
              <w:spacing w:before="68" w:line="221" w:lineRule="auto"/>
              <w:rPr/>
            </w:pPr>
            <w:r>
              <w:rPr>
                <w:spacing w:val="-2"/>
              </w:rPr>
              <w:t>场界</w:t>
            </w:r>
          </w:p>
          <w:p>
            <w:pPr>
              <w:pStyle w:val="TableText"/>
              <w:ind w:left="175"/>
              <w:spacing w:before="22" w:line="221" w:lineRule="auto"/>
              <w:rPr/>
            </w:pPr>
            <w:r>
              <w:rPr>
                <w:spacing w:val="-2"/>
              </w:rPr>
              <w:t>无组</w:t>
            </w:r>
          </w:p>
          <w:p>
            <w:pPr>
              <w:pStyle w:val="TableText"/>
              <w:ind w:left="177"/>
              <w:spacing w:before="19" w:line="223" w:lineRule="auto"/>
              <w:rPr/>
            </w:pPr>
            <w:r>
              <w:rPr>
                <w:spacing w:val="-3"/>
              </w:rPr>
              <w:t>织监</w:t>
            </w:r>
          </w:p>
          <w:p>
            <w:pPr>
              <w:pStyle w:val="TableText"/>
              <w:ind w:left="278"/>
              <w:spacing w:before="19" w:line="221" w:lineRule="auto"/>
              <w:rPr/>
            </w:pPr>
            <w:r>
              <w:rPr/>
              <w:t>控</w:t>
            </w:r>
          </w:p>
        </w:tc>
        <w:tc>
          <w:tcPr>
            <w:tcW w:w="2187" w:type="dxa"/>
            <w:vAlign w:val="top"/>
            <w:vMerge w:val="restart"/>
            <w:tcBorders>
              <w:bottom w:val="nil"/>
            </w:tcBorders>
          </w:tcPr>
          <w:p>
            <w:pPr>
              <w:pStyle w:val="TableText"/>
              <w:ind w:left="128"/>
              <w:spacing w:before="35" w:line="234" w:lineRule="auto"/>
              <w:rPr/>
            </w:pPr>
            <w:r>
              <w:rPr>
                <w:rFonts w:ascii="Times New Roman" w:hAnsi="Times New Roman" w:eastAsia="Times New Roman" w:cs="Times New Roman"/>
                <w:spacing w:val="-2"/>
              </w:rPr>
              <w:t>GB14554-93</w:t>
            </w:r>
            <w:r>
              <w:rPr>
                <w:spacing w:val="-2"/>
              </w:rPr>
              <w:t>《恶臭污</w:t>
            </w:r>
          </w:p>
          <w:p>
            <w:pPr>
              <w:pStyle w:val="TableText"/>
              <w:ind w:left="154"/>
              <w:spacing w:before="4" w:line="221" w:lineRule="auto"/>
              <w:rPr/>
            </w:pPr>
            <w:r>
              <w:rPr>
                <w:spacing w:val="-1"/>
              </w:rPr>
              <w:t>染物排放标准》厂界</w:t>
            </w:r>
          </w:p>
          <w:p>
            <w:pPr>
              <w:pStyle w:val="TableText"/>
              <w:ind w:left="470"/>
              <w:spacing w:before="22" w:line="199" w:lineRule="auto"/>
              <w:rPr/>
            </w:pPr>
            <w:r>
              <w:rPr>
                <w:spacing w:val="-2"/>
              </w:rPr>
              <w:t>二级标准要求</w:t>
            </w:r>
          </w:p>
        </w:tc>
        <w:tc>
          <w:tcPr>
            <w:tcW w:w="2626" w:type="dxa"/>
            <w:vAlign w:val="top"/>
            <w:vMerge w:val="restart"/>
            <w:tcBorders>
              <w:bottom w:val="nil"/>
            </w:tcBorders>
          </w:tcPr>
          <w:p>
            <w:pPr>
              <w:spacing w:line="244" w:lineRule="auto"/>
              <w:rPr>
                <w:rFonts w:ascii="Arial"/>
                <w:sz w:val="21"/>
              </w:rPr>
            </w:pPr>
            <w:r/>
          </w:p>
          <w:p>
            <w:pPr>
              <w:pStyle w:val="TableText"/>
              <w:ind w:left="116"/>
              <w:spacing w:before="68" w:line="235" w:lineRule="auto"/>
              <w:rPr/>
            </w:pPr>
            <w:r>
              <w:rPr>
                <w:rFonts w:ascii="Times New Roman" w:hAnsi="Times New Roman" w:eastAsia="Times New Roman" w:cs="Times New Roman"/>
                <w:spacing w:val="-1"/>
              </w:rPr>
              <w:t>HJ2.2—2018</w:t>
            </w:r>
            <w:r>
              <w:rPr>
                <w:spacing w:val="-1"/>
              </w:rPr>
              <w:t>《环境影响评</w:t>
            </w:r>
          </w:p>
          <w:p>
            <w:pPr>
              <w:pStyle w:val="TableText"/>
              <w:ind w:left="160"/>
              <w:spacing w:before="6" w:line="219" w:lineRule="auto"/>
              <w:rPr/>
            </w:pPr>
            <w:r>
              <w:rPr>
                <w:spacing w:val="-1"/>
              </w:rPr>
              <w:t>价导则（大气环境）》中</w:t>
            </w:r>
          </w:p>
          <w:p>
            <w:pPr>
              <w:pStyle w:val="TableText"/>
              <w:ind w:left="152"/>
              <w:spacing w:before="22" w:line="218" w:lineRule="auto"/>
              <w:rPr/>
            </w:pPr>
            <w:r>
              <w:rPr>
                <w:spacing w:val="-2"/>
              </w:rPr>
              <w:t>附录</w:t>
            </w:r>
            <w:r>
              <w:rPr>
                <w:spacing w:val="-51"/>
              </w:rPr>
              <w:t xml:space="preserve"> </w:t>
            </w:r>
            <w:r>
              <w:rPr>
                <w:rFonts w:ascii="Times New Roman" w:hAnsi="Times New Roman" w:eastAsia="Times New Roman" w:cs="Times New Roman"/>
                <w:spacing w:val="-2"/>
              </w:rPr>
              <w:t>D </w:t>
            </w:r>
            <w:r>
              <w:rPr>
                <w:spacing w:val="-2"/>
              </w:rPr>
              <w:t>其他污染物空气质</w:t>
            </w:r>
          </w:p>
          <w:p>
            <w:pPr>
              <w:pStyle w:val="TableText"/>
              <w:ind w:left="580"/>
              <w:spacing w:before="24" w:line="221" w:lineRule="auto"/>
              <w:rPr/>
            </w:pPr>
            <w:r>
              <w:rPr>
                <w:spacing w:val="-1"/>
              </w:rPr>
              <w:t>量浓度参考限值</w:t>
            </w:r>
          </w:p>
        </w:tc>
        <w:tc>
          <w:tcPr>
            <w:tcW w:w="2590" w:type="dxa"/>
            <w:vAlign w:val="top"/>
            <w:vMerge w:val="restart"/>
            <w:tcBorders>
              <w:right w:val="nil"/>
              <w:bottom w:val="nil"/>
            </w:tcBorders>
          </w:tcPr>
          <w:p>
            <w:pPr>
              <w:spacing w:line="325" w:lineRule="auto"/>
              <w:rPr>
                <w:rFonts w:ascii="Arial"/>
                <w:sz w:val="21"/>
              </w:rPr>
            </w:pPr>
            <w:r/>
          </w:p>
          <w:p>
            <w:pPr>
              <w:spacing w:line="326" w:lineRule="auto"/>
              <w:rPr>
                <w:rFonts w:ascii="Arial"/>
                <w:sz w:val="21"/>
              </w:rPr>
            </w:pPr>
            <w:r/>
          </w:p>
          <w:p>
            <w:pPr>
              <w:pStyle w:val="TableText"/>
              <w:ind w:left="367"/>
              <w:spacing w:before="68" w:line="220" w:lineRule="auto"/>
              <w:rPr/>
            </w:pPr>
            <w:r>
              <w:rPr>
                <w:spacing w:val="-2"/>
              </w:rPr>
              <w:t>除臭剂、通风、绿化</w:t>
            </w:r>
          </w:p>
        </w:tc>
      </w:tr>
      <w:tr>
        <w:trPr>
          <w:trHeight w:val="564" w:hRule="atLeast"/>
        </w:trPr>
        <w:tc>
          <w:tcPr>
            <w:tcW w:w="500" w:type="dxa"/>
            <w:vAlign w:val="top"/>
            <w:vMerge w:val="continue"/>
            <w:textDirection w:val="tbRlV"/>
            <w:tcBorders>
              <w:left w:val="nil"/>
              <w:bottom w:val="nil"/>
              <w:right w:val="single" w:color="000000" w:sz="2" w:space="0"/>
              <w:top w:val="nil"/>
            </w:tcBorders>
          </w:tcPr>
          <w:p>
            <w:pPr>
              <w:rPr>
                <w:rFonts w:ascii="Arial"/>
                <w:sz w:val="21"/>
              </w:rPr>
            </w:pPr>
            <w:r/>
          </w:p>
        </w:tc>
        <w:tc>
          <w:tcPr>
            <w:tcW w:w="494" w:type="dxa"/>
            <w:vAlign w:val="top"/>
            <w:vMerge w:val="continue"/>
            <w:textDirection w:val="tbRlV"/>
            <w:tcBorders>
              <w:left w:val="single" w:color="000000" w:sz="2" w:space="0"/>
              <w:right w:val="single" w:color="000000" w:sz="2" w:space="0"/>
              <w:top w:val="nil"/>
              <w:bottom w:val="nil"/>
            </w:tcBorders>
          </w:tcPr>
          <w:p>
            <w:pPr>
              <w:rPr>
                <w:rFonts w:ascii="Arial"/>
                <w:sz w:val="21"/>
              </w:rPr>
            </w:pPr>
            <w:r/>
          </w:p>
        </w:tc>
        <w:tc>
          <w:tcPr>
            <w:tcW w:w="936" w:type="dxa"/>
            <w:vAlign w:val="top"/>
            <w:vMerge w:val="continue"/>
            <w:tcBorders>
              <w:left w:val="single" w:color="000000" w:sz="2" w:space="0"/>
              <w:top w:val="nil"/>
              <w:bottom w:val="nil"/>
            </w:tcBorders>
          </w:tcPr>
          <w:p>
            <w:pPr>
              <w:rPr>
                <w:rFonts w:ascii="Arial"/>
                <w:sz w:val="21"/>
              </w:rPr>
            </w:pPr>
            <w:r/>
          </w:p>
        </w:tc>
        <w:tc>
          <w:tcPr>
            <w:tcW w:w="1056" w:type="dxa"/>
            <w:vAlign w:val="top"/>
          </w:tcPr>
          <w:p>
            <w:pPr>
              <w:ind w:left="330"/>
              <w:spacing w:before="217" w:line="224" w:lineRule="auto"/>
              <w:rPr>
                <w:rFonts w:ascii="Times New Roman" w:hAnsi="Times New Roman" w:eastAsia="Times New Roman" w:cs="Times New Roman"/>
                <w:sz w:val="13"/>
                <w:szCs w:val="13"/>
              </w:rPr>
            </w:pPr>
            <w:r>
              <w:rPr>
                <w:rFonts w:ascii="Times New Roman" w:hAnsi="Times New Roman" w:eastAsia="Times New Roman" w:cs="Times New Roman"/>
                <w:sz w:val="21"/>
                <w:szCs w:val="21"/>
              </w:rPr>
              <w:t>NH</w:t>
            </w:r>
            <w:r>
              <w:rPr>
                <w:rFonts w:ascii="Times New Roman" w:hAnsi="Times New Roman" w:eastAsia="Times New Roman" w:cs="Times New Roman"/>
                <w:sz w:val="13"/>
                <w:szCs w:val="13"/>
                <w:spacing w:val="8"/>
                <w:position w:val="-2"/>
              </w:rPr>
              <w:t>3</w:t>
            </w:r>
          </w:p>
        </w:tc>
        <w:tc>
          <w:tcPr>
            <w:tcW w:w="1404" w:type="dxa"/>
            <w:vAlign w:val="top"/>
          </w:tcPr>
          <w:p>
            <w:pPr>
              <w:ind w:left="667"/>
              <w:spacing w:before="21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109" w:type="dxa"/>
            <w:vAlign w:val="top"/>
          </w:tcPr>
          <w:p>
            <w:pPr>
              <w:ind w:left="370"/>
              <w:spacing w:before="21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0.13</w:t>
            </w:r>
          </w:p>
        </w:tc>
        <w:tc>
          <w:tcPr>
            <w:tcW w:w="765" w:type="dxa"/>
            <w:vAlign w:val="top"/>
            <w:vMerge w:val="continue"/>
            <w:tcBorders>
              <w:top w:val="nil"/>
              <w:bottom w:val="nil"/>
            </w:tcBorders>
          </w:tcPr>
          <w:p>
            <w:pPr>
              <w:rPr>
                <w:rFonts w:ascii="Arial"/>
                <w:sz w:val="21"/>
              </w:rPr>
            </w:pPr>
            <w:r/>
          </w:p>
        </w:tc>
        <w:tc>
          <w:tcPr>
            <w:tcW w:w="2187" w:type="dxa"/>
            <w:vAlign w:val="top"/>
            <w:vMerge w:val="continue"/>
            <w:tcBorders>
              <w:top w:val="nil"/>
            </w:tcBorders>
          </w:tcPr>
          <w:p>
            <w:pPr>
              <w:rPr>
                <w:rFonts w:ascii="Arial"/>
                <w:sz w:val="21"/>
              </w:rPr>
            </w:pPr>
            <w:r/>
          </w:p>
        </w:tc>
        <w:tc>
          <w:tcPr>
            <w:tcW w:w="2626" w:type="dxa"/>
            <w:vAlign w:val="top"/>
            <w:vMerge w:val="continue"/>
            <w:tcBorders>
              <w:top w:val="nil"/>
              <w:bottom w:val="nil"/>
            </w:tcBorders>
          </w:tcPr>
          <w:p>
            <w:pPr>
              <w:rPr>
                <w:rFonts w:ascii="Arial"/>
                <w:sz w:val="21"/>
              </w:rPr>
            </w:pPr>
            <w:r/>
          </w:p>
        </w:tc>
        <w:tc>
          <w:tcPr>
            <w:tcW w:w="2590" w:type="dxa"/>
            <w:vAlign w:val="top"/>
            <w:vMerge w:val="continue"/>
            <w:tcBorders>
              <w:right w:val="nil"/>
              <w:top w:val="nil"/>
              <w:bottom w:val="nil"/>
            </w:tcBorders>
          </w:tcPr>
          <w:p>
            <w:pPr>
              <w:rPr>
                <w:rFonts w:ascii="Arial"/>
                <w:sz w:val="21"/>
              </w:rPr>
            </w:pPr>
            <w:r/>
          </w:p>
        </w:tc>
      </w:tr>
      <w:tr>
        <w:trPr>
          <w:trHeight w:val="819" w:hRule="atLeast"/>
        </w:trPr>
        <w:tc>
          <w:tcPr>
            <w:tcW w:w="500" w:type="dxa"/>
            <w:vAlign w:val="top"/>
            <w:vMerge w:val="continue"/>
            <w:textDirection w:val="tbRlV"/>
            <w:tcBorders>
              <w:left w:val="nil"/>
              <w:bottom w:val="nil"/>
              <w:right w:val="single" w:color="000000" w:sz="2" w:space="0"/>
              <w:top w:val="nil"/>
            </w:tcBorders>
          </w:tcPr>
          <w:p>
            <w:pPr>
              <w:rPr>
                <w:rFonts w:ascii="Arial"/>
                <w:sz w:val="21"/>
              </w:rPr>
            </w:pPr>
            <w:r/>
          </w:p>
        </w:tc>
        <w:tc>
          <w:tcPr>
            <w:tcW w:w="494" w:type="dxa"/>
            <w:vAlign w:val="top"/>
            <w:vMerge w:val="continue"/>
            <w:textDirection w:val="tbRlV"/>
            <w:tcBorders>
              <w:left w:val="single" w:color="000000" w:sz="2" w:space="0"/>
              <w:right w:val="single" w:color="000000" w:sz="2" w:space="0"/>
              <w:top w:val="nil"/>
            </w:tcBorders>
          </w:tcPr>
          <w:p>
            <w:pPr>
              <w:rPr>
                <w:rFonts w:ascii="Arial"/>
                <w:sz w:val="21"/>
              </w:rPr>
            </w:pPr>
            <w:r/>
          </w:p>
        </w:tc>
        <w:tc>
          <w:tcPr>
            <w:tcW w:w="936" w:type="dxa"/>
            <w:vAlign w:val="top"/>
            <w:vMerge w:val="continue"/>
            <w:tcBorders>
              <w:left w:val="single" w:color="000000" w:sz="2" w:space="0"/>
              <w:top w:val="nil"/>
            </w:tcBorders>
          </w:tcPr>
          <w:p>
            <w:pPr>
              <w:rPr>
                <w:rFonts w:ascii="Arial"/>
                <w:sz w:val="21"/>
              </w:rPr>
            </w:pPr>
            <w:r/>
          </w:p>
        </w:tc>
        <w:tc>
          <w:tcPr>
            <w:tcW w:w="1056" w:type="dxa"/>
            <w:vAlign w:val="top"/>
          </w:tcPr>
          <w:p>
            <w:pPr>
              <w:spacing w:line="242" w:lineRule="auto"/>
              <w:rPr>
                <w:rFonts w:ascii="Arial"/>
                <w:sz w:val="21"/>
              </w:rPr>
            </w:pPr>
            <w:r/>
          </w:p>
          <w:p>
            <w:pPr>
              <w:pStyle w:val="TableText"/>
              <w:ind w:left="108"/>
              <w:spacing w:before="68" w:line="220" w:lineRule="auto"/>
              <w:rPr/>
            </w:pPr>
            <w:r>
              <w:rPr>
                <w:spacing w:val="-2"/>
              </w:rPr>
              <w:t>臭气浓度</w:t>
            </w:r>
          </w:p>
        </w:tc>
        <w:tc>
          <w:tcPr>
            <w:tcW w:w="1404" w:type="dxa"/>
            <w:vAlign w:val="top"/>
          </w:tcPr>
          <w:p>
            <w:pPr>
              <w:spacing w:line="277" w:lineRule="auto"/>
              <w:rPr>
                <w:rFonts w:ascii="Arial"/>
                <w:sz w:val="21"/>
              </w:rPr>
            </w:pPr>
            <w:r/>
          </w:p>
          <w:p>
            <w:pPr>
              <w:ind w:left="614"/>
              <w:spacing w:before="61"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109" w:type="dxa"/>
            <w:vAlign w:val="top"/>
          </w:tcPr>
          <w:p>
            <w:pPr>
              <w:spacing w:line="368" w:lineRule="auto"/>
              <w:rPr>
                <w:rFonts w:ascii="Arial"/>
                <w:sz w:val="21"/>
              </w:rPr>
            </w:pPr>
            <w:r/>
          </w:p>
          <w:p>
            <w:pPr>
              <w:ind w:left="520"/>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765" w:type="dxa"/>
            <w:vAlign w:val="top"/>
            <w:vMerge w:val="continue"/>
            <w:tcBorders>
              <w:top w:val="nil"/>
            </w:tcBorders>
          </w:tcPr>
          <w:p>
            <w:pPr>
              <w:rPr>
                <w:rFonts w:ascii="Arial"/>
                <w:sz w:val="21"/>
              </w:rPr>
            </w:pPr>
            <w:r/>
          </w:p>
        </w:tc>
        <w:tc>
          <w:tcPr>
            <w:tcW w:w="2187" w:type="dxa"/>
            <w:vAlign w:val="top"/>
          </w:tcPr>
          <w:p>
            <w:pPr>
              <w:pStyle w:val="TableText"/>
              <w:ind w:left="128"/>
              <w:spacing w:before="39" w:line="234" w:lineRule="auto"/>
              <w:rPr/>
            </w:pPr>
            <w:r>
              <w:rPr>
                <w:rFonts w:ascii="Times New Roman" w:hAnsi="Times New Roman" w:eastAsia="Times New Roman" w:cs="Times New Roman"/>
                <w:spacing w:val="-1"/>
              </w:rPr>
              <w:t>GB18596-2001</w:t>
            </w:r>
            <w:r>
              <w:rPr>
                <w:spacing w:val="-1"/>
              </w:rPr>
              <w:t>《畜禽</w:t>
            </w:r>
          </w:p>
          <w:p>
            <w:pPr>
              <w:pStyle w:val="TableText"/>
              <w:ind w:left="151"/>
              <w:spacing w:before="6" w:line="221" w:lineRule="auto"/>
              <w:rPr/>
            </w:pPr>
            <w:r>
              <w:rPr>
                <w:spacing w:val="-1"/>
              </w:rPr>
              <w:t>养殖业污染物排放标</w:t>
            </w:r>
          </w:p>
          <w:p>
            <w:pPr>
              <w:pStyle w:val="TableText"/>
              <w:ind w:left="572"/>
              <w:spacing w:before="20" w:line="198" w:lineRule="auto"/>
              <w:rPr/>
            </w:pPr>
            <w:r>
              <w:rPr>
                <w:spacing w:val="-2"/>
              </w:rPr>
              <w:t>准》中要求</w:t>
            </w:r>
          </w:p>
        </w:tc>
        <w:tc>
          <w:tcPr>
            <w:tcW w:w="2626" w:type="dxa"/>
            <w:vAlign w:val="top"/>
            <w:vMerge w:val="continue"/>
            <w:tcBorders>
              <w:top w:val="nil"/>
            </w:tcBorders>
          </w:tcPr>
          <w:p>
            <w:pPr>
              <w:rPr>
                <w:rFonts w:ascii="Arial"/>
                <w:sz w:val="21"/>
              </w:rPr>
            </w:pPr>
            <w:r/>
          </w:p>
        </w:tc>
        <w:tc>
          <w:tcPr>
            <w:tcW w:w="2590" w:type="dxa"/>
            <w:vAlign w:val="top"/>
            <w:vMerge w:val="continue"/>
            <w:tcBorders>
              <w:right w:val="nil"/>
              <w:top w:val="nil"/>
            </w:tcBorders>
          </w:tcPr>
          <w:p>
            <w:pPr>
              <w:rPr>
                <w:rFonts w:ascii="Arial"/>
                <w:sz w:val="21"/>
              </w:rPr>
            </w:pPr>
            <w:r/>
          </w:p>
        </w:tc>
      </w:tr>
      <w:tr>
        <w:trPr>
          <w:trHeight w:val="1360" w:hRule="atLeast"/>
        </w:trPr>
        <w:tc>
          <w:tcPr>
            <w:tcW w:w="500" w:type="dxa"/>
            <w:vAlign w:val="top"/>
            <w:tcBorders>
              <w:left w:val="nil"/>
              <w:top w:val="nil"/>
              <w:right w:val="single" w:color="000000" w:sz="2" w:space="0"/>
            </w:tcBorders>
          </w:tcPr>
          <w:p>
            <w:pPr>
              <w:rPr>
                <w:rFonts w:ascii="Arial"/>
                <w:sz w:val="21"/>
              </w:rPr>
            </w:pPr>
            <w:r/>
          </w:p>
        </w:tc>
        <w:tc>
          <w:tcPr>
            <w:tcW w:w="1430" w:type="dxa"/>
            <w:vAlign w:val="top"/>
            <w:gridSpan w:val="2"/>
            <w:tcBorders>
              <w:left w:val="single" w:color="000000" w:sz="2" w:space="0"/>
            </w:tcBorders>
          </w:tcPr>
          <w:p>
            <w:pPr>
              <w:spacing w:line="258" w:lineRule="auto"/>
              <w:rPr>
                <w:rFonts w:ascii="Arial"/>
                <w:sz w:val="21"/>
              </w:rPr>
            </w:pPr>
            <w:r/>
          </w:p>
          <w:p>
            <w:pPr>
              <w:spacing w:line="258" w:lineRule="auto"/>
              <w:rPr>
                <w:rFonts w:ascii="Arial"/>
                <w:sz w:val="21"/>
              </w:rPr>
            </w:pPr>
            <w:r/>
          </w:p>
          <w:p>
            <w:pPr>
              <w:pStyle w:val="TableText"/>
              <w:ind w:left="298"/>
              <w:spacing w:before="68" w:line="218" w:lineRule="auto"/>
              <w:rPr/>
            </w:pPr>
            <w:r>
              <w:rPr>
                <w:spacing w:val="-2"/>
              </w:rPr>
              <w:t>食堂油烟</w:t>
            </w:r>
          </w:p>
        </w:tc>
        <w:tc>
          <w:tcPr>
            <w:tcW w:w="1056" w:type="dxa"/>
            <w:vAlign w:val="top"/>
          </w:tcPr>
          <w:p>
            <w:pPr>
              <w:spacing w:line="258" w:lineRule="auto"/>
              <w:rPr>
                <w:rFonts w:ascii="Arial"/>
                <w:sz w:val="21"/>
              </w:rPr>
            </w:pPr>
            <w:r/>
          </w:p>
          <w:p>
            <w:pPr>
              <w:spacing w:line="258" w:lineRule="auto"/>
              <w:rPr>
                <w:rFonts w:ascii="Arial"/>
                <w:sz w:val="21"/>
              </w:rPr>
            </w:pPr>
            <w:r/>
          </w:p>
          <w:p>
            <w:pPr>
              <w:pStyle w:val="TableText"/>
              <w:ind w:left="112"/>
              <w:spacing w:before="69" w:line="221" w:lineRule="auto"/>
              <w:rPr/>
            </w:pPr>
            <w:r>
              <w:rPr>
                <w:spacing w:val="-3"/>
              </w:rPr>
              <w:t>油烟浓度</w:t>
            </w:r>
          </w:p>
        </w:tc>
        <w:tc>
          <w:tcPr>
            <w:tcW w:w="1404" w:type="dxa"/>
            <w:vAlign w:val="top"/>
          </w:tcPr>
          <w:p>
            <w:pPr>
              <w:spacing w:line="250" w:lineRule="auto"/>
              <w:rPr>
                <w:rFonts w:ascii="Arial"/>
                <w:sz w:val="21"/>
              </w:rPr>
            </w:pPr>
            <w:r/>
          </w:p>
          <w:p>
            <w:pPr>
              <w:spacing w:line="251" w:lineRule="auto"/>
              <w:rPr>
                <w:rFonts w:ascii="Arial"/>
                <w:sz w:val="21"/>
              </w:rPr>
            </w:pPr>
            <w:r/>
          </w:p>
          <w:p>
            <w:pPr>
              <w:ind w:left="240"/>
              <w:spacing w:before="61" w:line="226" w:lineRule="auto"/>
              <w:rPr>
                <w:rFonts w:ascii="Times New Roman" w:hAnsi="Times New Roman" w:eastAsia="Times New Roman" w:cs="Times New Roman"/>
                <w:sz w:val="13"/>
                <w:szCs w:val="13"/>
              </w:rPr>
            </w:pPr>
            <w:r>
              <w:rPr>
                <w:rFonts w:ascii="Times New Roman" w:hAnsi="Times New Roman" w:eastAsia="Times New Roman" w:cs="Times New Roman"/>
                <w:sz w:val="21"/>
                <w:szCs w:val="21"/>
                <w:spacing w:val="-1"/>
              </w:rPr>
              <w:t>0.73mg/m</w:t>
            </w:r>
            <w:r>
              <w:rPr>
                <w:rFonts w:ascii="Times New Roman" w:hAnsi="Times New Roman" w:eastAsia="Times New Roman" w:cs="Times New Roman"/>
                <w:sz w:val="13"/>
                <w:szCs w:val="13"/>
                <w:spacing w:val="-1"/>
                <w:position w:val="9"/>
              </w:rPr>
              <w:t>3</w:t>
            </w:r>
          </w:p>
        </w:tc>
        <w:tc>
          <w:tcPr>
            <w:tcW w:w="1109" w:type="dxa"/>
            <w:vAlign w:val="top"/>
          </w:tcPr>
          <w:p>
            <w:pPr>
              <w:spacing w:line="276" w:lineRule="auto"/>
              <w:rPr>
                <w:rFonts w:ascii="Arial"/>
                <w:sz w:val="21"/>
              </w:rPr>
            </w:pPr>
            <w:r/>
          </w:p>
          <w:p>
            <w:pPr>
              <w:spacing w:line="276" w:lineRule="auto"/>
              <w:rPr>
                <w:rFonts w:ascii="Arial"/>
                <w:sz w:val="21"/>
              </w:rPr>
            </w:pPr>
            <w:r/>
          </w:p>
          <w:p>
            <w:pPr>
              <w:ind w:left="264"/>
              <w:spacing w:before="6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0.0007</w:t>
            </w:r>
          </w:p>
        </w:tc>
        <w:tc>
          <w:tcPr>
            <w:tcW w:w="765" w:type="dxa"/>
            <w:vAlign w:val="top"/>
          </w:tcPr>
          <w:p>
            <w:pPr>
              <w:pStyle w:val="TableText"/>
              <w:ind w:left="179"/>
              <w:spacing w:before="42" w:line="221" w:lineRule="auto"/>
              <w:rPr/>
            </w:pPr>
            <w:r>
              <w:rPr>
                <w:spacing w:val="-3"/>
              </w:rPr>
              <w:t>高于</w:t>
            </w:r>
          </w:p>
          <w:p>
            <w:pPr>
              <w:pStyle w:val="TableText"/>
              <w:ind w:left="135" w:right="114" w:firstLine="39"/>
              <w:spacing w:before="21" w:line="239" w:lineRule="auto"/>
              <w:jc w:val="both"/>
              <w:rPr/>
            </w:pPr>
            <w:r>
              <w:rPr>
                <w:spacing w:val="-4"/>
              </w:rPr>
              <w:t>房屋</w:t>
            </w:r>
            <w:r>
              <w:rPr>
                <w:rFonts w:ascii="Times New Roman" w:hAnsi="Times New Roman" w:eastAsia="Times New Roman" w:cs="Times New Roman"/>
                <w:spacing w:val="-19"/>
              </w:rPr>
              <w:t>1m</w:t>
            </w:r>
            <w:r>
              <w:rPr>
                <w:rFonts w:ascii="Times New Roman" w:hAnsi="Times New Roman" w:eastAsia="Times New Roman" w:cs="Times New Roman"/>
                <w:spacing w:val="30"/>
                <w:w w:val="101"/>
              </w:rPr>
              <w:t xml:space="preserve"> </w:t>
            </w:r>
            <w:r>
              <w:rPr>
                <w:spacing w:val="-19"/>
              </w:rPr>
              <w:t>以</w:t>
            </w:r>
            <w:r>
              <w:rPr>
                <w:spacing w:val="16"/>
              </w:rPr>
              <w:t>上排</w:t>
            </w:r>
          </w:p>
          <w:p>
            <w:pPr>
              <w:pStyle w:val="TableText"/>
              <w:ind w:left="174"/>
              <w:spacing w:before="1" w:line="191" w:lineRule="auto"/>
              <w:rPr/>
            </w:pPr>
            <w:r>
              <w:rPr>
                <w:spacing w:val="-2"/>
              </w:rPr>
              <w:t>气筒</w:t>
            </w:r>
          </w:p>
        </w:tc>
        <w:tc>
          <w:tcPr>
            <w:tcW w:w="2187" w:type="dxa"/>
            <w:vAlign w:val="top"/>
          </w:tcPr>
          <w:p>
            <w:pPr>
              <w:spacing w:line="379" w:lineRule="auto"/>
              <w:rPr>
                <w:rFonts w:ascii="Arial"/>
                <w:sz w:val="21"/>
              </w:rPr>
            </w:pPr>
            <w:r/>
          </w:p>
          <w:p>
            <w:pPr>
              <w:pStyle w:val="TableText"/>
              <w:ind w:left="255" w:right="126" w:hanging="127"/>
              <w:spacing w:before="69" w:line="237" w:lineRule="auto"/>
              <w:rPr/>
            </w:pPr>
            <w:r>
              <w:rPr>
                <w:rFonts w:ascii="Times New Roman" w:hAnsi="Times New Roman" w:eastAsia="Times New Roman" w:cs="Times New Roman"/>
                <w:spacing w:val="-1"/>
              </w:rPr>
              <w:t>GB18483-2001</w:t>
            </w:r>
            <w:r>
              <w:rPr>
                <w:spacing w:val="-1"/>
              </w:rPr>
              <w:t>《饮食</w:t>
            </w:r>
            <w:r>
              <w:rPr>
                <w:spacing w:val="-1"/>
              </w:rPr>
              <w:t>业油烟排放标准》</w:t>
            </w:r>
          </w:p>
        </w:tc>
        <w:tc>
          <w:tcPr>
            <w:tcW w:w="2626" w:type="dxa"/>
            <w:vAlign w:val="top"/>
          </w:tcPr>
          <w:p>
            <w:pPr>
              <w:spacing w:line="379" w:lineRule="auto"/>
              <w:rPr>
                <w:rFonts w:ascii="Arial"/>
                <w:sz w:val="21"/>
              </w:rPr>
            </w:pPr>
            <w:r/>
          </w:p>
          <w:p>
            <w:pPr>
              <w:pStyle w:val="TableText"/>
              <w:ind w:left="266" w:right="123" w:hanging="148"/>
              <w:spacing w:before="69" w:line="237" w:lineRule="auto"/>
              <w:rPr/>
            </w:pPr>
            <w:r>
              <w:rPr>
                <w:rFonts w:ascii="Times New Roman" w:hAnsi="Times New Roman" w:eastAsia="Times New Roman" w:cs="Times New Roman"/>
                <w:spacing w:val="-2"/>
              </w:rPr>
              <w:t>GB3095—2012</w:t>
            </w:r>
            <w:r>
              <w:rPr>
                <w:spacing w:val="-2"/>
              </w:rPr>
              <w:t>《环境空气</w:t>
            </w:r>
            <w:r>
              <w:rPr>
                <w:spacing w:val="-1"/>
              </w:rPr>
              <w:t>质量标准》中二级标准</w:t>
            </w:r>
          </w:p>
        </w:tc>
        <w:tc>
          <w:tcPr>
            <w:tcW w:w="2590" w:type="dxa"/>
            <w:vAlign w:val="top"/>
            <w:tcBorders>
              <w:right w:val="nil"/>
            </w:tcBorders>
          </w:tcPr>
          <w:p>
            <w:pPr>
              <w:spacing w:line="258" w:lineRule="auto"/>
              <w:rPr>
                <w:rFonts w:ascii="Arial"/>
                <w:sz w:val="21"/>
              </w:rPr>
            </w:pPr>
            <w:r/>
          </w:p>
          <w:p>
            <w:pPr>
              <w:spacing w:line="258" w:lineRule="auto"/>
              <w:rPr>
                <w:rFonts w:ascii="Arial"/>
                <w:sz w:val="21"/>
              </w:rPr>
            </w:pPr>
            <w:r/>
          </w:p>
          <w:p>
            <w:pPr>
              <w:pStyle w:val="TableText"/>
              <w:ind w:left="463"/>
              <w:spacing w:before="68" w:line="220" w:lineRule="auto"/>
              <w:rPr/>
            </w:pPr>
            <w:r>
              <w:rPr>
                <w:spacing w:val="-2"/>
              </w:rPr>
              <w:t>油烟净化器、风机</w:t>
            </w:r>
          </w:p>
        </w:tc>
      </w:tr>
      <w:tr>
        <w:trPr>
          <w:trHeight w:val="1114" w:hRule="atLeast"/>
        </w:trPr>
        <w:tc>
          <w:tcPr>
            <w:tcW w:w="1930" w:type="dxa"/>
            <w:vAlign w:val="top"/>
            <w:gridSpan w:val="3"/>
            <w:tcBorders>
              <w:bottom w:val="single" w:color="000000" w:sz="10" w:space="0"/>
              <w:left w:val="nil"/>
            </w:tcBorders>
          </w:tcPr>
          <w:p>
            <w:pPr>
              <w:spacing w:line="388" w:lineRule="auto"/>
              <w:rPr>
                <w:rFonts w:ascii="Arial"/>
                <w:sz w:val="21"/>
              </w:rPr>
            </w:pPr>
            <w:r/>
          </w:p>
          <w:p>
            <w:pPr>
              <w:pStyle w:val="TableText"/>
              <w:ind w:left="779"/>
              <w:spacing w:before="68" w:line="221" w:lineRule="auto"/>
              <w:rPr/>
            </w:pPr>
            <w:r>
              <w:rPr>
                <w:spacing w:val="-4"/>
              </w:rPr>
              <w:t>噪声</w:t>
            </w:r>
          </w:p>
        </w:tc>
        <w:tc>
          <w:tcPr>
            <w:tcW w:w="1056" w:type="dxa"/>
            <w:vAlign w:val="top"/>
            <w:tcBorders>
              <w:bottom w:val="single" w:color="000000" w:sz="10" w:space="0"/>
            </w:tcBorders>
          </w:tcPr>
          <w:p>
            <w:pPr>
              <w:pStyle w:val="TableText"/>
              <w:ind w:left="109"/>
              <w:spacing w:before="185" w:line="220" w:lineRule="auto"/>
              <w:rPr/>
            </w:pPr>
            <w:r>
              <w:rPr>
                <w:spacing w:val="-2"/>
              </w:rPr>
              <w:t>风机及泵</w:t>
            </w:r>
          </w:p>
          <w:p>
            <w:pPr>
              <w:pStyle w:val="TableText"/>
              <w:ind w:left="214" w:right="103" w:hanging="106"/>
              <w:spacing w:before="22" w:line="241" w:lineRule="auto"/>
              <w:rPr/>
            </w:pPr>
            <w:r>
              <w:rPr>
                <w:spacing w:val="-2"/>
              </w:rPr>
              <w:t>类等生产</w:t>
            </w:r>
            <w:r>
              <w:rPr>
                <w:spacing w:val="-2"/>
              </w:rPr>
              <w:t>设备等</w:t>
            </w:r>
          </w:p>
        </w:tc>
        <w:tc>
          <w:tcPr>
            <w:tcW w:w="1404" w:type="dxa"/>
            <w:vAlign w:val="top"/>
            <w:tcBorders>
              <w:bottom w:val="single" w:color="000000" w:sz="10" w:space="0"/>
            </w:tcBorders>
          </w:tcPr>
          <w:p>
            <w:pPr>
              <w:spacing w:line="257" w:lineRule="auto"/>
              <w:rPr>
                <w:rFonts w:ascii="Arial"/>
                <w:sz w:val="21"/>
              </w:rPr>
            </w:pPr>
            <w:r/>
          </w:p>
          <w:p>
            <w:pPr>
              <w:spacing w:line="257" w:lineRule="auto"/>
              <w:rPr>
                <w:rFonts w:ascii="Arial"/>
                <w:sz w:val="21"/>
              </w:rPr>
            </w:pPr>
            <w:r/>
          </w:p>
          <w:p>
            <w:pPr>
              <w:ind w:left="671"/>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Borders>
              <w:bottom w:val="single" w:color="000000" w:sz="10" w:space="0"/>
            </w:tcBorders>
          </w:tcPr>
          <w:p>
            <w:pPr>
              <w:spacing w:line="257" w:lineRule="auto"/>
              <w:rPr>
                <w:rFonts w:ascii="Arial"/>
                <w:sz w:val="21"/>
              </w:rPr>
            </w:pPr>
            <w:r/>
          </w:p>
          <w:p>
            <w:pPr>
              <w:spacing w:line="257" w:lineRule="auto"/>
              <w:rPr>
                <w:rFonts w:ascii="Arial"/>
                <w:sz w:val="21"/>
              </w:rPr>
            </w:pPr>
            <w:r/>
          </w:p>
          <w:p>
            <w:pPr>
              <w:ind w:left="520"/>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765" w:type="dxa"/>
            <w:vAlign w:val="top"/>
            <w:tcBorders>
              <w:bottom w:val="single" w:color="000000" w:sz="10" w:space="0"/>
            </w:tcBorders>
          </w:tcPr>
          <w:p>
            <w:pPr>
              <w:spacing w:line="257" w:lineRule="auto"/>
              <w:rPr>
                <w:rFonts w:ascii="Arial"/>
                <w:sz w:val="21"/>
              </w:rPr>
            </w:pPr>
            <w:r/>
          </w:p>
          <w:p>
            <w:pPr>
              <w:spacing w:line="257" w:lineRule="auto"/>
              <w:rPr>
                <w:rFonts w:ascii="Arial"/>
                <w:sz w:val="21"/>
              </w:rPr>
            </w:pPr>
            <w:r/>
          </w:p>
          <w:p>
            <w:pPr>
              <w:ind w:left="349"/>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Borders>
              <w:bottom w:val="single" w:color="000000" w:sz="10" w:space="0"/>
            </w:tcBorders>
          </w:tcPr>
          <w:p>
            <w:pPr>
              <w:pStyle w:val="TableText"/>
              <w:ind w:left="128"/>
              <w:spacing w:before="51" w:line="238" w:lineRule="auto"/>
              <w:rPr/>
            </w:pPr>
            <w:r>
              <w:rPr>
                <w:rFonts w:ascii="Times New Roman" w:hAnsi="Times New Roman" w:eastAsia="Times New Roman" w:cs="Times New Roman"/>
                <w:spacing w:val="-1"/>
              </w:rPr>
              <w:t>GB12348-2008</w:t>
            </w:r>
            <w:r>
              <w:rPr>
                <w:spacing w:val="-1"/>
              </w:rPr>
              <w:t>《工业</w:t>
            </w:r>
          </w:p>
          <w:p>
            <w:pPr>
              <w:pStyle w:val="TableText"/>
              <w:ind w:left="154"/>
              <w:spacing w:line="221" w:lineRule="auto"/>
              <w:rPr/>
            </w:pPr>
            <w:r>
              <w:rPr>
                <w:spacing w:val="-1"/>
              </w:rPr>
              <w:t>企业厂界环境噪声排</w:t>
            </w:r>
          </w:p>
          <w:p>
            <w:pPr>
              <w:pStyle w:val="TableText"/>
              <w:ind w:left="112"/>
              <w:spacing w:before="22" w:line="234" w:lineRule="auto"/>
              <w:rPr>
                <w:rFonts w:ascii="Times New Roman" w:hAnsi="Times New Roman" w:eastAsia="Times New Roman" w:cs="Times New Roman"/>
              </w:rPr>
            </w:pPr>
            <w:r>
              <w:rPr>
                <w:spacing w:val="-5"/>
              </w:rPr>
              <w:t>放标准》中</w:t>
            </w:r>
            <w:r>
              <w:rPr>
                <w:spacing w:val="-29"/>
              </w:rPr>
              <w:t xml:space="preserve"> </w:t>
            </w:r>
            <w:r>
              <w:rPr>
                <w:rFonts w:ascii="Times New Roman" w:hAnsi="Times New Roman" w:eastAsia="Times New Roman" w:cs="Times New Roman"/>
                <w:spacing w:val="-5"/>
              </w:rPr>
              <w:t>1 </w:t>
            </w:r>
            <w:r>
              <w:rPr>
                <w:spacing w:val="-5"/>
              </w:rPr>
              <w:t>类区及</w:t>
            </w:r>
            <w:r>
              <w:rPr>
                <w:rFonts w:ascii="Times New Roman" w:hAnsi="Times New Roman" w:eastAsia="Times New Roman" w:cs="Times New Roman"/>
                <w:spacing w:val="-5"/>
              </w:rPr>
              <w:t>4</w:t>
            </w:r>
          </w:p>
          <w:p>
            <w:pPr>
              <w:pStyle w:val="TableText"/>
              <w:ind w:left="676"/>
              <w:spacing w:before="5" w:line="208" w:lineRule="auto"/>
              <w:rPr/>
            </w:pPr>
            <w:r>
              <w:rPr>
                <w:spacing w:val="-2"/>
              </w:rPr>
              <w:t>类区标准</w:t>
            </w:r>
          </w:p>
        </w:tc>
        <w:tc>
          <w:tcPr>
            <w:tcW w:w="2626" w:type="dxa"/>
            <w:vAlign w:val="top"/>
            <w:tcBorders>
              <w:bottom w:val="single" w:color="000000" w:sz="10" w:space="0"/>
            </w:tcBorders>
          </w:tcPr>
          <w:p>
            <w:pPr>
              <w:pStyle w:val="TableText"/>
              <w:ind w:left="111"/>
              <w:spacing w:before="185" w:line="235" w:lineRule="auto"/>
              <w:rPr/>
            </w:pPr>
            <w:r>
              <w:rPr>
                <w:rFonts w:ascii="Times New Roman" w:hAnsi="Times New Roman" w:eastAsia="Times New Roman" w:cs="Times New Roman"/>
                <w:spacing w:val="-4"/>
              </w:rPr>
              <w:t>GB3096-2008</w:t>
            </w:r>
            <w:r>
              <w:rPr>
                <w:spacing w:val="-4"/>
              </w:rPr>
              <w:t>《声环境质量</w:t>
            </w:r>
          </w:p>
          <w:p>
            <w:pPr>
              <w:pStyle w:val="TableText"/>
              <w:ind w:left="115"/>
              <w:spacing w:before="6" w:line="234" w:lineRule="auto"/>
              <w:rPr/>
            </w:pPr>
            <w:r>
              <w:rPr>
                <w:spacing w:val="-3"/>
              </w:rPr>
              <w:t>标准》中</w:t>
            </w:r>
            <w:r>
              <w:rPr>
                <w:spacing w:val="-18"/>
              </w:rPr>
              <w:t xml:space="preserve"> </w:t>
            </w:r>
            <w:r>
              <w:rPr>
                <w:rFonts w:ascii="Times New Roman" w:hAnsi="Times New Roman" w:eastAsia="Times New Roman" w:cs="Times New Roman"/>
                <w:spacing w:val="-3"/>
              </w:rPr>
              <w:t>1 </w:t>
            </w:r>
            <w:r>
              <w:rPr>
                <w:spacing w:val="-3"/>
              </w:rPr>
              <w:t>类区及</w:t>
            </w:r>
            <w:r>
              <w:rPr>
                <w:spacing w:val="-49"/>
              </w:rPr>
              <w:t xml:space="preserve"> </w:t>
            </w:r>
            <w:r>
              <w:rPr>
                <w:rFonts w:ascii="Times New Roman" w:hAnsi="Times New Roman" w:eastAsia="Times New Roman" w:cs="Times New Roman"/>
                <w:spacing w:val="-3"/>
              </w:rPr>
              <w:t>4a </w:t>
            </w:r>
            <w:r>
              <w:rPr>
                <w:spacing w:val="-3"/>
              </w:rPr>
              <w:t>类区</w:t>
            </w:r>
          </w:p>
          <w:p>
            <w:pPr>
              <w:pStyle w:val="TableText"/>
              <w:ind w:left="1106"/>
              <w:spacing w:before="5" w:line="221" w:lineRule="auto"/>
              <w:rPr/>
            </w:pPr>
            <w:r>
              <w:rPr>
                <w:spacing w:val="-2"/>
              </w:rPr>
              <w:t>标准</w:t>
            </w:r>
          </w:p>
        </w:tc>
        <w:tc>
          <w:tcPr>
            <w:tcW w:w="2590" w:type="dxa"/>
            <w:vAlign w:val="top"/>
            <w:tcBorders>
              <w:bottom w:val="single" w:color="000000" w:sz="10" w:space="0"/>
              <w:right w:val="nil"/>
            </w:tcBorders>
          </w:tcPr>
          <w:p>
            <w:pPr>
              <w:pStyle w:val="TableText"/>
              <w:ind w:left="155"/>
              <w:spacing w:before="185" w:line="221" w:lineRule="auto"/>
              <w:rPr/>
            </w:pPr>
            <w:r>
              <w:rPr>
                <w:spacing w:val="-2"/>
              </w:rPr>
              <w:t>隔声、消声减振，建筑物</w:t>
            </w:r>
          </w:p>
          <w:p>
            <w:pPr>
              <w:pStyle w:val="TableText"/>
              <w:ind w:left="141"/>
              <w:spacing w:before="22" w:line="221" w:lineRule="auto"/>
              <w:rPr/>
            </w:pPr>
            <w:r>
              <w:rPr>
                <w:spacing w:val="-2"/>
              </w:rPr>
              <w:t>隔声</w:t>
            </w:r>
            <w:r>
              <w:rPr>
                <w:spacing w:val="-48"/>
              </w:rPr>
              <w:t xml:space="preserve"> </w:t>
            </w:r>
            <w:r>
              <w:rPr>
                <w:rFonts w:ascii="Times New Roman" w:hAnsi="Times New Roman" w:eastAsia="Times New Roman" w:cs="Times New Roman"/>
                <w:spacing w:val="-2"/>
              </w:rPr>
              <w:t>20dB</w:t>
            </w:r>
            <w:r>
              <w:rPr>
                <w:spacing w:val="-2"/>
              </w:rPr>
              <w:t>（</w:t>
            </w:r>
            <w:r>
              <w:rPr>
                <w:rFonts w:ascii="Times New Roman" w:hAnsi="Times New Roman" w:eastAsia="Times New Roman" w:cs="Times New Roman"/>
                <w:spacing w:val="-2"/>
              </w:rPr>
              <w:t>A</w:t>
            </w:r>
            <w:r>
              <w:rPr>
                <w:spacing w:val="-1"/>
              </w:rPr>
              <w:t>）；</w:t>
            </w:r>
            <w:r>
              <w:rPr>
                <w:spacing w:val="-2"/>
              </w:rPr>
              <w:t>设备消</w:t>
            </w:r>
          </w:p>
          <w:p>
            <w:pPr>
              <w:pStyle w:val="TableText"/>
              <w:ind w:left="450"/>
              <w:spacing w:before="20" w:line="221" w:lineRule="auto"/>
              <w:rPr/>
            </w:pPr>
            <w:r>
              <w:rPr>
                <w:spacing w:val="-4"/>
              </w:rPr>
              <w:t>声减振</w:t>
            </w:r>
            <w:r>
              <w:rPr>
                <w:spacing w:val="-24"/>
              </w:rPr>
              <w:t xml:space="preserve"> </w:t>
            </w:r>
            <w:r>
              <w:rPr>
                <w:rFonts w:ascii="Times New Roman" w:hAnsi="Times New Roman" w:eastAsia="Times New Roman" w:cs="Times New Roman"/>
                <w:spacing w:val="-4"/>
              </w:rPr>
              <w:t>10dB</w:t>
            </w:r>
            <w:r>
              <w:rPr>
                <w:spacing w:val="-4"/>
              </w:rPr>
              <w:t>（</w:t>
            </w:r>
            <w:r>
              <w:rPr>
                <w:rFonts w:ascii="Times New Roman" w:hAnsi="Times New Roman" w:eastAsia="Times New Roman" w:cs="Times New Roman"/>
                <w:spacing w:val="-4"/>
              </w:rPr>
              <w:t>A</w:t>
            </w:r>
            <w:r>
              <w:rPr>
                <w:spacing w:val="-4"/>
              </w:rPr>
              <w:t>）</w:t>
            </w:r>
          </w:p>
        </w:tc>
      </w:tr>
    </w:tbl>
    <w:p>
      <w:pPr>
        <w:pStyle w:val="BodyText"/>
        <w:rPr/>
      </w:pPr>
      <w:r/>
    </w:p>
    <w:p>
      <w:pPr>
        <w:sectPr>
          <w:headerReference w:type="default" r:id="rId206"/>
          <w:footerReference w:type="default" r:id="rId207"/>
          <w:pgSz w:w="16839" w:h="11907"/>
          <w:pgMar w:top="1582" w:right="1591" w:bottom="1235" w:left="1579" w:header="1242" w:footer="992" w:gutter="0"/>
        </w:sectPr>
        <w:rPr/>
      </w:pPr>
    </w:p>
    <w:p>
      <w:pPr>
        <w:spacing w:line="119" w:lineRule="exact"/>
        <w:rPr/>
      </w:pPr>
      <w:r/>
    </w:p>
    <w:tbl>
      <w:tblPr>
        <w:tblStyle w:val="TableNormal"/>
        <w:tblW w:w="13653" w:type="dxa"/>
        <w:tblInd w:w="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85"/>
        <w:gridCol w:w="2486"/>
        <w:gridCol w:w="1405"/>
        <w:gridCol w:w="1109"/>
        <w:gridCol w:w="765"/>
        <w:gridCol w:w="2187"/>
        <w:gridCol w:w="2626"/>
        <w:gridCol w:w="2590"/>
      </w:tblGrid>
      <w:tr>
        <w:trPr>
          <w:trHeight w:val="630" w:hRule="atLeast"/>
        </w:trPr>
        <w:tc>
          <w:tcPr>
            <w:tcW w:w="485" w:type="dxa"/>
            <w:vAlign w:val="top"/>
            <w:tcBorders>
              <w:left w:val="nil"/>
              <w:bottom w:val="nil"/>
              <w:right w:val="single" w:color="000000" w:sz="2" w:space="0"/>
              <w:top w:val="single" w:color="000000" w:sz="10" w:space="0"/>
            </w:tcBorders>
          </w:tcPr>
          <w:p>
            <w:pPr>
              <w:rPr>
                <w:rFonts w:ascii="Arial"/>
                <w:sz w:val="21"/>
              </w:rPr>
            </w:pPr>
            <w:r/>
          </w:p>
        </w:tc>
        <w:tc>
          <w:tcPr>
            <w:tcW w:w="2486" w:type="dxa"/>
            <w:vAlign w:val="top"/>
            <w:tcBorders>
              <w:left w:val="single" w:color="000000" w:sz="2" w:space="0"/>
              <w:top w:val="single" w:color="000000" w:sz="10" w:space="0"/>
            </w:tcBorders>
          </w:tcPr>
          <w:p>
            <w:pPr>
              <w:pStyle w:val="TableText"/>
              <w:ind w:left="929"/>
              <w:spacing w:before="211" w:line="221" w:lineRule="auto"/>
              <w:rPr/>
            </w:pPr>
            <w:r>
              <w:rPr>
                <w:spacing w:val="-1"/>
              </w:rPr>
              <w:t>废垫料</w:t>
            </w:r>
          </w:p>
        </w:tc>
        <w:tc>
          <w:tcPr>
            <w:tcW w:w="1405" w:type="dxa"/>
            <w:vAlign w:val="top"/>
            <w:tcBorders>
              <w:top w:val="single" w:color="000000" w:sz="10" w:space="0"/>
            </w:tcBorders>
          </w:tcPr>
          <w:p>
            <w:pPr>
              <w:spacing w:line="273" w:lineRule="auto"/>
              <w:rPr>
                <w:rFonts w:ascii="Arial"/>
                <w:sz w:val="21"/>
              </w:rPr>
            </w:pPr>
            <w:r/>
          </w:p>
          <w:p>
            <w:pPr>
              <w:ind w:left="672"/>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Borders>
              <w:top w:val="single" w:color="000000" w:sz="10" w:space="0"/>
            </w:tcBorders>
          </w:tcPr>
          <w:p>
            <w:pPr>
              <w:ind w:left="105"/>
              <w:spacing w:before="24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21940.195</w:t>
            </w:r>
          </w:p>
        </w:tc>
        <w:tc>
          <w:tcPr>
            <w:tcW w:w="765" w:type="dxa"/>
            <w:vAlign w:val="top"/>
            <w:tcBorders>
              <w:top w:val="single" w:color="000000" w:sz="10" w:space="0"/>
            </w:tcBorders>
          </w:tcPr>
          <w:p>
            <w:pPr>
              <w:spacing w:line="268" w:lineRule="auto"/>
              <w:rPr>
                <w:rFonts w:ascii="Arial"/>
                <w:sz w:val="21"/>
              </w:rPr>
            </w:pPr>
            <w:r/>
          </w:p>
          <w:p>
            <w:pPr>
              <w:ind w:left="349"/>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Borders>
              <w:top w:val="single" w:color="000000" w:sz="10" w:space="0"/>
            </w:tcBorders>
          </w:tcPr>
          <w:p>
            <w:pPr>
              <w:spacing w:line="268" w:lineRule="auto"/>
              <w:rPr>
                <w:rFonts w:ascii="Arial"/>
                <w:sz w:val="21"/>
              </w:rPr>
            </w:pPr>
            <w:r/>
          </w:p>
          <w:p>
            <w:pPr>
              <w:ind w:left="1063"/>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626" w:type="dxa"/>
            <w:vAlign w:val="top"/>
            <w:tcBorders>
              <w:bottom w:val="single" w:color="000000" w:sz="2" w:space="0"/>
              <w:top w:val="single" w:color="000000" w:sz="10" w:space="0"/>
            </w:tcBorders>
          </w:tcPr>
          <w:p>
            <w:pPr>
              <w:spacing w:line="268" w:lineRule="auto"/>
              <w:rPr>
                <w:rFonts w:ascii="Arial"/>
                <w:sz w:val="21"/>
              </w:rPr>
            </w:pPr>
            <w:r/>
          </w:p>
          <w:p>
            <w:pPr>
              <w:ind w:left="1280"/>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590" w:type="dxa"/>
            <w:vAlign w:val="top"/>
            <w:tcBorders>
              <w:right w:val="nil"/>
              <w:bottom w:val="single" w:color="000000" w:sz="2" w:space="0"/>
              <w:top w:val="single" w:color="000000" w:sz="10" w:space="0"/>
            </w:tcBorders>
          </w:tcPr>
          <w:p>
            <w:pPr>
              <w:pStyle w:val="TableText"/>
              <w:ind w:left="668" w:right="136" w:hanging="526"/>
              <w:spacing w:before="55" w:line="248" w:lineRule="auto"/>
              <w:rPr/>
            </w:pPr>
            <w:r>
              <w:rPr>
                <w:spacing w:val="-1"/>
              </w:rPr>
              <w:t>储粪库暂存，外售相关单</w:t>
            </w:r>
            <w:r>
              <w:rPr>
                <w:spacing w:val="-1"/>
              </w:rPr>
              <w:t>位生产有机肥</w:t>
            </w:r>
          </w:p>
        </w:tc>
      </w:tr>
      <w:tr>
        <w:trPr>
          <w:trHeight w:val="625" w:hRule="atLeast"/>
        </w:trPr>
        <w:tc>
          <w:tcPr>
            <w:tcW w:w="485" w:type="dxa"/>
            <w:vAlign w:val="top"/>
            <w:tcBorders>
              <w:left w:val="nil"/>
              <w:bottom w:val="nil"/>
              <w:top w:val="nil"/>
              <w:right w:val="single" w:color="000000" w:sz="2" w:space="0"/>
            </w:tcBorders>
          </w:tcPr>
          <w:p>
            <w:pPr>
              <w:rPr>
                <w:rFonts w:ascii="Arial"/>
                <w:sz w:val="21"/>
              </w:rPr>
            </w:pPr>
            <w:r/>
          </w:p>
        </w:tc>
        <w:tc>
          <w:tcPr>
            <w:tcW w:w="2486" w:type="dxa"/>
            <w:vAlign w:val="top"/>
            <w:tcBorders>
              <w:left w:val="single" w:color="000000" w:sz="2" w:space="0"/>
            </w:tcBorders>
          </w:tcPr>
          <w:p>
            <w:pPr>
              <w:pStyle w:val="TableText"/>
              <w:ind w:left="840"/>
              <w:spacing w:before="209" w:line="221" w:lineRule="auto"/>
              <w:rPr/>
            </w:pPr>
            <w:r>
              <w:rPr>
                <w:spacing w:val="-5"/>
              </w:rPr>
              <w:t>防疫废物</w:t>
            </w:r>
          </w:p>
        </w:tc>
        <w:tc>
          <w:tcPr>
            <w:tcW w:w="1405" w:type="dxa"/>
            <w:vAlign w:val="top"/>
          </w:tcPr>
          <w:p>
            <w:pPr>
              <w:spacing w:line="266" w:lineRule="auto"/>
              <w:rPr>
                <w:rFonts w:ascii="Arial"/>
                <w:sz w:val="21"/>
              </w:rPr>
            </w:pPr>
            <w:r/>
          </w:p>
          <w:p>
            <w:pPr>
              <w:ind w:left="672"/>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Pr>
          <w:p>
            <w:pPr>
              <w:ind w:left="422"/>
              <w:spacing w:before="242"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765" w:type="dxa"/>
            <w:vAlign w:val="top"/>
          </w:tcPr>
          <w:p>
            <w:pPr>
              <w:spacing w:line="266" w:lineRule="auto"/>
              <w:rPr>
                <w:rFonts w:ascii="Arial"/>
                <w:sz w:val="21"/>
              </w:rPr>
            </w:pPr>
            <w:r/>
          </w:p>
          <w:p>
            <w:pPr>
              <w:ind w:left="349"/>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Pr>
          <w:p>
            <w:pPr>
              <w:spacing w:line="266" w:lineRule="auto"/>
              <w:rPr>
                <w:rFonts w:ascii="Arial"/>
                <w:sz w:val="21"/>
              </w:rPr>
            </w:pPr>
            <w:r/>
          </w:p>
          <w:p>
            <w:pPr>
              <w:ind w:left="1063"/>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626" w:type="dxa"/>
            <w:vAlign w:val="top"/>
            <w:tcBorders>
              <w:top w:val="single" w:color="000000" w:sz="2" w:space="0"/>
            </w:tcBorders>
          </w:tcPr>
          <w:p>
            <w:pPr>
              <w:spacing w:line="266" w:lineRule="auto"/>
              <w:rPr>
                <w:rFonts w:ascii="Arial"/>
                <w:sz w:val="21"/>
              </w:rPr>
            </w:pPr>
            <w:r/>
          </w:p>
          <w:p>
            <w:pPr>
              <w:ind w:left="1280"/>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590" w:type="dxa"/>
            <w:vAlign w:val="top"/>
            <w:tcBorders>
              <w:right w:val="nil"/>
              <w:bottom w:val="single" w:color="000000" w:sz="2" w:space="0"/>
              <w:top w:val="single" w:color="000000" w:sz="2" w:space="0"/>
            </w:tcBorders>
          </w:tcPr>
          <w:p>
            <w:pPr>
              <w:pStyle w:val="TableText"/>
              <w:ind w:left="459" w:right="136" w:hanging="310"/>
              <w:spacing w:before="53" w:line="247" w:lineRule="auto"/>
              <w:rPr/>
            </w:pPr>
            <w:r>
              <w:rPr>
                <w:spacing w:val="-1"/>
              </w:rPr>
              <w:t>暂存于危废间内，定期委</w:t>
            </w:r>
            <w:r>
              <w:rPr>
                <w:spacing w:val="-1"/>
              </w:rPr>
              <w:t>托有资质部门处理</w:t>
            </w:r>
          </w:p>
        </w:tc>
      </w:tr>
      <w:tr>
        <w:trPr>
          <w:trHeight w:val="627" w:hRule="atLeast"/>
        </w:trPr>
        <w:tc>
          <w:tcPr>
            <w:tcW w:w="485" w:type="dxa"/>
            <w:vAlign w:val="top"/>
            <w:tcBorders>
              <w:left w:val="nil"/>
              <w:bottom w:val="nil"/>
              <w:top w:val="nil"/>
              <w:right w:val="single" w:color="000000" w:sz="2" w:space="0"/>
            </w:tcBorders>
          </w:tcPr>
          <w:p>
            <w:pPr>
              <w:pStyle w:val="TableText"/>
              <w:ind w:left="163"/>
              <w:spacing w:before="281" w:line="221" w:lineRule="auto"/>
              <w:rPr/>
            </w:pPr>
            <w:r>
              <w:rPr/>
              <w:t>固</w:t>
            </w:r>
          </w:p>
        </w:tc>
        <w:tc>
          <w:tcPr>
            <w:tcW w:w="2486" w:type="dxa"/>
            <w:vAlign w:val="top"/>
            <w:tcBorders>
              <w:left w:val="single" w:color="000000" w:sz="2" w:space="0"/>
            </w:tcBorders>
          </w:tcPr>
          <w:p>
            <w:pPr>
              <w:pStyle w:val="TableText"/>
              <w:ind w:left="929"/>
              <w:spacing w:before="215" w:line="222" w:lineRule="auto"/>
              <w:rPr/>
            </w:pPr>
            <w:r>
              <w:rPr>
                <w:spacing w:val="-1"/>
              </w:rPr>
              <w:t>病死牛</w:t>
            </w:r>
          </w:p>
        </w:tc>
        <w:tc>
          <w:tcPr>
            <w:tcW w:w="1405" w:type="dxa"/>
            <w:vAlign w:val="top"/>
          </w:tcPr>
          <w:p>
            <w:pPr>
              <w:spacing w:line="270" w:lineRule="auto"/>
              <w:rPr>
                <w:rFonts w:ascii="Arial"/>
                <w:sz w:val="21"/>
              </w:rPr>
            </w:pPr>
            <w:r/>
          </w:p>
          <w:p>
            <w:pPr>
              <w:ind w:left="672"/>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Pr>
          <w:p>
            <w:pPr>
              <w:ind w:left="466"/>
              <w:spacing w:before="248" w:line="23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765" w:type="dxa"/>
            <w:vAlign w:val="top"/>
          </w:tcPr>
          <w:p>
            <w:pPr>
              <w:spacing w:line="270" w:lineRule="auto"/>
              <w:rPr>
                <w:rFonts w:ascii="Arial"/>
                <w:sz w:val="21"/>
              </w:rPr>
            </w:pPr>
            <w:r/>
          </w:p>
          <w:p>
            <w:pPr>
              <w:ind w:left="349"/>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Pr>
          <w:p>
            <w:pPr>
              <w:spacing w:line="270" w:lineRule="auto"/>
              <w:rPr>
                <w:rFonts w:ascii="Arial"/>
                <w:sz w:val="21"/>
              </w:rPr>
            </w:pPr>
            <w:r/>
          </w:p>
          <w:p>
            <w:pPr>
              <w:ind w:left="1063"/>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626" w:type="dxa"/>
            <w:vAlign w:val="top"/>
          </w:tcPr>
          <w:p>
            <w:pPr>
              <w:spacing w:line="270" w:lineRule="auto"/>
              <w:rPr>
                <w:rFonts w:ascii="Arial"/>
                <w:sz w:val="21"/>
              </w:rPr>
            </w:pPr>
            <w:r/>
          </w:p>
          <w:p>
            <w:pPr>
              <w:ind w:left="1280"/>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590" w:type="dxa"/>
            <w:vAlign w:val="top"/>
            <w:tcBorders>
              <w:right w:val="nil"/>
              <w:bottom w:val="single" w:color="000000" w:sz="2" w:space="0"/>
              <w:top w:val="single" w:color="000000" w:sz="2" w:space="0"/>
            </w:tcBorders>
          </w:tcPr>
          <w:p>
            <w:pPr>
              <w:pStyle w:val="TableText"/>
              <w:ind w:left="142"/>
              <w:spacing w:before="59" w:line="217" w:lineRule="auto"/>
              <w:rPr/>
            </w:pPr>
            <w:r>
              <w:rPr>
                <w:spacing w:val="-1"/>
              </w:rPr>
              <w:t>委托相关单位进行无害化</w:t>
            </w:r>
          </w:p>
          <w:p>
            <w:pPr>
              <w:pStyle w:val="TableText"/>
              <w:ind w:left="987"/>
              <w:spacing w:before="66" w:line="215" w:lineRule="auto"/>
              <w:rPr/>
            </w:pPr>
            <w:r>
              <w:rPr>
                <w:spacing w:val="-4"/>
              </w:rPr>
              <w:t>处置。</w:t>
            </w:r>
          </w:p>
        </w:tc>
      </w:tr>
      <w:tr>
        <w:trPr>
          <w:trHeight w:val="625" w:hRule="atLeast"/>
        </w:trPr>
        <w:tc>
          <w:tcPr>
            <w:tcW w:w="485" w:type="dxa"/>
            <w:vAlign w:val="top"/>
            <w:textDirection w:val="tbRlV"/>
            <w:tcBorders>
              <w:left w:val="nil"/>
              <w:bottom w:val="nil"/>
              <w:top w:val="nil"/>
              <w:right w:val="single" w:color="000000" w:sz="2" w:space="0"/>
            </w:tcBorders>
          </w:tcPr>
          <w:p>
            <w:pPr>
              <w:pStyle w:val="TableText"/>
              <w:spacing w:before="134" w:line="210" w:lineRule="auto"/>
              <w:jc w:val="right"/>
              <w:rPr/>
            </w:pPr>
            <w:r>
              <w:rPr>
                <w:spacing w:val="-2"/>
              </w:rPr>
              <w:t>体废物</w:t>
            </w:r>
          </w:p>
        </w:tc>
        <w:tc>
          <w:tcPr>
            <w:tcW w:w="2486" w:type="dxa"/>
            <w:vAlign w:val="top"/>
            <w:tcBorders>
              <w:left w:val="single" w:color="000000" w:sz="2" w:space="0"/>
            </w:tcBorders>
          </w:tcPr>
          <w:p>
            <w:pPr>
              <w:pStyle w:val="TableText"/>
              <w:ind w:left="828"/>
              <w:spacing w:before="217" w:line="221" w:lineRule="auto"/>
              <w:rPr/>
            </w:pPr>
            <w:r>
              <w:rPr>
                <w:spacing w:val="-2"/>
              </w:rPr>
              <w:t>生活垃圾</w:t>
            </w:r>
          </w:p>
        </w:tc>
        <w:tc>
          <w:tcPr>
            <w:tcW w:w="1405" w:type="dxa"/>
            <w:vAlign w:val="top"/>
          </w:tcPr>
          <w:p>
            <w:pPr>
              <w:spacing w:line="274" w:lineRule="auto"/>
              <w:rPr>
                <w:rFonts w:ascii="Arial"/>
                <w:sz w:val="21"/>
              </w:rPr>
            </w:pPr>
            <w:r/>
          </w:p>
          <w:p>
            <w:pPr>
              <w:ind w:left="672"/>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Pr>
          <w:p>
            <w:pPr>
              <w:ind w:left="371"/>
              <w:spacing w:before="250"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3.65</w:t>
            </w:r>
          </w:p>
        </w:tc>
        <w:tc>
          <w:tcPr>
            <w:tcW w:w="765" w:type="dxa"/>
            <w:vAlign w:val="top"/>
          </w:tcPr>
          <w:p>
            <w:pPr>
              <w:spacing w:line="274" w:lineRule="auto"/>
              <w:rPr>
                <w:rFonts w:ascii="Arial"/>
                <w:sz w:val="21"/>
              </w:rPr>
            </w:pPr>
            <w:r/>
          </w:p>
          <w:p>
            <w:pPr>
              <w:ind w:left="349"/>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Pr>
          <w:p>
            <w:pPr>
              <w:spacing w:line="274" w:lineRule="auto"/>
              <w:rPr>
                <w:rFonts w:ascii="Arial"/>
                <w:sz w:val="21"/>
              </w:rPr>
            </w:pPr>
            <w:r/>
          </w:p>
          <w:p>
            <w:pPr>
              <w:ind w:left="1063"/>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626" w:type="dxa"/>
            <w:vAlign w:val="top"/>
          </w:tcPr>
          <w:p>
            <w:pPr>
              <w:spacing w:line="274" w:lineRule="auto"/>
              <w:rPr>
                <w:rFonts w:ascii="Arial"/>
                <w:sz w:val="21"/>
              </w:rPr>
            </w:pPr>
            <w:r/>
          </w:p>
          <w:p>
            <w:pPr>
              <w:ind w:left="1280"/>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590" w:type="dxa"/>
            <w:vAlign w:val="top"/>
            <w:tcBorders>
              <w:right w:val="nil"/>
              <w:top w:val="single" w:color="000000" w:sz="2" w:space="0"/>
            </w:tcBorders>
          </w:tcPr>
          <w:p>
            <w:pPr>
              <w:pStyle w:val="TableText"/>
              <w:ind w:left="148"/>
              <w:spacing w:before="60" w:line="221" w:lineRule="auto"/>
              <w:rPr/>
            </w:pPr>
            <w:r>
              <w:rPr>
                <w:spacing w:val="-1"/>
              </w:rPr>
              <w:t>定期交由环卫部门进行统</w:t>
            </w:r>
          </w:p>
          <w:p>
            <w:pPr>
              <w:pStyle w:val="TableText"/>
              <w:ind w:left="986"/>
              <w:spacing w:before="61" w:line="212" w:lineRule="auto"/>
              <w:rPr/>
            </w:pPr>
            <w:r>
              <w:rPr>
                <w:spacing w:val="-3"/>
              </w:rPr>
              <w:t>一处理</w:t>
            </w:r>
          </w:p>
        </w:tc>
      </w:tr>
      <w:tr>
        <w:trPr>
          <w:trHeight w:val="625" w:hRule="atLeast"/>
        </w:trPr>
        <w:tc>
          <w:tcPr>
            <w:tcW w:w="485" w:type="dxa"/>
            <w:vAlign w:val="top"/>
            <w:tcBorders>
              <w:left w:val="nil"/>
              <w:bottom w:val="nil"/>
              <w:top w:val="nil"/>
              <w:right w:val="single" w:color="000000" w:sz="2" w:space="0"/>
            </w:tcBorders>
          </w:tcPr>
          <w:p>
            <w:pPr>
              <w:rPr>
                <w:rFonts w:ascii="Arial"/>
                <w:sz w:val="21"/>
              </w:rPr>
            </w:pPr>
            <w:r/>
          </w:p>
        </w:tc>
        <w:tc>
          <w:tcPr>
            <w:tcW w:w="2486" w:type="dxa"/>
            <w:vAlign w:val="top"/>
            <w:tcBorders>
              <w:left w:val="single" w:color="000000" w:sz="2" w:space="0"/>
            </w:tcBorders>
          </w:tcPr>
          <w:p>
            <w:pPr>
              <w:pStyle w:val="TableText"/>
              <w:ind w:left="514"/>
              <w:spacing w:before="220" w:line="220" w:lineRule="auto"/>
              <w:rPr/>
            </w:pPr>
            <w:r>
              <w:rPr>
                <w:spacing w:val="-2"/>
              </w:rPr>
              <w:t>消毒剂废包装袋</w:t>
            </w:r>
          </w:p>
        </w:tc>
        <w:tc>
          <w:tcPr>
            <w:tcW w:w="1405" w:type="dxa"/>
            <w:vAlign w:val="top"/>
          </w:tcPr>
          <w:p>
            <w:pPr>
              <w:spacing w:line="277" w:lineRule="auto"/>
              <w:rPr>
                <w:rFonts w:ascii="Arial"/>
                <w:sz w:val="21"/>
              </w:rPr>
            </w:pPr>
            <w:r/>
          </w:p>
          <w:p>
            <w:pPr>
              <w:ind w:left="672"/>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Pr>
          <w:p>
            <w:pPr>
              <w:ind w:left="422"/>
              <w:spacing w:before="253"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w:t>
            </w:r>
          </w:p>
        </w:tc>
        <w:tc>
          <w:tcPr>
            <w:tcW w:w="765" w:type="dxa"/>
            <w:vAlign w:val="top"/>
          </w:tcPr>
          <w:p>
            <w:pPr>
              <w:spacing w:line="277" w:lineRule="auto"/>
              <w:rPr>
                <w:rFonts w:ascii="Arial"/>
                <w:sz w:val="21"/>
              </w:rPr>
            </w:pPr>
            <w:r/>
          </w:p>
          <w:p>
            <w:pPr>
              <w:ind w:left="349"/>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Pr>
          <w:p>
            <w:pPr>
              <w:spacing w:line="277" w:lineRule="auto"/>
              <w:rPr>
                <w:rFonts w:ascii="Arial"/>
                <w:sz w:val="21"/>
              </w:rPr>
            </w:pPr>
            <w:r/>
          </w:p>
          <w:p>
            <w:pPr>
              <w:ind w:left="1063"/>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626" w:type="dxa"/>
            <w:vAlign w:val="top"/>
          </w:tcPr>
          <w:p>
            <w:pPr>
              <w:spacing w:line="277" w:lineRule="auto"/>
              <w:rPr>
                <w:rFonts w:ascii="Arial"/>
                <w:sz w:val="21"/>
              </w:rPr>
            </w:pPr>
            <w:r/>
          </w:p>
          <w:p>
            <w:pPr>
              <w:ind w:left="1280"/>
              <w:spacing w:before="6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590" w:type="dxa"/>
            <w:vAlign w:val="top"/>
            <w:tcBorders>
              <w:right w:val="nil"/>
            </w:tcBorders>
          </w:tcPr>
          <w:p>
            <w:pPr>
              <w:pStyle w:val="TableText"/>
              <w:ind w:left="459" w:right="136" w:hanging="310"/>
              <w:spacing w:before="64" w:line="242" w:lineRule="auto"/>
              <w:rPr/>
            </w:pPr>
            <w:r>
              <w:rPr>
                <w:spacing w:val="-1"/>
              </w:rPr>
              <w:t>暂存于危废间内，定期委</w:t>
            </w:r>
            <w:r>
              <w:rPr>
                <w:spacing w:val="-1"/>
              </w:rPr>
              <w:t>托有资质部门处理</w:t>
            </w:r>
          </w:p>
        </w:tc>
      </w:tr>
      <w:tr>
        <w:trPr>
          <w:trHeight w:val="959" w:hRule="atLeast"/>
        </w:trPr>
        <w:tc>
          <w:tcPr>
            <w:tcW w:w="485" w:type="dxa"/>
            <w:vAlign w:val="top"/>
            <w:tcBorders>
              <w:left w:val="nil"/>
              <w:top w:val="nil"/>
              <w:right w:val="single" w:color="000000" w:sz="2" w:space="0"/>
              <w:bottom w:val="single" w:color="000000" w:sz="10" w:space="0"/>
            </w:tcBorders>
          </w:tcPr>
          <w:p>
            <w:pPr>
              <w:rPr>
                <w:rFonts w:ascii="Arial"/>
                <w:sz w:val="21"/>
              </w:rPr>
            </w:pPr>
            <w:r/>
          </w:p>
        </w:tc>
        <w:tc>
          <w:tcPr>
            <w:tcW w:w="2486" w:type="dxa"/>
            <w:vAlign w:val="top"/>
            <w:tcBorders>
              <w:left w:val="single" w:color="000000" w:sz="2" w:space="0"/>
              <w:bottom w:val="single" w:color="000000" w:sz="10" w:space="0"/>
            </w:tcBorders>
          </w:tcPr>
          <w:p>
            <w:pPr>
              <w:spacing w:line="310" w:lineRule="auto"/>
              <w:rPr>
                <w:rFonts w:ascii="Arial"/>
                <w:sz w:val="21"/>
              </w:rPr>
            </w:pPr>
            <w:r/>
          </w:p>
          <w:p>
            <w:pPr>
              <w:pStyle w:val="TableText"/>
              <w:ind w:left="828"/>
              <w:spacing w:before="68" w:line="220" w:lineRule="auto"/>
              <w:rPr/>
            </w:pPr>
            <w:r>
              <w:rPr>
                <w:spacing w:val="-2"/>
              </w:rPr>
              <w:t>餐厨垃圾</w:t>
            </w:r>
          </w:p>
        </w:tc>
        <w:tc>
          <w:tcPr>
            <w:tcW w:w="1405" w:type="dxa"/>
            <w:vAlign w:val="top"/>
            <w:tcBorders>
              <w:bottom w:val="single" w:color="000000" w:sz="10" w:space="0"/>
            </w:tcBorders>
          </w:tcPr>
          <w:p>
            <w:pPr>
              <w:spacing w:line="436" w:lineRule="auto"/>
              <w:rPr>
                <w:rFonts w:ascii="Arial"/>
                <w:sz w:val="21"/>
              </w:rPr>
            </w:pPr>
            <w:r/>
          </w:p>
          <w:p>
            <w:pPr>
              <w:ind w:left="672"/>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1109" w:type="dxa"/>
            <w:vAlign w:val="top"/>
            <w:tcBorders>
              <w:bottom w:val="single" w:color="000000" w:sz="10" w:space="0"/>
            </w:tcBorders>
          </w:tcPr>
          <w:p>
            <w:pPr>
              <w:spacing w:line="350" w:lineRule="auto"/>
              <w:rPr>
                <w:rFonts w:ascii="Arial"/>
                <w:sz w:val="21"/>
              </w:rPr>
            </w:pPr>
            <w:r/>
          </w:p>
          <w:p>
            <w:pPr>
              <w:ind w:left="387"/>
              <w:spacing w:before="61" w:line="23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1.46</w:t>
            </w:r>
          </w:p>
        </w:tc>
        <w:tc>
          <w:tcPr>
            <w:tcW w:w="765" w:type="dxa"/>
            <w:vAlign w:val="top"/>
            <w:tcBorders>
              <w:bottom w:val="single" w:color="000000" w:sz="10" w:space="0"/>
            </w:tcBorders>
          </w:tcPr>
          <w:p>
            <w:pPr>
              <w:spacing w:line="436" w:lineRule="auto"/>
              <w:rPr>
                <w:rFonts w:ascii="Arial"/>
                <w:sz w:val="21"/>
              </w:rPr>
            </w:pPr>
            <w:r/>
          </w:p>
          <w:p>
            <w:pPr>
              <w:ind w:left="349"/>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187" w:type="dxa"/>
            <w:vAlign w:val="top"/>
            <w:tcBorders>
              <w:bottom w:val="single" w:color="000000" w:sz="10" w:space="0"/>
            </w:tcBorders>
          </w:tcPr>
          <w:p>
            <w:pPr>
              <w:spacing w:line="436" w:lineRule="auto"/>
              <w:rPr>
                <w:rFonts w:ascii="Arial"/>
                <w:sz w:val="21"/>
              </w:rPr>
            </w:pPr>
            <w:r/>
          </w:p>
          <w:p>
            <w:pPr>
              <w:ind w:left="1063"/>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626" w:type="dxa"/>
            <w:vAlign w:val="top"/>
            <w:tcBorders>
              <w:bottom w:val="single" w:color="000000" w:sz="10" w:space="0"/>
            </w:tcBorders>
          </w:tcPr>
          <w:p>
            <w:pPr>
              <w:spacing w:line="436" w:lineRule="auto"/>
              <w:rPr>
                <w:rFonts w:ascii="Arial"/>
                <w:sz w:val="21"/>
              </w:rPr>
            </w:pPr>
            <w:r/>
          </w:p>
          <w:p>
            <w:pPr>
              <w:ind w:left="1280"/>
              <w:spacing w:before="60"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6"/>
              </w:rPr>
              <w:t>-</w:t>
            </w:r>
          </w:p>
        </w:tc>
        <w:tc>
          <w:tcPr>
            <w:tcW w:w="2590" w:type="dxa"/>
            <w:vAlign w:val="top"/>
            <w:tcBorders>
              <w:right w:val="nil"/>
              <w:bottom w:val="single" w:color="000000" w:sz="10" w:space="0"/>
            </w:tcBorders>
          </w:tcPr>
          <w:p>
            <w:pPr>
              <w:pStyle w:val="TableText"/>
              <w:ind w:left="143"/>
              <w:spacing w:before="67" w:line="221" w:lineRule="auto"/>
              <w:rPr/>
            </w:pPr>
            <w:r>
              <w:rPr>
                <w:spacing w:val="-1"/>
              </w:rPr>
              <w:t>每日使用加盖塑料桶进行</w:t>
            </w:r>
          </w:p>
          <w:p>
            <w:pPr>
              <w:pStyle w:val="TableText"/>
              <w:ind w:left="150"/>
              <w:spacing w:before="61" w:line="221" w:lineRule="auto"/>
              <w:rPr/>
            </w:pPr>
            <w:r>
              <w:rPr>
                <w:spacing w:val="-2"/>
              </w:rPr>
              <w:t>收集，定期交由环卫部门</w:t>
            </w:r>
          </w:p>
          <w:p>
            <w:pPr>
              <w:pStyle w:val="TableText"/>
              <w:ind w:left="666"/>
              <w:spacing w:before="61" w:line="221" w:lineRule="auto"/>
              <w:rPr/>
            </w:pPr>
            <w:r>
              <w:rPr>
                <w:spacing w:val="-1"/>
              </w:rPr>
              <w:t>进行统一处理</w:t>
            </w:r>
          </w:p>
        </w:tc>
      </w:tr>
    </w:tbl>
    <w:p>
      <w:pPr>
        <w:pStyle w:val="BodyText"/>
        <w:rPr/>
      </w:pPr>
      <w:r/>
    </w:p>
    <w:p>
      <w:pPr>
        <w:sectPr>
          <w:headerReference w:type="default" r:id="rId208"/>
          <w:footerReference w:type="default" r:id="rId209"/>
          <w:pgSz w:w="16839" w:h="11907"/>
          <w:pgMar w:top="1582" w:right="1591" w:bottom="1235" w:left="1593" w:header="1242" w:footer="992" w:gutter="0"/>
        </w:sectPr>
        <w:rPr/>
      </w:pPr>
    </w:p>
    <w:p>
      <w:pPr>
        <w:pStyle w:val="BodyText"/>
        <w:spacing w:line="414" w:lineRule="auto"/>
        <w:rPr/>
      </w:pPr>
      <w:r/>
    </w:p>
    <w:p>
      <w:pPr>
        <w:ind w:left="344"/>
        <w:spacing w:before="78" w:line="234" w:lineRule="auto"/>
        <w:outlineLvl w:val="1"/>
        <w:rPr>
          <w:rFonts w:ascii="SimSun" w:hAnsi="SimSun" w:eastAsia="SimSun" w:cs="SimSun"/>
          <w:sz w:val="24"/>
          <w:szCs w:val="24"/>
        </w:rPr>
      </w:pPr>
      <w:bookmarkStart w:name="bookmark48" w:id="55"/>
      <w:bookmarkEnd w:id="55"/>
      <w:r>
        <w:rPr>
          <w:rFonts w:ascii="Times New Roman" w:hAnsi="Times New Roman" w:eastAsia="Times New Roman" w:cs="Times New Roman"/>
          <w:sz w:val="24"/>
          <w:szCs w:val="24"/>
          <w:b/>
          <w:bCs/>
          <w:spacing w:val="-2"/>
        </w:rPr>
        <w:t>8.3 </w:t>
      </w:r>
      <w:r>
        <w:rPr>
          <w:rFonts w:ascii="SimSun" w:hAnsi="SimSun" w:eastAsia="SimSun" w:cs="SimSun"/>
          <w:sz w:val="24"/>
          <w:szCs w:val="24"/>
          <w:b/>
          <w:bCs/>
          <w:spacing w:val="-2"/>
        </w:rPr>
        <w:t>环境监测</w:t>
      </w:r>
    </w:p>
    <w:p>
      <w:pPr>
        <w:pStyle w:val="BodyText"/>
        <w:spacing w:line="259" w:lineRule="auto"/>
        <w:rPr/>
      </w:pPr>
      <w:r/>
    </w:p>
    <w:p>
      <w:pPr>
        <w:ind w:left="343" w:right="250" w:firstLine="481"/>
        <w:spacing w:before="78" w:line="360" w:lineRule="auto"/>
        <w:jc w:val="both"/>
        <w:rPr>
          <w:rFonts w:ascii="SimSun" w:hAnsi="SimSun" w:eastAsia="SimSun" w:cs="SimSun"/>
          <w:sz w:val="24"/>
          <w:szCs w:val="24"/>
        </w:rPr>
      </w:pPr>
      <w:r>
        <w:rPr>
          <w:rFonts w:ascii="SimSun" w:hAnsi="SimSun" w:eastAsia="SimSun" w:cs="SimSun"/>
          <w:sz w:val="24"/>
          <w:szCs w:val="24"/>
          <w:spacing w:val="3"/>
        </w:rPr>
        <w:t>环境监测是掌握环境质量和了解其变化动态</w:t>
      </w:r>
      <w:r>
        <w:rPr>
          <w:rFonts w:ascii="SimSun" w:hAnsi="SimSun" w:eastAsia="SimSun" w:cs="SimSun"/>
          <w:sz w:val="24"/>
          <w:szCs w:val="24"/>
          <w:spacing w:val="2"/>
        </w:rPr>
        <w:t>的重要手段，其目的在于掌握排</w:t>
      </w:r>
      <w:r>
        <w:rPr>
          <w:rFonts w:ascii="SimSun" w:hAnsi="SimSun" w:eastAsia="SimSun" w:cs="SimSun"/>
          <w:sz w:val="24"/>
          <w:szCs w:val="24"/>
          <w:spacing w:val="2"/>
        </w:rPr>
        <w:t>放的污染物是否符合环境保护标准，监督生产安全运行和配合环境管理工作的改</w:t>
      </w:r>
      <w:r>
        <w:rPr>
          <w:rFonts w:ascii="SimSun" w:hAnsi="SimSun" w:eastAsia="SimSun" w:cs="SimSun"/>
          <w:sz w:val="24"/>
          <w:szCs w:val="24"/>
          <w:spacing w:val="2"/>
        </w:rPr>
        <w:t>进，并为控制污染和保护环境提供科学依据。根据实际情况，企业不设专门的监</w:t>
      </w:r>
      <w:r>
        <w:rPr>
          <w:rFonts w:ascii="SimSun" w:hAnsi="SimSun" w:eastAsia="SimSun" w:cs="SimSun"/>
          <w:sz w:val="24"/>
          <w:szCs w:val="24"/>
          <w:spacing w:val="-2"/>
        </w:rPr>
        <w:t>测机构，建议企业建立环境监测计划，监测工作可委托有资质的第三方机构进行。</w:t>
      </w:r>
    </w:p>
    <w:p>
      <w:pPr>
        <w:ind w:left="346" w:right="335" w:firstLine="478"/>
        <w:spacing w:before="3" w:line="358" w:lineRule="auto"/>
        <w:jc w:val="both"/>
        <w:rPr>
          <w:rFonts w:ascii="SimSun" w:hAnsi="SimSun" w:eastAsia="SimSun" w:cs="SimSun"/>
          <w:sz w:val="24"/>
          <w:szCs w:val="24"/>
        </w:rPr>
      </w:pPr>
      <w:r>
        <w:rPr>
          <w:rFonts w:ascii="SimSun" w:hAnsi="SimSun" w:eastAsia="SimSun" w:cs="SimSun"/>
          <w:sz w:val="24"/>
          <w:szCs w:val="24"/>
          <w:spacing w:val="3"/>
        </w:rPr>
        <w:t>根据企业建设项目污染源排放特点以及处理</w:t>
      </w:r>
      <w:r>
        <w:rPr>
          <w:rFonts w:ascii="SimSun" w:hAnsi="SimSun" w:eastAsia="SimSun" w:cs="SimSun"/>
          <w:sz w:val="24"/>
          <w:szCs w:val="24"/>
          <w:spacing w:val="2"/>
        </w:rPr>
        <w:t>设施运行情况，本项目参照《排</w:t>
      </w:r>
      <w:r>
        <w:rPr>
          <w:rFonts w:ascii="SimSun" w:hAnsi="SimSun" w:eastAsia="SimSun" w:cs="SimSun"/>
          <w:sz w:val="24"/>
          <w:szCs w:val="24"/>
          <w:spacing w:val="2"/>
        </w:rPr>
        <w:t>污许可证申请与核发技术规范</w:t>
      </w:r>
      <w:r>
        <w:rPr>
          <w:rFonts w:ascii="SimSun" w:hAnsi="SimSun" w:eastAsia="SimSun" w:cs="SimSun"/>
          <w:sz w:val="24"/>
          <w:szCs w:val="24"/>
          <w:spacing w:val="35"/>
        </w:rPr>
        <w:t xml:space="preserve"> </w:t>
      </w:r>
      <w:r>
        <w:rPr>
          <w:rFonts w:ascii="SimSun" w:hAnsi="SimSun" w:eastAsia="SimSun" w:cs="SimSun"/>
          <w:sz w:val="24"/>
          <w:szCs w:val="24"/>
          <w:spacing w:val="2"/>
        </w:rPr>
        <w:t>畜禽养殖行业》（</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1029-2019</w:t>
      </w:r>
      <w:r>
        <w:rPr>
          <w:rFonts w:ascii="SimSun" w:hAnsi="SimSun" w:eastAsia="SimSun" w:cs="SimSun"/>
          <w:sz w:val="24"/>
          <w:szCs w:val="24"/>
          <w:spacing w:val="2"/>
        </w:rPr>
        <w:t>）制定营</w:t>
      </w:r>
      <w:r>
        <w:rPr>
          <w:rFonts w:ascii="SimSun" w:hAnsi="SimSun" w:eastAsia="SimSun" w:cs="SimSun"/>
          <w:sz w:val="24"/>
          <w:szCs w:val="24"/>
          <w:spacing w:val="1"/>
        </w:rPr>
        <w:t>运期环境</w:t>
      </w:r>
      <w:r>
        <w:rPr>
          <w:rFonts w:ascii="SimSun" w:hAnsi="SimSun" w:eastAsia="SimSun" w:cs="SimSun"/>
          <w:sz w:val="24"/>
          <w:szCs w:val="24"/>
          <w:spacing w:val="-3"/>
        </w:rPr>
        <w:t>监测计划，详见表</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3"/>
        </w:rPr>
        <w:t>8-2</w:t>
      </w:r>
      <w:r>
        <w:rPr>
          <w:rFonts w:ascii="SimSun" w:hAnsi="SimSun" w:eastAsia="SimSun" w:cs="SimSun"/>
          <w:sz w:val="24"/>
          <w:szCs w:val="24"/>
          <w:spacing w:val="-3"/>
        </w:rPr>
        <w:t>。</w:t>
      </w:r>
    </w:p>
    <w:p>
      <w:pPr>
        <w:ind w:left="3109"/>
        <w:spacing w:line="234" w:lineRule="auto"/>
        <w:rPr>
          <w:rFonts w:ascii="SimSun" w:hAnsi="SimSun" w:eastAsia="SimSun" w:cs="SimSun"/>
          <w:sz w:val="24"/>
          <w:szCs w:val="24"/>
        </w:rPr>
      </w:pPr>
      <w:r>
        <w:rPr>
          <w:rFonts w:ascii="SimSun" w:hAnsi="SimSun" w:eastAsia="SimSun" w:cs="SimSun"/>
          <w:sz w:val="24"/>
          <w:szCs w:val="24"/>
          <w:b/>
          <w:bCs/>
          <w:spacing w:val="-2"/>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2"/>
        </w:rPr>
        <w:t>8-2      </w:t>
      </w:r>
      <w:r>
        <w:rPr>
          <w:rFonts w:ascii="SimSun" w:hAnsi="SimSun" w:eastAsia="SimSun" w:cs="SimSun"/>
          <w:sz w:val="24"/>
          <w:szCs w:val="24"/>
          <w:b/>
          <w:bCs/>
          <w:spacing w:val="-2"/>
        </w:rPr>
        <w:t>营运期环境监测计划一览表</w:t>
      </w:r>
    </w:p>
    <w:p>
      <w:pPr>
        <w:spacing w:line="93" w:lineRule="exact"/>
        <w:rPr/>
      </w:pPr>
      <w:r/>
    </w:p>
    <w:tbl>
      <w:tblPr>
        <w:tblStyle w:val="TableNormal"/>
        <w:tblW w:w="917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5"/>
        <w:gridCol w:w="2125"/>
        <w:gridCol w:w="1796"/>
        <w:gridCol w:w="1678"/>
        <w:gridCol w:w="996"/>
        <w:gridCol w:w="737"/>
      </w:tblGrid>
      <w:tr>
        <w:trPr>
          <w:trHeight w:val="634" w:hRule="atLeast"/>
        </w:trPr>
        <w:tc>
          <w:tcPr>
            <w:tcW w:w="1845" w:type="dxa"/>
            <w:vAlign w:val="top"/>
            <w:tcBorders>
              <w:top w:val="single" w:color="000000" w:sz="10" w:space="0"/>
              <w:left w:val="nil"/>
            </w:tcBorders>
          </w:tcPr>
          <w:p>
            <w:pPr>
              <w:pStyle w:val="TableText"/>
              <w:ind w:left="508"/>
              <w:spacing w:before="213" w:line="221" w:lineRule="auto"/>
              <w:rPr/>
            </w:pPr>
            <w:r>
              <w:rPr>
                <w:b/>
                <w:bCs/>
                <w:spacing w:val="-4"/>
              </w:rPr>
              <w:t>监测项目</w:t>
            </w:r>
          </w:p>
        </w:tc>
        <w:tc>
          <w:tcPr>
            <w:tcW w:w="2125" w:type="dxa"/>
            <w:vAlign w:val="top"/>
            <w:tcBorders>
              <w:top w:val="single" w:color="000000" w:sz="10" w:space="0"/>
            </w:tcBorders>
          </w:tcPr>
          <w:p>
            <w:pPr>
              <w:pStyle w:val="TableText"/>
              <w:ind w:left="646"/>
              <w:spacing w:before="213" w:line="221" w:lineRule="auto"/>
              <w:rPr/>
            </w:pPr>
            <w:r>
              <w:rPr>
                <w:b/>
                <w:bCs/>
                <w:spacing w:val="-4"/>
              </w:rPr>
              <w:t>监测指标</w:t>
            </w:r>
          </w:p>
        </w:tc>
        <w:tc>
          <w:tcPr>
            <w:tcW w:w="1796" w:type="dxa"/>
            <w:vAlign w:val="top"/>
            <w:tcBorders>
              <w:top w:val="single" w:color="000000" w:sz="10" w:space="0"/>
            </w:tcBorders>
          </w:tcPr>
          <w:p>
            <w:pPr>
              <w:pStyle w:val="TableText"/>
              <w:ind w:left="482"/>
              <w:spacing w:before="213" w:line="222" w:lineRule="auto"/>
              <w:rPr/>
            </w:pPr>
            <w:r>
              <w:rPr>
                <w:b/>
                <w:bCs/>
                <w:spacing w:val="-4"/>
              </w:rPr>
              <w:t>监测点位</w:t>
            </w:r>
          </w:p>
        </w:tc>
        <w:tc>
          <w:tcPr>
            <w:tcW w:w="1678" w:type="dxa"/>
            <w:vAlign w:val="top"/>
            <w:tcBorders>
              <w:top w:val="single" w:color="000000" w:sz="10" w:space="0"/>
            </w:tcBorders>
          </w:tcPr>
          <w:p>
            <w:pPr>
              <w:pStyle w:val="TableText"/>
              <w:ind w:left="743" w:right="202" w:hanging="531"/>
              <w:spacing w:before="57" w:line="249" w:lineRule="auto"/>
              <w:rPr/>
            </w:pPr>
            <w:r>
              <w:rPr>
                <w:b/>
                <w:bCs/>
                <w:spacing w:val="-3"/>
              </w:rPr>
              <w:t>监测时间与频</w:t>
            </w:r>
            <w:r>
              <w:rPr>
                <w:b/>
                <w:bCs/>
                <w:spacing w:val="-3"/>
              </w:rPr>
              <w:t>次</w:t>
            </w:r>
          </w:p>
        </w:tc>
        <w:tc>
          <w:tcPr>
            <w:tcW w:w="996" w:type="dxa"/>
            <w:vAlign w:val="top"/>
            <w:tcBorders>
              <w:top w:val="single" w:color="000000" w:sz="10" w:space="0"/>
            </w:tcBorders>
          </w:tcPr>
          <w:p>
            <w:pPr>
              <w:pStyle w:val="TableText"/>
              <w:ind w:left="396" w:right="179" w:hanging="206"/>
              <w:spacing w:before="57" w:line="249" w:lineRule="auto"/>
              <w:rPr/>
            </w:pPr>
            <w:r>
              <w:rPr>
                <w:b/>
                <w:bCs/>
                <w:spacing w:val="-6"/>
              </w:rPr>
              <w:t>实施单</w:t>
            </w:r>
            <w:r>
              <w:rPr>
                <w:b/>
                <w:bCs/>
                <w:spacing w:val="-3"/>
              </w:rPr>
              <w:t>位</w:t>
            </w:r>
          </w:p>
        </w:tc>
        <w:tc>
          <w:tcPr>
            <w:tcW w:w="737" w:type="dxa"/>
            <w:vAlign w:val="top"/>
            <w:tcBorders>
              <w:top w:val="single" w:color="000000" w:sz="10" w:space="0"/>
              <w:right w:val="nil"/>
            </w:tcBorders>
          </w:tcPr>
          <w:p>
            <w:pPr>
              <w:pStyle w:val="TableText"/>
              <w:ind w:left="172"/>
              <w:spacing w:before="57" w:line="221" w:lineRule="auto"/>
              <w:rPr/>
            </w:pPr>
            <w:r>
              <w:rPr>
                <w:b/>
                <w:bCs/>
                <w:spacing w:val="-6"/>
              </w:rPr>
              <w:t>负责</w:t>
            </w:r>
          </w:p>
          <w:p>
            <w:pPr>
              <w:pStyle w:val="TableText"/>
              <w:ind w:left="163"/>
              <w:spacing w:before="60" w:line="220" w:lineRule="auto"/>
              <w:rPr/>
            </w:pPr>
            <w:r>
              <w:rPr>
                <w:b/>
                <w:bCs/>
                <w:spacing w:val="-4"/>
              </w:rPr>
              <w:t>机构</w:t>
            </w:r>
          </w:p>
        </w:tc>
      </w:tr>
    </w:tbl>
    <w:p>
      <w:pPr>
        <w:ind w:left="117"/>
        <w:spacing w:before="51" w:line="221" w:lineRule="auto"/>
        <w:rPr>
          <w:rFonts w:ascii="SimSun" w:hAnsi="SimSun" w:eastAsia="SimSun" w:cs="SimSun"/>
          <w:sz w:val="21"/>
          <w:szCs w:val="21"/>
        </w:rPr>
      </w:pPr>
      <w:r>
        <w:rPr>
          <w:rFonts w:ascii="SimSun" w:hAnsi="SimSun" w:eastAsia="SimSun" w:cs="SimSun"/>
          <w:sz w:val="21"/>
          <w:szCs w:val="21"/>
          <w:b/>
          <w:bCs/>
          <w:spacing w:val="-5"/>
        </w:rPr>
        <w:t>一、污染源监测</w:t>
      </w:r>
    </w:p>
    <w:p>
      <w:pPr>
        <w:spacing w:line="100" w:lineRule="auto"/>
        <w:rPr>
          <w:rFonts w:ascii="Arial"/>
          <w:sz w:val="2"/>
        </w:rPr>
      </w:pPr>
      <w:r>
        <w:rPr>
          <w:rFonts w:ascii="Arial"/>
          <w:sz w:val="2"/>
        </w:rPr>
      </w:r>
    </w:p>
    <w:tbl>
      <w:tblPr>
        <w:tblStyle w:val="TableNormal"/>
        <w:tblW w:w="9177" w:type="dxa"/>
        <w:tblInd w:w="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5"/>
        <w:gridCol w:w="1200"/>
        <w:gridCol w:w="2125"/>
        <w:gridCol w:w="1796"/>
        <w:gridCol w:w="1678"/>
        <w:gridCol w:w="996"/>
        <w:gridCol w:w="737"/>
      </w:tblGrid>
      <w:tr>
        <w:trPr>
          <w:trHeight w:val="630" w:hRule="atLeast"/>
        </w:trPr>
        <w:tc>
          <w:tcPr>
            <w:tcW w:w="645" w:type="dxa"/>
            <w:vAlign w:val="top"/>
            <w:vMerge w:val="restart"/>
            <w:tcBorders>
              <w:left w:val="nil"/>
              <w:bottom w:val="nil"/>
            </w:tcBorders>
          </w:tcPr>
          <w:p>
            <w:pPr>
              <w:spacing w:line="302" w:lineRule="auto"/>
              <w:rPr>
                <w:rFonts w:ascii="Arial"/>
                <w:sz w:val="21"/>
              </w:rPr>
            </w:pPr>
            <w:r/>
          </w:p>
          <w:p>
            <w:pPr>
              <w:pStyle w:val="TableText"/>
              <w:ind w:left="117"/>
              <w:spacing w:before="69" w:line="221" w:lineRule="auto"/>
              <w:rPr/>
            </w:pPr>
            <w:r>
              <w:rPr>
                <w:spacing w:val="-2"/>
              </w:rPr>
              <w:t>废气</w:t>
            </w:r>
          </w:p>
        </w:tc>
        <w:tc>
          <w:tcPr>
            <w:tcW w:w="1200" w:type="dxa"/>
            <w:vAlign w:val="top"/>
          </w:tcPr>
          <w:p>
            <w:pPr>
              <w:pStyle w:val="TableText"/>
              <w:ind w:left="184"/>
              <w:spacing w:before="211" w:line="221" w:lineRule="auto"/>
              <w:rPr/>
            </w:pPr>
            <w:r>
              <w:rPr>
                <w:spacing w:val="-2"/>
              </w:rPr>
              <w:t>恶臭气体</w:t>
            </w:r>
          </w:p>
        </w:tc>
        <w:tc>
          <w:tcPr>
            <w:tcW w:w="2125" w:type="dxa"/>
            <w:vAlign w:val="top"/>
          </w:tcPr>
          <w:p>
            <w:pPr>
              <w:pStyle w:val="TableText"/>
              <w:ind w:left="107"/>
              <w:spacing w:before="211" w:line="283" w:lineRule="exact"/>
              <w:rPr/>
            </w:pPr>
            <w:r>
              <w:rPr>
                <w:rFonts w:ascii="Times New Roman" w:hAnsi="Times New Roman" w:eastAsia="Times New Roman" w:cs="Times New Roman"/>
                <w:spacing w:val="1"/>
                <w:position w:val="1"/>
              </w:rPr>
              <w:t>H</w:t>
            </w:r>
            <w:r>
              <w:rPr>
                <w:rFonts w:ascii="Times New Roman" w:hAnsi="Times New Roman" w:eastAsia="Times New Roman" w:cs="Times New Roman"/>
                <w:sz w:val="13"/>
                <w:szCs w:val="13"/>
                <w:spacing w:val="1"/>
                <w:position w:val="-1"/>
              </w:rPr>
              <w:t>2</w:t>
            </w:r>
            <w:r>
              <w:rPr>
                <w:rFonts w:ascii="Times New Roman" w:hAnsi="Times New Roman" w:eastAsia="Times New Roman" w:cs="Times New Roman"/>
                <w:spacing w:val="1"/>
                <w:position w:val="1"/>
              </w:rPr>
              <w:t>S</w:t>
            </w:r>
            <w:r>
              <w:rPr>
                <w:spacing w:val="-16"/>
                <w:w w:val="90"/>
                <w:position w:val="1"/>
              </w:rPr>
              <w:t>、</w:t>
            </w:r>
            <w:r>
              <w:rPr>
                <w:rFonts w:ascii="Times New Roman" w:hAnsi="Times New Roman" w:eastAsia="Times New Roman" w:cs="Times New Roman"/>
                <w:spacing w:val="-16"/>
                <w:w w:val="90"/>
                <w:position w:val="1"/>
              </w:rPr>
              <w:t>NH</w:t>
            </w:r>
            <w:r>
              <w:rPr>
                <w:rFonts w:ascii="Times New Roman" w:hAnsi="Times New Roman" w:eastAsia="Times New Roman" w:cs="Times New Roman"/>
                <w:sz w:val="13"/>
                <w:szCs w:val="13"/>
                <w:spacing w:val="-1"/>
                <w:position w:val="-1"/>
              </w:rPr>
              <w:t>3</w:t>
            </w:r>
            <w:r>
              <w:rPr>
                <w:rFonts w:ascii="Times New Roman" w:hAnsi="Times New Roman" w:eastAsia="Times New Roman" w:cs="Times New Roman"/>
                <w:sz w:val="13"/>
                <w:szCs w:val="13"/>
                <w:spacing w:val="15"/>
                <w:position w:val="-1"/>
              </w:rPr>
              <w:t xml:space="preserve"> </w:t>
            </w:r>
            <w:r>
              <w:rPr>
                <w:spacing w:val="-1"/>
                <w:position w:val="1"/>
              </w:rPr>
              <w:t>和臭气浓度</w:t>
            </w:r>
          </w:p>
        </w:tc>
        <w:tc>
          <w:tcPr>
            <w:tcW w:w="1796" w:type="dxa"/>
            <w:vAlign w:val="top"/>
          </w:tcPr>
          <w:p>
            <w:pPr>
              <w:pStyle w:val="TableText"/>
              <w:ind w:left="380" w:right="103" w:hanging="267"/>
              <w:spacing w:before="55" w:line="248" w:lineRule="auto"/>
              <w:rPr/>
            </w:pPr>
            <w:r>
              <w:rPr>
                <w:spacing w:val="-14"/>
              </w:rPr>
              <w:t>场界上、下风向无</w:t>
            </w:r>
            <w:r>
              <w:rPr>
                <w:spacing w:val="-2"/>
              </w:rPr>
              <w:t>组织监控点</w:t>
            </w:r>
          </w:p>
        </w:tc>
        <w:tc>
          <w:tcPr>
            <w:tcW w:w="1678" w:type="dxa"/>
            <w:vAlign w:val="top"/>
          </w:tcPr>
          <w:p>
            <w:pPr>
              <w:pStyle w:val="TableText"/>
              <w:ind w:left="543"/>
              <w:spacing w:before="212" w:line="234" w:lineRule="auto"/>
              <w:rPr/>
            </w:pPr>
            <w:r>
              <w:rPr>
                <w:rFonts w:ascii="Times New Roman" w:hAnsi="Times New Roman" w:eastAsia="Times New Roman" w:cs="Times New Roman"/>
                <w:spacing w:val="-8"/>
              </w:rPr>
              <w:t>1</w:t>
            </w:r>
            <w:r>
              <w:rPr>
                <w:rFonts w:ascii="Times New Roman" w:hAnsi="Times New Roman" w:eastAsia="Times New Roman" w:cs="Times New Roman"/>
                <w:spacing w:val="9"/>
              </w:rPr>
              <w:t xml:space="preserve"> </w:t>
            </w:r>
            <w:r>
              <w:rPr>
                <w:spacing w:val="-8"/>
              </w:rPr>
              <w:t>年</w:t>
            </w:r>
            <w:r>
              <w:rPr>
                <w:rFonts w:ascii="Times New Roman" w:hAnsi="Times New Roman" w:eastAsia="Times New Roman" w:cs="Times New Roman"/>
                <w:spacing w:val="-8"/>
              </w:rPr>
              <w:t>/</w:t>
            </w:r>
            <w:r>
              <w:rPr>
                <w:spacing w:val="-8"/>
              </w:rPr>
              <w:t>次</w:t>
            </w:r>
          </w:p>
        </w:tc>
        <w:tc>
          <w:tcPr>
            <w:tcW w:w="996"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204" w:right="177" w:hanging="16"/>
              <w:spacing w:before="69" w:line="241" w:lineRule="auto"/>
              <w:jc w:val="both"/>
              <w:rPr/>
            </w:pPr>
            <w:r>
              <w:rPr>
                <w:spacing w:val="-2"/>
              </w:rPr>
              <w:t>有资质</w:t>
            </w:r>
            <w:r>
              <w:rPr>
                <w:spacing w:val="-8"/>
              </w:rPr>
              <w:t>的监测</w:t>
            </w:r>
            <w:r>
              <w:rPr>
                <w:spacing w:val="41"/>
              </w:rPr>
              <w:t>机构</w:t>
            </w:r>
          </w:p>
        </w:tc>
        <w:tc>
          <w:tcPr>
            <w:tcW w:w="737" w:type="dxa"/>
            <w:vAlign w:val="top"/>
            <w:vMerge w:val="restart"/>
            <w:tcBorders>
              <w:right w:val="nil"/>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66" w:right="155"/>
              <w:spacing w:before="68" w:line="243" w:lineRule="auto"/>
              <w:rPr/>
            </w:pPr>
            <w:r>
              <w:rPr>
                <w:spacing w:val="-5"/>
              </w:rPr>
              <w:t>建设</w:t>
            </w:r>
            <w:r>
              <w:rPr>
                <w:spacing w:val="-4"/>
              </w:rPr>
              <w:t>单位</w:t>
            </w:r>
          </w:p>
        </w:tc>
      </w:tr>
      <w:tr>
        <w:trPr>
          <w:trHeight w:val="315" w:hRule="atLeast"/>
        </w:trPr>
        <w:tc>
          <w:tcPr>
            <w:tcW w:w="645" w:type="dxa"/>
            <w:vAlign w:val="top"/>
            <w:vMerge w:val="continue"/>
            <w:tcBorders>
              <w:left w:val="nil"/>
              <w:top w:val="nil"/>
            </w:tcBorders>
          </w:tcPr>
          <w:p>
            <w:pPr>
              <w:rPr>
                <w:rFonts w:ascii="Arial"/>
                <w:sz w:val="21"/>
              </w:rPr>
            </w:pPr>
            <w:r/>
          </w:p>
        </w:tc>
        <w:tc>
          <w:tcPr>
            <w:tcW w:w="1200" w:type="dxa"/>
            <w:vAlign w:val="top"/>
          </w:tcPr>
          <w:p>
            <w:pPr>
              <w:pStyle w:val="TableText"/>
              <w:ind w:left="392"/>
              <w:spacing w:before="54" w:line="220" w:lineRule="auto"/>
              <w:rPr/>
            </w:pPr>
            <w:r>
              <w:rPr>
                <w:spacing w:val="-2"/>
              </w:rPr>
              <w:t>食堂</w:t>
            </w:r>
          </w:p>
        </w:tc>
        <w:tc>
          <w:tcPr>
            <w:tcW w:w="2125" w:type="dxa"/>
            <w:vAlign w:val="top"/>
          </w:tcPr>
          <w:p>
            <w:pPr>
              <w:pStyle w:val="TableText"/>
              <w:ind w:left="645"/>
              <w:spacing w:before="54" w:line="220" w:lineRule="auto"/>
              <w:rPr/>
            </w:pPr>
            <w:r>
              <w:rPr>
                <w:spacing w:val="-2"/>
              </w:rPr>
              <w:t>食堂油烟</w:t>
            </w:r>
          </w:p>
        </w:tc>
        <w:tc>
          <w:tcPr>
            <w:tcW w:w="1796" w:type="dxa"/>
            <w:vAlign w:val="top"/>
          </w:tcPr>
          <w:p>
            <w:pPr>
              <w:pStyle w:val="TableText"/>
              <w:ind w:left="381"/>
              <w:spacing w:before="54" w:line="220" w:lineRule="auto"/>
              <w:rPr/>
            </w:pPr>
            <w:r>
              <w:rPr>
                <w:spacing w:val="-2"/>
              </w:rPr>
              <w:t>油烟排气筒</w:t>
            </w:r>
          </w:p>
        </w:tc>
        <w:tc>
          <w:tcPr>
            <w:tcW w:w="1678" w:type="dxa"/>
            <w:vAlign w:val="top"/>
          </w:tcPr>
          <w:p>
            <w:pPr>
              <w:pStyle w:val="TableText"/>
              <w:ind w:left="543"/>
              <w:spacing w:before="54" w:line="220" w:lineRule="auto"/>
              <w:rPr/>
            </w:pPr>
            <w:r>
              <w:rPr>
                <w:rFonts w:ascii="Times New Roman" w:hAnsi="Times New Roman" w:eastAsia="Times New Roman" w:cs="Times New Roman"/>
                <w:spacing w:val="-8"/>
              </w:rPr>
              <w:t>1</w:t>
            </w:r>
            <w:r>
              <w:rPr>
                <w:rFonts w:ascii="Times New Roman" w:hAnsi="Times New Roman" w:eastAsia="Times New Roman" w:cs="Times New Roman"/>
                <w:spacing w:val="9"/>
              </w:rPr>
              <w:t xml:space="preserve"> </w:t>
            </w:r>
            <w:r>
              <w:rPr>
                <w:spacing w:val="-8"/>
              </w:rPr>
              <w:t>年</w:t>
            </w:r>
            <w:r>
              <w:rPr>
                <w:rFonts w:ascii="Times New Roman" w:hAnsi="Times New Roman" w:eastAsia="Times New Roman" w:cs="Times New Roman"/>
                <w:spacing w:val="-8"/>
              </w:rPr>
              <w:t>/</w:t>
            </w:r>
            <w:r>
              <w:rPr>
                <w:spacing w:val="-8"/>
              </w:rPr>
              <w:t>次</w:t>
            </w:r>
          </w:p>
        </w:tc>
        <w:tc>
          <w:tcPr>
            <w:tcW w:w="996" w:type="dxa"/>
            <w:vAlign w:val="top"/>
            <w:vMerge w:val="continue"/>
            <w:tcBorders>
              <w:bottom w:val="nil"/>
              <w:top w:val="nil"/>
            </w:tcBorders>
          </w:tcPr>
          <w:p>
            <w:pPr>
              <w:rPr>
                <w:rFonts w:ascii="Arial"/>
                <w:sz w:val="21"/>
              </w:rPr>
            </w:pPr>
            <w:r/>
          </w:p>
        </w:tc>
        <w:tc>
          <w:tcPr>
            <w:tcW w:w="737" w:type="dxa"/>
            <w:vAlign w:val="top"/>
            <w:vMerge w:val="continue"/>
            <w:tcBorders>
              <w:right w:val="nil"/>
              <w:bottom w:val="nil"/>
              <w:top w:val="nil"/>
            </w:tcBorders>
          </w:tcPr>
          <w:p>
            <w:pPr>
              <w:rPr>
                <w:rFonts w:ascii="Arial"/>
                <w:sz w:val="21"/>
              </w:rPr>
            </w:pPr>
            <w:r/>
          </w:p>
        </w:tc>
      </w:tr>
      <w:tr>
        <w:trPr>
          <w:trHeight w:val="547" w:hRule="atLeast"/>
        </w:trPr>
        <w:tc>
          <w:tcPr>
            <w:tcW w:w="1845" w:type="dxa"/>
            <w:vAlign w:val="top"/>
            <w:gridSpan w:val="2"/>
            <w:tcBorders>
              <w:left w:val="nil"/>
            </w:tcBorders>
          </w:tcPr>
          <w:p>
            <w:pPr>
              <w:pStyle w:val="TableText"/>
              <w:ind w:left="728"/>
              <w:spacing w:before="174" w:line="221" w:lineRule="auto"/>
              <w:rPr/>
            </w:pPr>
            <w:r>
              <w:rPr>
                <w:spacing w:val="-4"/>
              </w:rPr>
              <w:t>噪声</w:t>
            </w:r>
          </w:p>
        </w:tc>
        <w:tc>
          <w:tcPr>
            <w:tcW w:w="2125" w:type="dxa"/>
            <w:vAlign w:val="top"/>
          </w:tcPr>
          <w:p>
            <w:pPr>
              <w:pStyle w:val="TableText"/>
              <w:ind w:left="308"/>
              <w:spacing w:before="173" w:line="221" w:lineRule="auto"/>
              <w:rPr/>
            </w:pPr>
            <w:r>
              <w:rPr>
                <w:spacing w:val="-1"/>
              </w:rPr>
              <w:t>等效连续</w:t>
            </w:r>
            <w:r>
              <w:rPr>
                <w:spacing w:val="-48"/>
              </w:rPr>
              <w:t xml:space="preserve"> </w:t>
            </w:r>
            <w:r>
              <w:rPr>
                <w:rFonts w:ascii="Times New Roman" w:hAnsi="Times New Roman" w:eastAsia="Times New Roman" w:cs="Times New Roman"/>
                <w:spacing w:val="-1"/>
              </w:rPr>
              <w:t>A </w:t>
            </w:r>
            <w:r>
              <w:rPr>
                <w:spacing w:val="-1"/>
              </w:rPr>
              <w:t>声级</w:t>
            </w:r>
          </w:p>
        </w:tc>
        <w:tc>
          <w:tcPr>
            <w:tcW w:w="1796" w:type="dxa"/>
            <w:vAlign w:val="top"/>
          </w:tcPr>
          <w:p>
            <w:pPr>
              <w:pStyle w:val="TableText"/>
              <w:ind w:left="282" w:right="158" w:hanging="112"/>
              <w:spacing w:before="34" w:line="221" w:lineRule="auto"/>
              <w:rPr/>
            </w:pPr>
            <w:r>
              <w:rPr>
                <w:spacing w:val="-2"/>
              </w:rPr>
              <w:t>项目涉及的敏感</w:t>
            </w:r>
            <w:r>
              <w:rPr>
                <w:spacing w:val="-3"/>
              </w:rPr>
              <w:t>点及场界四周</w:t>
            </w:r>
          </w:p>
        </w:tc>
        <w:tc>
          <w:tcPr>
            <w:tcW w:w="1678" w:type="dxa"/>
            <w:vAlign w:val="top"/>
          </w:tcPr>
          <w:p>
            <w:pPr>
              <w:pStyle w:val="TableText"/>
              <w:ind w:left="519"/>
              <w:spacing w:before="172" w:line="234" w:lineRule="auto"/>
              <w:rPr/>
            </w:pPr>
            <w:r>
              <w:rPr>
                <w:rFonts w:ascii="Times New Roman" w:hAnsi="Times New Roman" w:eastAsia="Times New Roman" w:cs="Times New Roman"/>
                <w:spacing w:val="-8"/>
              </w:rPr>
              <w:t>1</w:t>
            </w:r>
            <w:r>
              <w:rPr>
                <w:rFonts w:ascii="Times New Roman" w:hAnsi="Times New Roman" w:eastAsia="Times New Roman" w:cs="Times New Roman"/>
                <w:spacing w:val="9"/>
              </w:rPr>
              <w:t xml:space="preserve"> </w:t>
            </w:r>
            <w:r>
              <w:rPr>
                <w:spacing w:val="-8"/>
              </w:rPr>
              <w:t>季/次</w:t>
            </w:r>
          </w:p>
        </w:tc>
        <w:tc>
          <w:tcPr>
            <w:tcW w:w="996" w:type="dxa"/>
            <w:vAlign w:val="top"/>
            <w:vMerge w:val="continue"/>
            <w:tcBorders>
              <w:bottom w:val="nil"/>
              <w:top w:val="nil"/>
            </w:tcBorders>
          </w:tcPr>
          <w:p>
            <w:pPr>
              <w:rPr>
                <w:rFonts w:ascii="Arial"/>
                <w:sz w:val="21"/>
              </w:rPr>
            </w:pPr>
            <w:r/>
          </w:p>
        </w:tc>
        <w:tc>
          <w:tcPr>
            <w:tcW w:w="737" w:type="dxa"/>
            <w:vAlign w:val="top"/>
            <w:vMerge w:val="continue"/>
            <w:tcBorders>
              <w:right w:val="nil"/>
              <w:bottom w:val="nil"/>
              <w:top w:val="nil"/>
            </w:tcBorders>
          </w:tcPr>
          <w:p>
            <w:pPr>
              <w:rPr>
                <w:rFonts w:ascii="Arial"/>
                <w:sz w:val="21"/>
              </w:rPr>
            </w:pPr>
            <w:r/>
          </w:p>
        </w:tc>
      </w:tr>
      <w:tr>
        <w:trPr>
          <w:trHeight w:val="625" w:hRule="atLeast"/>
        </w:trPr>
        <w:tc>
          <w:tcPr>
            <w:tcW w:w="1845" w:type="dxa"/>
            <w:vAlign w:val="top"/>
            <w:gridSpan w:val="2"/>
            <w:tcBorders>
              <w:left w:val="nil"/>
            </w:tcBorders>
          </w:tcPr>
          <w:p>
            <w:pPr>
              <w:pStyle w:val="TableText"/>
              <w:ind w:left="631"/>
              <w:spacing w:before="215" w:line="221" w:lineRule="auto"/>
              <w:rPr/>
            </w:pPr>
            <w:r>
              <w:rPr>
                <w:spacing w:val="-6"/>
              </w:rPr>
              <w:t>固废物</w:t>
            </w:r>
          </w:p>
        </w:tc>
        <w:tc>
          <w:tcPr>
            <w:tcW w:w="5599" w:type="dxa"/>
            <w:vAlign w:val="top"/>
            <w:gridSpan w:val="3"/>
          </w:tcPr>
          <w:p>
            <w:pPr>
              <w:pStyle w:val="TableText"/>
              <w:ind w:left="114"/>
              <w:spacing w:before="58" w:line="221" w:lineRule="auto"/>
              <w:rPr/>
            </w:pPr>
            <w:r>
              <w:rPr>
                <w:spacing w:val="-3"/>
              </w:rPr>
              <w:t>各类固废物的产生量与去向：填写产生量报表</w:t>
            </w:r>
            <w:r>
              <w:rPr>
                <w:spacing w:val="-4"/>
              </w:rPr>
              <w:t>并说明去向和</w:t>
            </w:r>
          </w:p>
          <w:p>
            <w:pPr>
              <w:pStyle w:val="TableText"/>
              <w:ind w:left="2281"/>
              <w:spacing w:before="60" w:line="215" w:lineRule="auto"/>
              <w:rPr/>
            </w:pPr>
            <w:r>
              <w:rPr>
                <w:spacing w:val="-5"/>
              </w:rPr>
              <w:t>处置情况。</w:t>
            </w:r>
          </w:p>
        </w:tc>
        <w:tc>
          <w:tcPr>
            <w:tcW w:w="996" w:type="dxa"/>
            <w:vAlign w:val="top"/>
            <w:vMerge w:val="continue"/>
            <w:tcBorders>
              <w:bottom w:val="nil"/>
              <w:top w:val="nil"/>
            </w:tcBorders>
          </w:tcPr>
          <w:p>
            <w:pPr>
              <w:rPr>
                <w:rFonts w:ascii="Arial"/>
                <w:sz w:val="21"/>
              </w:rPr>
            </w:pPr>
            <w:r/>
          </w:p>
        </w:tc>
        <w:tc>
          <w:tcPr>
            <w:tcW w:w="737" w:type="dxa"/>
            <w:vAlign w:val="top"/>
            <w:vMerge w:val="continue"/>
            <w:tcBorders>
              <w:right w:val="nil"/>
              <w:bottom w:val="nil"/>
              <w:top w:val="nil"/>
            </w:tcBorders>
          </w:tcPr>
          <w:p>
            <w:pPr>
              <w:rPr>
                <w:rFonts w:ascii="Arial"/>
                <w:sz w:val="21"/>
              </w:rPr>
            </w:pPr>
            <w:r/>
          </w:p>
        </w:tc>
      </w:tr>
      <w:tr>
        <w:trPr>
          <w:trHeight w:val="317" w:hRule="atLeast"/>
        </w:trPr>
        <w:tc>
          <w:tcPr>
            <w:tcW w:w="7444" w:type="dxa"/>
            <w:vAlign w:val="top"/>
            <w:gridSpan w:val="5"/>
            <w:tcBorders>
              <w:left w:val="nil"/>
            </w:tcBorders>
          </w:tcPr>
          <w:p>
            <w:pPr>
              <w:pStyle w:val="TableText"/>
              <w:ind w:left="117"/>
              <w:spacing w:before="64" w:line="213" w:lineRule="auto"/>
              <w:rPr/>
            </w:pPr>
            <w:r>
              <w:rPr>
                <w:b/>
                <w:bCs/>
                <w:spacing w:val="-3"/>
              </w:rPr>
              <w:t>二、环境质量监测</w:t>
            </w:r>
          </w:p>
        </w:tc>
        <w:tc>
          <w:tcPr>
            <w:tcW w:w="996" w:type="dxa"/>
            <w:vAlign w:val="top"/>
            <w:vMerge w:val="continue"/>
            <w:tcBorders>
              <w:bottom w:val="nil"/>
              <w:top w:val="nil"/>
            </w:tcBorders>
          </w:tcPr>
          <w:p>
            <w:pPr>
              <w:rPr>
                <w:rFonts w:ascii="Arial"/>
                <w:sz w:val="21"/>
              </w:rPr>
            </w:pPr>
            <w:r/>
          </w:p>
        </w:tc>
        <w:tc>
          <w:tcPr>
            <w:tcW w:w="737" w:type="dxa"/>
            <w:vAlign w:val="top"/>
            <w:vMerge w:val="continue"/>
            <w:tcBorders>
              <w:right w:val="nil"/>
              <w:bottom w:val="nil"/>
              <w:top w:val="nil"/>
            </w:tcBorders>
          </w:tcPr>
          <w:p>
            <w:pPr>
              <w:rPr>
                <w:rFonts w:ascii="Arial"/>
                <w:sz w:val="21"/>
              </w:rPr>
            </w:pPr>
            <w:r/>
          </w:p>
        </w:tc>
      </w:tr>
      <w:tr>
        <w:trPr>
          <w:trHeight w:val="1246" w:hRule="atLeast"/>
        </w:trPr>
        <w:tc>
          <w:tcPr>
            <w:tcW w:w="1845" w:type="dxa"/>
            <w:vAlign w:val="top"/>
            <w:gridSpan w:val="2"/>
            <w:tcBorders>
              <w:left w:val="nil"/>
            </w:tcBorders>
          </w:tcPr>
          <w:p>
            <w:pPr>
              <w:spacing w:line="461" w:lineRule="auto"/>
              <w:rPr>
                <w:rFonts w:ascii="Arial"/>
                <w:sz w:val="21"/>
              </w:rPr>
            </w:pPr>
            <w:r/>
          </w:p>
          <w:p>
            <w:pPr>
              <w:pStyle w:val="TableText"/>
              <w:ind w:left="613"/>
              <w:spacing w:before="68" w:line="221" w:lineRule="auto"/>
              <w:rPr/>
            </w:pPr>
            <w:r>
              <w:rPr>
                <w:spacing w:val="-2"/>
              </w:rPr>
              <w:t>地下水</w:t>
            </w:r>
          </w:p>
        </w:tc>
        <w:tc>
          <w:tcPr>
            <w:tcW w:w="2125" w:type="dxa"/>
            <w:vAlign w:val="top"/>
          </w:tcPr>
          <w:p>
            <w:pPr>
              <w:pStyle w:val="TableText"/>
              <w:ind w:left="194"/>
              <w:spacing w:before="64" w:line="214" w:lineRule="auto"/>
              <w:rPr/>
            </w:pPr>
            <w:r>
              <w:rPr>
                <w:rFonts w:ascii="Times New Roman" w:hAnsi="Times New Roman" w:eastAsia="Times New Roman" w:cs="Times New Roman"/>
              </w:rPr>
              <w:t>pH</w:t>
            </w:r>
            <w:r>
              <w:rPr/>
              <w:t>、氨氮、耗氧量</w:t>
            </w:r>
          </w:p>
          <w:p>
            <w:pPr>
              <w:pStyle w:val="TableText"/>
              <w:ind w:left="123"/>
              <w:spacing w:before="68" w:line="223" w:lineRule="auto"/>
              <w:rPr/>
            </w:pPr>
            <w:r>
              <w:rPr>
                <w:spacing w:val="-1"/>
              </w:rPr>
              <w:t>（</w:t>
            </w:r>
            <w:r>
              <w:rPr>
                <w:rFonts w:ascii="Times New Roman" w:hAnsi="Times New Roman" w:eastAsia="Times New Roman" w:cs="Times New Roman"/>
                <w:spacing w:val="-1"/>
              </w:rPr>
              <w:t>COD</w:t>
            </w:r>
            <w:r>
              <w:rPr>
                <w:rFonts w:ascii="Times New Roman" w:hAnsi="Times New Roman" w:eastAsia="Times New Roman" w:cs="Times New Roman"/>
                <w:sz w:val="13"/>
                <w:szCs w:val="13"/>
                <w:spacing w:val="-1"/>
                <w:position w:val="-2"/>
              </w:rPr>
              <w:t>Mn</w:t>
            </w:r>
            <w:r>
              <w:rPr>
                <w:spacing w:val="-1"/>
              </w:rPr>
              <w:t>）、硝酸盐</w:t>
            </w:r>
          </w:p>
          <w:p>
            <w:pPr>
              <w:pStyle w:val="TableText"/>
              <w:ind w:left="117"/>
              <w:spacing w:before="58" w:line="220" w:lineRule="auto"/>
              <w:rPr/>
            </w:pPr>
            <w:r>
              <w:rPr/>
              <w:t>氮、亚硝酸盐氮、挥</w:t>
            </w:r>
          </w:p>
          <w:p>
            <w:pPr>
              <w:pStyle w:val="TableText"/>
              <w:ind w:left="334"/>
              <w:spacing w:before="61" w:line="207" w:lineRule="auto"/>
              <w:rPr/>
            </w:pPr>
            <w:r>
              <w:rPr>
                <w:spacing w:val="-2"/>
              </w:rPr>
              <w:t>发酚、石油类等</w:t>
            </w:r>
          </w:p>
        </w:tc>
        <w:tc>
          <w:tcPr>
            <w:tcW w:w="1796" w:type="dxa"/>
            <w:vAlign w:val="top"/>
          </w:tcPr>
          <w:p>
            <w:pPr>
              <w:spacing w:line="461" w:lineRule="auto"/>
              <w:rPr>
                <w:rFonts w:ascii="Arial"/>
                <w:sz w:val="21"/>
              </w:rPr>
            </w:pPr>
            <w:r/>
          </w:p>
          <w:p>
            <w:pPr>
              <w:pStyle w:val="TableText"/>
              <w:ind w:left="483"/>
              <w:spacing w:before="68" w:line="221" w:lineRule="auto"/>
              <w:rPr/>
            </w:pPr>
            <w:r>
              <w:rPr>
                <w:spacing w:val="-1"/>
              </w:rPr>
              <w:t>储粪库旁</w:t>
            </w:r>
          </w:p>
        </w:tc>
        <w:tc>
          <w:tcPr>
            <w:tcW w:w="1678" w:type="dxa"/>
            <w:vAlign w:val="top"/>
          </w:tcPr>
          <w:p>
            <w:pPr>
              <w:spacing w:line="462" w:lineRule="auto"/>
              <w:rPr>
                <w:rFonts w:ascii="Arial"/>
                <w:sz w:val="21"/>
              </w:rPr>
            </w:pPr>
            <w:r/>
          </w:p>
          <w:p>
            <w:pPr>
              <w:pStyle w:val="TableText"/>
              <w:ind w:left="543"/>
              <w:spacing w:before="68" w:line="234" w:lineRule="auto"/>
              <w:rPr/>
            </w:pPr>
            <w:r>
              <w:rPr>
                <w:rFonts w:ascii="Times New Roman" w:hAnsi="Times New Roman" w:eastAsia="Times New Roman" w:cs="Times New Roman"/>
                <w:spacing w:val="-8"/>
              </w:rPr>
              <w:t>1</w:t>
            </w:r>
            <w:r>
              <w:rPr>
                <w:rFonts w:ascii="Times New Roman" w:hAnsi="Times New Roman" w:eastAsia="Times New Roman" w:cs="Times New Roman"/>
                <w:spacing w:val="9"/>
              </w:rPr>
              <w:t xml:space="preserve"> </w:t>
            </w:r>
            <w:r>
              <w:rPr>
                <w:spacing w:val="-8"/>
              </w:rPr>
              <w:t>年</w:t>
            </w:r>
            <w:r>
              <w:rPr>
                <w:rFonts w:ascii="Times New Roman" w:hAnsi="Times New Roman" w:eastAsia="Times New Roman" w:cs="Times New Roman"/>
                <w:spacing w:val="-8"/>
              </w:rPr>
              <w:t>/</w:t>
            </w:r>
            <w:r>
              <w:rPr>
                <w:spacing w:val="-8"/>
              </w:rPr>
              <w:t>次</w:t>
            </w:r>
          </w:p>
        </w:tc>
        <w:tc>
          <w:tcPr>
            <w:tcW w:w="996" w:type="dxa"/>
            <w:vAlign w:val="top"/>
            <w:vMerge w:val="continue"/>
            <w:tcBorders>
              <w:bottom w:val="nil"/>
              <w:top w:val="nil"/>
            </w:tcBorders>
          </w:tcPr>
          <w:p>
            <w:pPr>
              <w:rPr>
                <w:rFonts w:ascii="Arial"/>
                <w:sz w:val="21"/>
              </w:rPr>
            </w:pPr>
            <w:r/>
          </w:p>
        </w:tc>
        <w:tc>
          <w:tcPr>
            <w:tcW w:w="737" w:type="dxa"/>
            <w:vAlign w:val="top"/>
            <w:vMerge w:val="continue"/>
            <w:tcBorders>
              <w:right w:val="nil"/>
              <w:bottom w:val="nil"/>
              <w:top w:val="nil"/>
            </w:tcBorders>
          </w:tcPr>
          <w:p>
            <w:pPr>
              <w:rPr>
                <w:rFonts w:ascii="Arial"/>
                <w:sz w:val="21"/>
              </w:rPr>
            </w:pPr>
            <w:r/>
          </w:p>
        </w:tc>
      </w:tr>
      <w:tr>
        <w:trPr>
          <w:trHeight w:val="959" w:hRule="atLeast"/>
        </w:trPr>
        <w:tc>
          <w:tcPr>
            <w:tcW w:w="1845" w:type="dxa"/>
            <w:vAlign w:val="top"/>
            <w:gridSpan w:val="2"/>
            <w:tcBorders>
              <w:left w:val="nil"/>
              <w:bottom w:val="single" w:color="000000" w:sz="10" w:space="0"/>
            </w:tcBorders>
          </w:tcPr>
          <w:p>
            <w:pPr>
              <w:spacing w:line="313" w:lineRule="auto"/>
              <w:rPr>
                <w:rFonts w:ascii="Arial"/>
                <w:sz w:val="21"/>
              </w:rPr>
            </w:pPr>
            <w:r/>
          </w:p>
          <w:p>
            <w:pPr>
              <w:pStyle w:val="TableText"/>
              <w:ind w:left="719"/>
              <w:spacing w:before="68" w:line="222" w:lineRule="auto"/>
              <w:rPr/>
            </w:pPr>
            <w:r>
              <w:rPr>
                <w:spacing w:val="-2"/>
              </w:rPr>
              <w:t>土壤</w:t>
            </w:r>
          </w:p>
        </w:tc>
        <w:tc>
          <w:tcPr>
            <w:tcW w:w="2125" w:type="dxa"/>
            <w:vAlign w:val="top"/>
            <w:tcBorders>
              <w:bottom w:val="single" w:color="000000" w:sz="10" w:space="0"/>
            </w:tcBorders>
          </w:tcPr>
          <w:p>
            <w:pPr>
              <w:pStyle w:val="TableText"/>
              <w:ind w:left="330" w:right="30" w:hanging="227"/>
              <w:spacing w:before="227" w:line="269" w:lineRule="auto"/>
              <w:rPr/>
            </w:pPr>
            <w:r>
              <w:rPr>
                <w:rFonts w:ascii="Times New Roman" w:hAnsi="Times New Roman" w:eastAsia="Times New Roman" w:cs="Times New Roman"/>
                <w:spacing w:val="-15"/>
              </w:rPr>
              <w:t>pH</w:t>
            </w:r>
            <w:r>
              <w:rPr>
                <w:spacing w:val="-15"/>
              </w:rPr>
              <w:t>、镉、铅、汞、砷、</w:t>
            </w:r>
            <w:r>
              <w:rPr>
                <w:spacing w:val="-3"/>
              </w:rPr>
              <w:t>铜、铬、镍、锌</w:t>
            </w:r>
          </w:p>
        </w:tc>
        <w:tc>
          <w:tcPr>
            <w:tcW w:w="1796" w:type="dxa"/>
            <w:vAlign w:val="top"/>
            <w:tcBorders>
              <w:bottom w:val="single" w:color="000000" w:sz="10" w:space="0"/>
            </w:tcBorders>
          </w:tcPr>
          <w:p>
            <w:pPr>
              <w:pStyle w:val="TableText"/>
              <w:ind w:left="219"/>
              <w:spacing w:before="71" w:line="234" w:lineRule="auto"/>
              <w:rPr>
                <w:rFonts w:ascii="Times New Roman" w:hAnsi="Times New Roman" w:eastAsia="Times New Roman" w:cs="Times New Roman"/>
              </w:rPr>
            </w:pPr>
            <w:r>
              <w:rPr>
                <w:spacing w:val="-3"/>
              </w:rPr>
              <w:t>厂区北侧</w:t>
            </w:r>
            <w:r>
              <w:rPr>
                <w:spacing w:val="-38"/>
              </w:rPr>
              <w:t xml:space="preserve"> </w:t>
            </w:r>
            <w:r>
              <w:rPr>
                <w:rFonts w:ascii="Times New Roman" w:hAnsi="Times New Roman" w:eastAsia="Times New Roman" w:cs="Times New Roman"/>
                <w:spacing w:val="-3"/>
              </w:rPr>
              <w:t>300m</w:t>
            </w:r>
          </w:p>
          <w:p>
            <w:pPr>
              <w:pStyle w:val="TableText"/>
              <w:ind w:left="171"/>
              <w:spacing w:before="44" w:line="221" w:lineRule="auto"/>
              <w:rPr/>
            </w:pPr>
            <w:r>
              <w:rPr>
                <w:spacing w:val="-2"/>
              </w:rPr>
              <w:t>处、储粪库东侧</w:t>
            </w:r>
          </w:p>
          <w:p>
            <w:pPr>
              <w:pStyle w:val="TableText"/>
              <w:ind w:left="639"/>
              <w:spacing w:before="61" w:line="223" w:lineRule="auto"/>
              <w:rPr/>
            </w:pPr>
            <w:r>
              <w:rPr>
                <w:rFonts w:ascii="Times New Roman" w:hAnsi="Times New Roman" w:eastAsia="Times New Roman" w:cs="Times New Roman"/>
                <w:spacing w:val="-3"/>
              </w:rPr>
              <w:t>5m</w:t>
            </w:r>
            <w:r>
              <w:rPr>
                <w:rFonts w:ascii="Times New Roman" w:hAnsi="Times New Roman" w:eastAsia="Times New Roman" w:cs="Times New Roman"/>
                <w:spacing w:val="9"/>
              </w:rPr>
              <w:t xml:space="preserve"> </w:t>
            </w:r>
            <w:r>
              <w:rPr>
                <w:spacing w:val="-3"/>
              </w:rPr>
              <w:t>处</w:t>
            </w:r>
          </w:p>
        </w:tc>
        <w:tc>
          <w:tcPr>
            <w:tcW w:w="1678" w:type="dxa"/>
            <w:vAlign w:val="top"/>
            <w:tcBorders>
              <w:bottom w:val="single" w:color="000000" w:sz="10" w:space="0"/>
            </w:tcBorders>
          </w:tcPr>
          <w:p>
            <w:pPr>
              <w:spacing w:line="313" w:lineRule="auto"/>
              <w:rPr>
                <w:rFonts w:ascii="Arial"/>
                <w:sz w:val="21"/>
              </w:rPr>
            </w:pPr>
            <w:r/>
          </w:p>
          <w:p>
            <w:pPr>
              <w:pStyle w:val="TableText"/>
              <w:ind w:left="217"/>
              <w:spacing w:before="68" w:line="222" w:lineRule="auto"/>
              <w:rPr/>
            </w:pPr>
            <w:r>
              <w:rPr>
                <w:spacing w:val="-2"/>
              </w:rPr>
              <w:t>必要时可开展</w:t>
            </w:r>
          </w:p>
        </w:tc>
        <w:tc>
          <w:tcPr>
            <w:tcW w:w="996" w:type="dxa"/>
            <w:vAlign w:val="top"/>
            <w:vMerge w:val="continue"/>
            <w:tcBorders>
              <w:bottom w:val="single" w:color="000000" w:sz="10" w:space="0"/>
              <w:top w:val="nil"/>
            </w:tcBorders>
          </w:tcPr>
          <w:p>
            <w:pPr>
              <w:rPr>
                <w:rFonts w:ascii="Arial"/>
                <w:sz w:val="21"/>
              </w:rPr>
            </w:pPr>
            <w:r/>
          </w:p>
        </w:tc>
        <w:tc>
          <w:tcPr>
            <w:tcW w:w="737" w:type="dxa"/>
            <w:vAlign w:val="top"/>
            <w:vMerge w:val="continue"/>
            <w:tcBorders>
              <w:right w:val="nil"/>
              <w:bottom w:val="single" w:color="000000" w:sz="10" w:space="0"/>
              <w:top w:val="nil"/>
            </w:tcBorders>
          </w:tcPr>
          <w:p>
            <w:pPr>
              <w:rPr>
                <w:rFonts w:ascii="Arial"/>
                <w:sz w:val="21"/>
              </w:rPr>
            </w:pPr>
            <w:r/>
          </w:p>
        </w:tc>
      </w:tr>
    </w:tbl>
    <w:p>
      <w:pPr>
        <w:pStyle w:val="BodyText"/>
        <w:spacing w:line="295" w:lineRule="auto"/>
        <w:rPr/>
      </w:pPr>
      <w:r/>
    </w:p>
    <w:p>
      <w:pPr>
        <w:ind w:left="344"/>
        <w:spacing w:before="78" w:line="235" w:lineRule="auto"/>
        <w:outlineLvl w:val="1"/>
        <w:rPr>
          <w:rFonts w:ascii="SimSun" w:hAnsi="SimSun" w:eastAsia="SimSun" w:cs="SimSun"/>
          <w:sz w:val="24"/>
          <w:szCs w:val="24"/>
        </w:rPr>
      </w:pPr>
      <w:bookmarkStart w:name="bookmark49" w:id="56"/>
      <w:bookmarkEnd w:id="56"/>
      <w:r>
        <w:rPr>
          <w:rFonts w:ascii="Times New Roman" w:hAnsi="Times New Roman" w:eastAsia="Times New Roman" w:cs="Times New Roman"/>
          <w:sz w:val="24"/>
          <w:szCs w:val="24"/>
          <w:b/>
          <w:bCs/>
          <w:spacing w:val="-2"/>
        </w:rPr>
        <w:t>8.4 </w:t>
      </w:r>
      <w:r>
        <w:rPr>
          <w:rFonts w:ascii="SimSun" w:hAnsi="SimSun" w:eastAsia="SimSun" w:cs="SimSun"/>
          <w:sz w:val="24"/>
          <w:szCs w:val="24"/>
          <w:b/>
          <w:bCs/>
          <w:spacing w:val="-2"/>
        </w:rPr>
        <w:t>排污口规范化</w:t>
      </w:r>
    </w:p>
    <w:p>
      <w:pPr>
        <w:pStyle w:val="BodyText"/>
        <w:spacing w:line="264" w:lineRule="auto"/>
        <w:rPr/>
      </w:pPr>
      <w:r/>
    </w:p>
    <w:p>
      <w:pPr>
        <w:ind w:left="345" w:right="250" w:firstLine="479"/>
        <w:spacing w:before="78" w:line="360" w:lineRule="auto"/>
        <w:rPr>
          <w:rFonts w:ascii="SimSun" w:hAnsi="SimSun" w:eastAsia="SimSun" w:cs="SimSun"/>
          <w:sz w:val="24"/>
          <w:szCs w:val="24"/>
        </w:rPr>
      </w:pPr>
      <w:r>
        <w:rPr>
          <w:rFonts w:ascii="SimSun" w:hAnsi="SimSun" w:eastAsia="SimSun" w:cs="SimSun"/>
          <w:sz w:val="24"/>
          <w:szCs w:val="24"/>
        </w:rPr>
        <w:t>根据国家标准《环境保护图形标志</w:t>
      </w:r>
      <w:r>
        <w:rPr>
          <w:rFonts w:ascii="Times New Roman" w:hAnsi="Times New Roman" w:eastAsia="Times New Roman" w:cs="Times New Roman"/>
          <w:sz w:val="24"/>
          <w:szCs w:val="24"/>
        </w:rPr>
        <w:t>-</w:t>
      </w:r>
      <w:r>
        <w:rPr>
          <w:rFonts w:ascii="SimSun" w:hAnsi="SimSun" w:eastAsia="SimSun" w:cs="SimSun"/>
          <w:sz w:val="24"/>
          <w:szCs w:val="24"/>
        </w:rPr>
        <w:t>排放口（源）》、原国家环保总局《排污</w:t>
      </w:r>
      <w:r>
        <w:rPr>
          <w:rFonts w:ascii="SimSun" w:hAnsi="SimSun" w:eastAsia="SimSun" w:cs="SimSun"/>
          <w:sz w:val="24"/>
          <w:szCs w:val="24"/>
          <w:spacing w:val="1"/>
        </w:rPr>
        <w:t>口规范化整治要求》（试行）的技术要求，企业所有排放口（包括水、气、声、</w:t>
      </w:r>
      <w:r>
        <w:rPr>
          <w:rFonts w:ascii="SimSun" w:hAnsi="SimSun" w:eastAsia="SimSun" w:cs="SimSun"/>
          <w:sz w:val="24"/>
          <w:szCs w:val="24"/>
          <w:spacing w:val="1"/>
        </w:rPr>
        <w:t>渣）必须按照“便于采集样品、便于计量监测、便于日常现场监督检查</w:t>
      </w:r>
      <w:r>
        <w:rPr>
          <w:rFonts w:ascii="SimSun" w:hAnsi="SimSun" w:eastAsia="SimSun" w:cs="SimSun"/>
          <w:sz w:val="24"/>
          <w:szCs w:val="24"/>
          <w:spacing w:val="-61"/>
        </w:rPr>
        <w:t xml:space="preserve"> </w:t>
      </w:r>
      <w:r>
        <w:rPr>
          <w:rFonts w:ascii="SimSun" w:hAnsi="SimSun" w:eastAsia="SimSun" w:cs="SimSun"/>
          <w:sz w:val="24"/>
          <w:szCs w:val="24"/>
          <w:spacing w:val="1"/>
        </w:rPr>
        <w:t>”的原则</w:t>
      </w:r>
      <w:r>
        <w:rPr>
          <w:rFonts w:ascii="SimSun" w:hAnsi="SimSun" w:eastAsia="SimSun" w:cs="SimSun"/>
          <w:sz w:val="24"/>
          <w:szCs w:val="24"/>
          <w:spacing w:val="-2"/>
        </w:rPr>
        <w:t>和规范化要求，设置与之相适应的环境保护图形标志牌，绘制企业排污口分布图。</w:t>
      </w:r>
    </w:p>
    <w:p>
      <w:pPr>
        <w:spacing w:line="360" w:lineRule="auto"/>
        <w:sectPr>
          <w:headerReference w:type="default" r:id="rId210"/>
          <w:footerReference w:type="default" r:id="rId211"/>
          <w:pgSz w:w="11907" w:h="16839"/>
          <w:pgMar w:top="1582" w:right="1363" w:bottom="1235" w:left="1366" w:header="1241" w:footer="992" w:gutter="0"/>
        </w:sectPr>
        <w:rPr>
          <w:rFonts w:ascii="SimSun" w:hAnsi="SimSun" w:eastAsia="SimSun" w:cs="SimSun"/>
          <w:sz w:val="24"/>
          <w:szCs w:val="24"/>
        </w:rPr>
      </w:pPr>
    </w:p>
    <w:p>
      <w:pPr>
        <w:pStyle w:val="BodyText"/>
        <w:spacing w:line="257" w:lineRule="auto"/>
        <w:rPr/>
      </w:pPr>
      <w:r/>
    </w:p>
    <w:p>
      <w:pPr>
        <w:ind w:firstLine="191"/>
        <w:spacing w:line="5191" w:lineRule="exact"/>
        <w:rPr/>
      </w:pPr>
      <w:r>
        <w:rPr>
          <w:position w:val="-103"/>
        </w:rPr>
        <w:drawing>
          <wp:inline distT="0" distB="0" distL="0" distR="0">
            <wp:extent cx="5396229" cy="3296286"/>
            <wp:effectExtent l="0" t="0" r="0" b="0"/>
            <wp:docPr id="28" name="IM 28"/>
            <wp:cNvGraphicFramePr/>
            <a:graphic>
              <a:graphicData uri="http://schemas.openxmlformats.org/drawingml/2006/picture">
                <pic:pic>
                  <pic:nvPicPr>
                    <pic:cNvPr id="28" name="IM 28"/>
                    <pic:cNvPicPr/>
                  </pic:nvPicPr>
                  <pic:blipFill>
                    <a:blip r:embed="rId214"/>
                    <a:stretch>
                      <a:fillRect/>
                    </a:stretch>
                  </pic:blipFill>
                  <pic:spPr>
                    <a:xfrm rot="0">
                      <a:off x="0" y="0"/>
                      <a:ext cx="5396229" cy="3296286"/>
                    </a:xfrm>
                    <a:prstGeom prst="rect">
                      <a:avLst/>
                    </a:prstGeom>
                  </pic:spPr>
                </pic:pic>
              </a:graphicData>
            </a:graphic>
          </wp:inline>
        </w:drawing>
      </w:r>
    </w:p>
    <w:p>
      <w:pPr>
        <w:ind w:left="2925"/>
        <w:spacing w:before="157" w:line="234" w:lineRule="auto"/>
        <w:rPr>
          <w:rFonts w:ascii="SimSun" w:hAnsi="SimSun" w:eastAsia="SimSun" w:cs="SimSun"/>
          <w:sz w:val="24"/>
          <w:szCs w:val="24"/>
        </w:rPr>
      </w:pPr>
      <w:r>
        <w:rPr>
          <w:rFonts w:ascii="SimSun" w:hAnsi="SimSun" w:eastAsia="SimSun" w:cs="SimSun"/>
          <w:sz w:val="24"/>
          <w:szCs w:val="24"/>
          <w:b/>
          <w:bCs/>
          <w:spacing w:val="-4"/>
        </w:rPr>
        <w:t>图</w:t>
      </w:r>
      <w:r>
        <w:rPr>
          <w:rFonts w:ascii="SimSun" w:hAnsi="SimSun" w:eastAsia="SimSun" w:cs="SimSun"/>
          <w:sz w:val="24"/>
          <w:szCs w:val="24"/>
          <w:spacing w:val="-34"/>
        </w:rPr>
        <w:t xml:space="preserve"> </w:t>
      </w:r>
      <w:r>
        <w:rPr>
          <w:rFonts w:ascii="Times New Roman" w:hAnsi="Times New Roman" w:eastAsia="Times New Roman" w:cs="Times New Roman"/>
          <w:sz w:val="24"/>
          <w:szCs w:val="24"/>
          <w:b/>
          <w:bCs/>
          <w:spacing w:val="-4"/>
        </w:rPr>
        <w:t>8-1      </w:t>
      </w:r>
      <w:r>
        <w:rPr>
          <w:rFonts w:ascii="SimSun" w:hAnsi="SimSun" w:eastAsia="SimSun" w:cs="SimSun"/>
          <w:sz w:val="24"/>
          <w:szCs w:val="24"/>
          <w:b/>
          <w:bCs/>
          <w:spacing w:val="-4"/>
        </w:rPr>
        <w:t>环境保护图形标志</w:t>
      </w:r>
    </w:p>
    <w:p>
      <w:pPr>
        <w:pStyle w:val="BodyText"/>
        <w:spacing w:line="289" w:lineRule="auto"/>
        <w:rPr/>
      </w:pPr>
      <w:r/>
    </w:p>
    <w:p>
      <w:pPr>
        <w:pStyle w:val="BodyText"/>
        <w:spacing w:line="290" w:lineRule="auto"/>
        <w:rPr/>
      </w:pPr>
      <w:r/>
    </w:p>
    <w:p>
      <w:pPr>
        <w:ind w:left="104"/>
        <w:spacing w:before="78" w:line="233" w:lineRule="auto"/>
        <w:outlineLvl w:val="1"/>
        <w:rPr>
          <w:rFonts w:ascii="SimSun" w:hAnsi="SimSun" w:eastAsia="SimSun" w:cs="SimSun"/>
          <w:sz w:val="24"/>
          <w:szCs w:val="24"/>
        </w:rPr>
      </w:pPr>
      <w:bookmarkStart w:name="bookmark50" w:id="57"/>
      <w:bookmarkEnd w:id="57"/>
      <w:r>
        <w:rPr>
          <w:rFonts w:ascii="Times New Roman" w:hAnsi="Times New Roman" w:eastAsia="Times New Roman" w:cs="Times New Roman"/>
          <w:sz w:val="24"/>
          <w:szCs w:val="24"/>
          <w:b/>
          <w:bCs/>
          <w:spacing w:val="-2"/>
        </w:rPr>
        <w:t>8.5 </w:t>
      </w:r>
      <w:r>
        <w:rPr>
          <w:rFonts w:ascii="SimSun" w:hAnsi="SimSun" w:eastAsia="SimSun" w:cs="SimSun"/>
          <w:sz w:val="24"/>
          <w:szCs w:val="24"/>
          <w:b/>
          <w:bCs/>
          <w:spacing w:val="-2"/>
        </w:rPr>
        <w:t>企业信息公开</w:t>
      </w:r>
    </w:p>
    <w:p>
      <w:pPr>
        <w:pStyle w:val="BodyText"/>
        <w:spacing w:line="265" w:lineRule="auto"/>
        <w:rPr/>
      </w:pPr>
      <w:r/>
    </w:p>
    <w:p>
      <w:pPr>
        <w:ind w:left="115" w:right="92" w:firstLine="469"/>
        <w:spacing w:before="78" w:line="350" w:lineRule="auto"/>
        <w:rPr>
          <w:rFonts w:ascii="SimSun" w:hAnsi="SimSun" w:eastAsia="SimSun" w:cs="SimSun"/>
          <w:sz w:val="24"/>
          <w:szCs w:val="24"/>
        </w:rPr>
      </w:pPr>
      <w:r>
        <w:rPr>
          <w:rFonts w:ascii="SimSun" w:hAnsi="SimSun" w:eastAsia="SimSun" w:cs="SimSun"/>
          <w:sz w:val="24"/>
          <w:szCs w:val="24"/>
          <w:spacing w:val="17"/>
        </w:rPr>
        <w:t>根据《关于</w:t>
      </w:r>
      <w:r>
        <w:rPr>
          <w:rFonts w:ascii="Times New Roman" w:hAnsi="Times New Roman" w:eastAsia="Times New Roman" w:cs="Times New Roman"/>
          <w:sz w:val="24"/>
          <w:szCs w:val="24"/>
          <w:spacing w:val="17"/>
        </w:rPr>
        <w:t>&lt;</w:t>
      </w:r>
      <w:r>
        <w:rPr>
          <w:rFonts w:ascii="SimSun" w:hAnsi="SimSun" w:eastAsia="SimSun" w:cs="SimSun"/>
          <w:sz w:val="24"/>
          <w:szCs w:val="24"/>
          <w:spacing w:val="17"/>
        </w:rPr>
        <w:t>建设项目环境影响评价信息公开机制方案</w:t>
      </w:r>
      <w:r>
        <w:rPr>
          <w:rFonts w:ascii="Times New Roman" w:hAnsi="Times New Roman" w:eastAsia="Times New Roman" w:cs="Times New Roman"/>
          <w:sz w:val="24"/>
          <w:szCs w:val="24"/>
          <w:spacing w:val="17"/>
        </w:rPr>
        <w:t>&gt;</w:t>
      </w:r>
      <w:r>
        <w:rPr>
          <w:rFonts w:ascii="SimSun" w:hAnsi="SimSun" w:eastAsia="SimSun" w:cs="SimSun"/>
          <w:sz w:val="24"/>
          <w:szCs w:val="24"/>
          <w:spacing w:val="17"/>
        </w:rPr>
        <w:t>的通</w:t>
      </w:r>
      <w:r>
        <w:rPr>
          <w:rFonts w:ascii="SimSun" w:hAnsi="SimSun" w:eastAsia="SimSun" w:cs="SimSun"/>
          <w:sz w:val="24"/>
          <w:szCs w:val="24"/>
          <w:spacing w:val="16"/>
        </w:rPr>
        <w:t>知》（环发</w:t>
      </w:r>
      <w:r>
        <w:rPr>
          <w:rFonts w:ascii="Times New Roman" w:hAnsi="Times New Roman" w:eastAsia="Times New Roman" w:cs="Times New Roman"/>
          <w:sz w:val="24"/>
          <w:szCs w:val="24"/>
          <w:spacing w:val="-3"/>
        </w:rPr>
        <w:t>[2015]162</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3"/>
        </w:rPr>
        <w:t>号</w:t>
      </w:r>
      <w:r>
        <w:rPr>
          <w:rFonts w:ascii="SimSun" w:hAnsi="SimSun" w:eastAsia="SimSun" w:cs="SimSun"/>
          <w:sz w:val="24"/>
          <w:szCs w:val="24"/>
          <w:spacing w:val="5"/>
        </w:rPr>
        <w:t>），</w:t>
      </w:r>
      <w:r>
        <w:rPr>
          <w:rFonts w:ascii="SimSun" w:hAnsi="SimSun" w:eastAsia="SimSun" w:cs="SimSun"/>
          <w:sz w:val="24"/>
          <w:szCs w:val="24"/>
          <w:spacing w:val="-3"/>
        </w:rPr>
        <w:t>企业应建立环评信息公开机制，具体公示内容如下：</w:t>
      </w:r>
    </w:p>
    <w:p>
      <w:pPr>
        <w:ind w:left="591"/>
        <w:spacing w:before="23" w:line="23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）公开环境影响报告编制信息</w:t>
      </w:r>
    </w:p>
    <w:p>
      <w:pPr>
        <w:ind w:left="107" w:right="97" w:firstLine="480"/>
        <w:spacing w:before="165" w:line="359" w:lineRule="auto"/>
        <w:rPr>
          <w:rFonts w:ascii="SimSun" w:hAnsi="SimSun" w:eastAsia="SimSun" w:cs="SimSun"/>
          <w:sz w:val="24"/>
          <w:szCs w:val="24"/>
        </w:rPr>
      </w:pPr>
      <w:r>
        <w:rPr>
          <w:rFonts w:ascii="SimSun" w:hAnsi="SimSun" w:eastAsia="SimSun" w:cs="SimSun"/>
          <w:sz w:val="24"/>
          <w:szCs w:val="24"/>
          <w:spacing w:val="2"/>
        </w:rPr>
        <w:t>建设单位在建设项目环境影响报告编制过程中，应当向社会公开建设项目的</w:t>
      </w:r>
      <w:r>
        <w:rPr>
          <w:rFonts w:ascii="SimSun" w:hAnsi="SimSun" w:eastAsia="SimSun" w:cs="SimSun"/>
          <w:sz w:val="24"/>
          <w:szCs w:val="24"/>
          <w:spacing w:val="2"/>
        </w:rPr>
        <w:t>工程基本情况、拟定选址选线、周边主要保护目标的位置和距离、主要环境影响</w:t>
      </w:r>
      <w:r>
        <w:rPr>
          <w:rFonts w:ascii="SimSun" w:hAnsi="SimSun" w:eastAsia="SimSun" w:cs="SimSun"/>
          <w:sz w:val="24"/>
          <w:szCs w:val="24"/>
          <w:spacing w:val="-3"/>
        </w:rPr>
        <w:t>预测情况、拟采取的主要环境保护措施等。</w:t>
      </w:r>
    </w:p>
    <w:p>
      <w:pPr>
        <w:ind w:left="591"/>
        <w:spacing w:before="1" w:line="231"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）公开环境影响报告全本</w:t>
      </w:r>
    </w:p>
    <w:p>
      <w:pPr>
        <w:ind w:left="103" w:right="2" w:firstLine="481"/>
        <w:spacing w:before="166" w:line="359" w:lineRule="auto"/>
        <w:rPr>
          <w:rFonts w:ascii="SimSun" w:hAnsi="SimSun" w:eastAsia="SimSun" w:cs="SimSun"/>
          <w:sz w:val="24"/>
          <w:szCs w:val="24"/>
        </w:rPr>
      </w:pPr>
      <w:r>
        <w:rPr>
          <w:rFonts w:ascii="SimSun" w:hAnsi="SimSun" w:eastAsia="SimSun" w:cs="SimSun"/>
          <w:sz w:val="24"/>
          <w:szCs w:val="24"/>
          <w:spacing w:val="-1"/>
        </w:rPr>
        <w:t>根据《中华人民共和国大气污染防治法》， 建设单位在建设项目环境影响报</w:t>
      </w:r>
      <w:r>
        <w:rPr>
          <w:rFonts w:ascii="SimSun" w:hAnsi="SimSun" w:eastAsia="SimSun" w:cs="SimSun"/>
          <w:sz w:val="24"/>
          <w:szCs w:val="24"/>
          <w:spacing w:val="-2"/>
        </w:rPr>
        <w:t>告编制完成后，向环境保护主管部门报批前，应当向社会公开环境影响报告全本。</w:t>
      </w:r>
      <w:r>
        <w:rPr>
          <w:rFonts w:ascii="SimSun" w:hAnsi="SimSun" w:eastAsia="SimSun" w:cs="SimSun"/>
          <w:sz w:val="24"/>
          <w:szCs w:val="24"/>
          <w:spacing w:val="-1"/>
        </w:rPr>
        <w:t>报批过程中，如对环境影响报告进一步修改，</w:t>
      </w:r>
      <w:r>
        <w:rPr>
          <w:rFonts w:ascii="SimSun" w:hAnsi="SimSun" w:eastAsia="SimSun" w:cs="SimSun"/>
          <w:sz w:val="24"/>
          <w:szCs w:val="24"/>
          <w:spacing w:val="-2"/>
        </w:rPr>
        <w:t>应及时公开最后版本。</w:t>
      </w:r>
    </w:p>
    <w:p>
      <w:pPr>
        <w:ind w:left="591"/>
        <w:spacing w:before="1" w:line="233"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）公开建设项目开工前的信息</w:t>
      </w:r>
    </w:p>
    <w:p>
      <w:pPr>
        <w:ind w:left="105" w:right="97" w:firstLine="482"/>
        <w:spacing w:before="164" w:line="360" w:lineRule="auto"/>
        <w:rPr>
          <w:rFonts w:ascii="SimSun" w:hAnsi="SimSun" w:eastAsia="SimSun" w:cs="SimSun"/>
          <w:sz w:val="24"/>
          <w:szCs w:val="24"/>
        </w:rPr>
      </w:pPr>
      <w:r>
        <w:rPr>
          <w:rFonts w:ascii="SimSun" w:hAnsi="SimSun" w:eastAsia="SimSun" w:cs="SimSun"/>
          <w:sz w:val="24"/>
          <w:szCs w:val="24"/>
          <w:spacing w:val="2"/>
        </w:rPr>
        <w:t>建设项目开工建设前，建设单位应当向社会公开建设项目开工日期、设计单</w:t>
      </w:r>
      <w:r>
        <w:rPr>
          <w:rFonts w:ascii="SimSun" w:hAnsi="SimSun" w:eastAsia="SimSun" w:cs="SimSun"/>
          <w:sz w:val="24"/>
          <w:szCs w:val="24"/>
          <w:spacing w:val="2"/>
        </w:rPr>
        <w:t>位、施工单位和环境监理单位、工程基本情况、实际选址选线、拟采取的环境保</w:t>
      </w:r>
    </w:p>
    <w:p>
      <w:pPr>
        <w:spacing w:line="360" w:lineRule="auto"/>
        <w:sectPr>
          <w:headerReference w:type="default" r:id="rId212"/>
          <w:footerReference w:type="default" r:id="rId213"/>
          <w:pgSz w:w="11907" w:h="16839"/>
          <w:pgMar w:top="1582" w:right="1611" w:bottom="1235" w:left="1606" w:header="1241" w:footer="992" w:gutter="0"/>
        </w:sectPr>
        <w:rPr>
          <w:rFonts w:ascii="SimSun" w:hAnsi="SimSun" w:eastAsia="SimSun" w:cs="SimSun"/>
          <w:sz w:val="24"/>
          <w:szCs w:val="24"/>
        </w:rPr>
      </w:pPr>
    </w:p>
    <w:p>
      <w:pPr>
        <w:ind w:left="110" w:right="77" w:hanging="4"/>
        <w:spacing w:before="153" w:line="359" w:lineRule="auto"/>
        <w:rPr>
          <w:rFonts w:ascii="SimSun" w:hAnsi="SimSun" w:eastAsia="SimSun" w:cs="SimSun"/>
          <w:sz w:val="24"/>
          <w:szCs w:val="24"/>
        </w:rPr>
      </w:pPr>
      <w:r>
        <w:rPr>
          <w:rFonts w:ascii="SimSun" w:hAnsi="SimSun" w:eastAsia="SimSun" w:cs="SimSun"/>
          <w:sz w:val="24"/>
          <w:szCs w:val="24"/>
          <w:spacing w:val="2"/>
        </w:rPr>
        <w:t>护措施清单和实施计划、由地方政府或相关部门负责配套的环境保护措施清单和</w:t>
      </w:r>
      <w:r>
        <w:rPr>
          <w:rFonts w:ascii="SimSun" w:hAnsi="SimSun" w:eastAsia="SimSun" w:cs="SimSun"/>
          <w:sz w:val="24"/>
          <w:szCs w:val="24"/>
          <w:spacing w:val="-2"/>
        </w:rPr>
        <w:t>实施计划等，并确保上述信息在整个施工期内均处于公开状态。</w:t>
      </w:r>
    </w:p>
    <w:p>
      <w:pPr>
        <w:ind w:left="591"/>
        <w:spacing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）公开建设项目施工过程中的信息</w:t>
      </w:r>
    </w:p>
    <w:p>
      <w:pPr>
        <w:ind w:left="104" w:right="77" w:firstLine="484"/>
        <w:spacing w:before="164" w:line="360" w:lineRule="auto"/>
        <w:rPr>
          <w:rFonts w:ascii="SimSun" w:hAnsi="SimSun" w:eastAsia="SimSun" w:cs="SimSun"/>
          <w:sz w:val="24"/>
          <w:szCs w:val="24"/>
        </w:rPr>
      </w:pPr>
      <w:r>
        <w:rPr>
          <w:rFonts w:ascii="SimSun" w:hAnsi="SimSun" w:eastAsia="SimSun" w:cs="SimSun"/>
          <w:sz w:val="24"/>
          <w:szCs w:val="24"/>
          <w:spacing w:val="2"/>
        </w:rPr>
        <w:t>项目建设过程中，建设单位应当在施工中期向社会公开建设项目环境保护措</w:t>
      </w:r>
      <w:r>
        <w:rPr>
          <w:rFonts w:ascii="SimSun" w:hAnsi="SimSun" w:eastAsia="SimSun" w:cs="SimSun"/>
          <w:sz w:val="24"/>
          <w:szCs w:val="24"/>
          <w:spacing w:val="2"/>
        </w:rPr>
        <w:t>施进展情况、施工期的环境保护措施落实情况、施工期环境监理情况、施工期环</w:t>
      </w:r>
      <w:r>
        <w:rPr>
          <w:rFonts w:ascii="SimSun" w:hAnsi="SimSun" w:eastAsia="SimSun" w:cs="SimSun"/>
          <w:sz w:val="24"/>
          <w:szCs w:val="24"/>
          <w:spacing w:val="-6"/>
        </w:rPr>
        <w:t>境监测结果等。</w:t>
      </w:r>
    </w:p>
    <w:p>
      <w:pPr>
        <w:spacing w:line="360" w:lineRule="auto"/>
        <w:sectPr>
          <w:headerReference w:type="default" r:id="rId90"/>
          <w:footerReference w:type="default" r:id="rId215"/>
          <w:pgSz w:w="11907" w:h="16839"/>
          <w:pgMar w:top="1582" w:right="1631" w:bottom="1235" w:left="1606" w:header="1241" w:footer="992" w:gutter="0"/>
        </w:sectPr>
        <w:rPr>
          <w:rFonts w:ascii="SimSun" w:hAnsi="SimSun" w:eastAsia="SimSun" w:cs="SimSun"/>
          <w:sz w:val="24"/>
          <w:szCs w:val="24"/>
        </w:rPr>
      </w:pPr>
    </w:p>
    <w:p>
      <w:pPr>
        <w:pStyle w:val="BodyText"/>
        <w:spacing w:line="259" w:lineRule="auto"/>
        <w:rPr/>
      </w:pPr>
      <w:r/>
    </w:p>
    <w:p>
      <w:pPr>
        <w:pStyle w:val="BodyText"/>
        <w:spacing w:line="260" w:lineRule="auto"/>
        <w:rPr/>
      </w:pPr>
      <w:r/>
    </w:p>
    <w:p>
      <w:pPr>
        <w:ind w:left="38"/>
        <w:spacing w:before="98" w:line="232" w:lineRule="auto"/>
        <w:outlineLvl w:val="0"/>
        <w:rPr>
          <w:rFonts w:ascii="SimSun" w:hAnsi="SimSun" w:eastAsia="SimSun" w:cs="SimSun"/>
          <w:sz w:val="30"/>
          <w:szCs w:val="30"/>
        </w:rPr>
      </w:pPr>
      <w:bookmarkStart w:name="bookmark51" w:id="58"/>
      <w:bookmarkEnd w:id="58"/>
      <w:bookmarkStart w:name="bookmark52" w:id="59"/>
      <w:bookmarkEnd w:id="59"/>
      <w:r>
        <w:rPr>
          <w:rFonts w:ascii="Times New Roman" w:hAnsi="Times New Roman" w:eastAsia="Times New Roman" w:cs="Times New Roman"/>
          <w:sz w:val="30"/>
          <w:szCs w:val="30"/>
          <w:b/>
          <w:bCs/>
          <w:spacing w:val="-3"/>
        </w:rPr>
        <w:t>9.</w:t>
      </w:r>
      <w:r>
        <w:rPr>
          <w:rFonts w:ascii="SimSun" w:hAnsi="SimSun" w:eastAsia="SimSun" w:cs="SimSun"/>
          <w:sz w:val="30"/>
          <w:szCs w:val="30"/>
          <w:b/>
          <w:bCs/>
          <w:spacing w:val="-3"/>
        </w:rPr>
        <w:t>环境影响评价结论</w:t>
      </w:r>
    </w:p>
    <w:p>
      <w:pPr>
        <w:pStyle w:val="BodyText"/>
        <w:spacing w:line="451" w:lineRule="auto"/>
        <w:rPr/>
      </w:pPr>
      <w:r/>
    </w:p>
    <w:p>
      <w:pPr>
        <w:ind w:left="36"/>
        <w:spacing w:before="78" w:line="233" w:lineRule="auto"/>
        <w:outlineLvl w:val="1"/>
        <w:rPr>
          <w:rFonts w:ascii="SimSun" w:hAnsi="SimSun" w:eastAsia="SimSun" w:cs="SimSun"/>
          <w:sz w:val="24"/>
          <w:szCs w:val="24"/>
        </w:rPr>
      </w:pPr>
      <w:bookmarkStart w:name="bookmark69" w:id="60"/>
      <w:bookmarkEnd w:id="60"/>
      <w:r>
        <w:rPr>
          <w:rFonts w:ascii="Times New Roman" w:hAnsi="Times New Roman" w:eastAsia="Times New Roman" w:cs="Times New Roman"/>
          <w:sz w:val="24"/>
          <w:szCs w:val="24"/>
          <w:b/>
          <w:bCs/>
          <w:spacing w:val="-2"/>
        </w:rPr>
        <w:t>9.1 </w:t>
      </w:r>
      <w:r>
        <w:rPr>
          <w:rFonts w:ascii="SimSun" w:hAnsi="SimSun" w:eastAsia="SimSun" w:cs="SimSun"/>
          <w:sz w:val="24"/>
          <w:szCs w:val="24"/>
          <w:b/>
          <w:bCs/>
          <w:spacing w:val="-2"/>
        </w:rPr>
        <w:t>建设项目概况</w:t>
      </w:r>
    </w:p>
    <w:p>
      <w:pPr>
        <w:pStyle w:val="BodyText"/>
        <w:spacing w:line="263" w:lineRule="auto"/>
        <w:rPr/>
      </w:pPr>
      <w:r/>
    </w:p>
    <w:p>
      <w:pPr>
        <w:ind w:left="36" w:right="46" w:firstLine="482"/>
        <w:spacing w:before="78" w:line="357" w:lineRule="auto"/>
        <w:jc w:val="both"/>
        <w:rPr>
          <w:rFonts w:ascii="SimSun" w:hAnsi="SimSun" w:eastAsia="SimSun" w:cs="SimSun"/>
          <w:sz w:val="24"/>
          <w:szCs w:val="24"/>
        </w:rPr>
      </w:pPr>
      <w:r>
        <w:rPr>
          <w:rFonts w:ascii="SimSun" w:hAnsi="SimSun" w:eastAsia="SimSun" w:cs="SimSun"/>
          <w:sz w:val="24"/>
          <w:szCs w:val="24"/>
          <w:spacing w:val="10"/>
        </w:rPr>
        <w:t>本项目为锡林郭勒盟牧林农机服务有限责任公司肉牛育肥养殖基地建设项</w:t>
      </w:r>
      <w:r>
        <w:rPr>
          <w:rFonts w:ascii="SimSun" w:hAnsi="SimSun" w:eastAsia="SimSun" w:cs="SimSun"/>
          <w:sz w:val="24"/>
          <w:szCs w:val="24"/>
          <w:spacing w:val="3"/>
        </w:rPr>
        <w:t>目，场址位于锡林郭勒盟锡林浩特市额尔顿街道办事处新兴</w:t>
      </w:r>
      <w:r>
        <w:rPr>
          <w:rFonts w:ascii="SimSun" w:hAnsi="SimSun" w:eastAsia="SimSun" w:cs="SimSun"/>
          <w:sz w:val="24"/>
          <w:szCs w:val="24"/>
          <w:spacing w:val="2"/>
        </w:rPr>
        <w:t>社区沃源奶牛场，场</w:t>
      </w:r>
      <w:r>
        <w:rPr>
          <w:rFonts w:ascii="SimSun" w:hAnsi="SimSun" w:eastAsia="SimSun" w:cs="SimSun"/>
          <w:sz w:val="24"/>
          <w:szCs w:val="24"/>
          <w:spacing w:val="-4"/>
        </w:rPr>
        <w:t>区中心坐标为东经</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4"/>
        </w:rPr>
        <w:t>116 </w:t>
      </w:r>
      <w:r>
        <w:rPr>
          <w:rFonts w:ascii="SimSun" w:hAnsi="SimSun" w:eastAsia="SimSun" w:cs="SimSun"/>
          <w:sz w:val="24"/>
          <w:szCs w:val="24"/>
          <w:spacing w:val="-4"/>
        </w:rPr>
        <w:t>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11 </w:t>
      </w:r>
      <w:r>
        <w:rPr>
          <w:rFonts w:ascii="SimSun" w:hAnsi="SimSun" w:eastAsia="SimSun" w:cs="SimSun"/>
          <w:sz w:val="24"/>
          <w:szCs w:val="24"/>
          <w:spacing w:val="-4"/>
        </w:rPr>
        <w:t>分</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51.345 </w:t>
      </w:r>
      <w:r>
        <w:rPr>
          <w:rFonts w:ascii="SimSun" w:hAnsi="SimSun" w:eastAsia="SimSun" w:cs="SimSun"/>
          <w:sz w:val="24"/>
          <w:szCs w:val="24"/>
          <w:spacing w:val="-4"/>
        </w:rPr>
        <w:t>秒；北纬</w:t>
      </w:r>
      <w:r>
        <w:rPr>
          <w:rFonts w:ascii="Times New Roman" w:hAnsi="Times New Roman" w:eastAsia="Times New Roman" w:cs="Times New Roman"/>
          <w:sz w:val="24"/>
          <w:szCs w:val="24"/>
          <w:spacing w:val="-4"/>
        </w:rPr>
        <w:t>43 </w:t>
      </w:r>
      <w:r>
        <w:rPr>
          <w:rFonts w:ascii="SimSun" w:hAnsi="SimSun" w:eastAsia="SimSun" w:cs="SimSun"/>
          <w:sz w:val="24"/>
          <w:szCs w:val="24"/>
          <w:spacing w:val="-4"/>
        </w:rPr>
        <w:t>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56</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4"/>
        </w:rPr>
        <w:t>分</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38.833 </w:t>
      </w:r>
      <w:r>
        <w:rPr>
          <w:rFonts w:ascii="SimSun" w:hAnsi="SimSun" w:eastAsia="SimSun" w:cs="SimSun"/>
          <w:sz w:val="24"/>
          <w:szCs w:val="24"/>
          <w:spacing w:val="-4"/>
        </w:rPr>
        <w:t>秒，场区东侧为</w:t>
      </w:r>
      <w:r>
        <w:rPr>
          <w:rFonts w:ascii="SimSun" w:hAnsi="SimSun" w:eastAsia="SimSun" w:cs="SimSun"/>
          <w:sz w:val="24"/>
          <w:szCs w:val="24"/>
          <w:spacing w:val="-1"/>
        </w:rPr>
        <w:t>牧草地，南侧为牧草地，西侧</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1"/>
        </w:rPr>
        <w:t>40m</w:t>
      </w:r>
      <w:r>
        <w:rPr>
          <w:rFonts w:ascii="Times New Roman" w:hAnsi="Times New Roman" w:eastAsia="Times New Roman" w:cs="Times New Roman"/>
          <w:sz w:val="24"/>
          <w:szCs w:val="24"/>
          <w:spacing w:val="32"/>
          <w:w w:val="101"/>
        </w:rPr>
        <w:t xml:space="preserve"> </w:t>
      </w:r>
      <w:r>
        <w:rPr>
          <w:rFonts w:ascii="SimSun" w:hAnsi="SimSun" w:eastAsia="SimSun" w:cs="SimSun"/>
          <w:sz w:val="24"/>
          <w:szCs w:val="24"/>
          <w:spacing w:val="-1"/>
        </w:rPr>
        <w:t>为乌海线公路，隔公路为公墓区和牧草地，北</w:t>
      </w:r>
      <w:r>
        <w:rPr>
          <w:rFonts w:ascii="SimSun" w:hAnsi="SimSun" w:eastAsia="SimSun" w:cs="SimSun"/>
          <w:sz w:val="24"/>
          <w:szCs w:val="24"/>
          <w:spacing w:val="-3"/>
        </w:rPr>
        <w:t>侧为牧草地，最近敏感点为西侧</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4.5km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处锡林浩特市居民</w:t>
      </w:r>
      <w:r>
        <w:rPr>
          <w:rFonts w:ascii="SimSun" w:hAnsi="SimSun" w:eastAsia="SimSun" w:cs="SimSun"/>
          <w:sz w:val="24"/>
          <w:szCs w:val="24"/>
          <w:spacing w:val="-4"/>
        </w:rPr>
        <w:t>，项目总投资</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330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万元，</w:t>
      </w:r>
      <w:r>
        <w:rPr>
          <w:rFonts w:ascii="SimSun" w:hAnsi="SimSun" w:eastAsia="SimSun" w:cs="SimSun"/>
          <w:sz w:val="24"/>
          <w:szCs w:val="24"/>
          <w:spacing w:val="1"/>
        </w:rPr>
        <w:t>其中建设单位自筹</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130 </w:t>
      </w:r>
      <w:r>
        <w:rPr>
          <w:rFonts w:ascii="SimSun" w:hAnsi="SimSun" w:eastAsia="SimSun" w:cs="SimSun"/>
          <w:sz w:val="24"/>
          <w:szCs w:val="24"/>
          <w:spacing w:val="1"/>
        </w:rPr>
        <w:t>万元，银行贷款</w:t>
      </w:r>
      <w:r>
        <w:rPr>
          <w:rFonts w:ascii="Times New Roman" w:hAnsi="Times New Roman" w:eastAsia="Times New Roman" w:cs="Times New Roman"/>
          <w:sz w:val="24"/>
          <w:szCs w:val="24"/>
          <w:spacing w:val="1"/>
        </w:rPr>
        <w:t>200 </w:t>
      </w:r>
      <w:r>
        <w:rPr>
          <w:rFonts w:ascii="SimSun" w:hAnsi="SimSun" w:eastAsia="SimSun" w:cs="SimSun"/>
          <w:sz w:val="24"/>
          <w:szCs w:val="24"/>
        </w:rPr>
        <w:t>万元。</w:t>
      </w:r>
    </w:p>
    <w:p>
      <w:pPr>
        <w:ind w:left="38" w:right="110" w:firstLine="480"/>
        <w:spacing w:before="2" w:line="349" w:lineRule="auto"/>
        <w:jc w:val="both"/>
        <w:rPr>
          <w:rFonts w:ascii="SimSun" w:hAnsi="SimSun" w:eastAsia="SimSun" w:cs="SimSun"/>
          <w:sz w:val="24"/>
          <w:szCs w:val="24"/>
        </w:rPr>
      </w:pPr>
      <w:r>
        <w:rPr>
          <w:rFonts w:ascii="SimSun" w:hAnsi="SimSun" w:eastAsia="SimSun" w:cs="SimSun"/>
          <w:sz w:val="24"/>
          <w:szCs w:val="24"/>
          <w:spacing w:val="-4"/>
        </w:rPr>
        <w:t>本项目建成后年出栏育肥牛 </w:t>
      </w:r>
      <w:r>
        <w:rPr>
          <w:rFonts w:ascii="Times New Roman" w:hAnsi="Times New Roman" w:eastAsia="Times New Roman" w:cs="Times New Roman"/>
          <w:sz w:val="24"/>
          <w:szCs w:val="24"/>
          <w:spacing w:val="-4"/>
        </w:rPr>
        <w:t>1200</w:t>
      </w:r>
      <w:r>
        <w:rPr>
          <w:rFonts w:ascii="Times New Roman" w:hAnsi="Times New Roman" w:eastAsia="Times New Roman" w:cs="Times New Roman"/>
          <w:sz w:val="24"/>
          <w:szCs w:val="24"/>
          <w:spacing w:val="57"/>
          <w:w w:val="101"/>
        </w:rPr>
        <w:t xml:space="preserve"> </w:t>
      </w:r>
      <w:r>
        <w:rPr>
          <w:rFonts w:ascii="SimSun" w:hAnsi="SimSun" w:eastAsia="SimSun" w:cs="SimSun"/>
          <w:sz w:val="24"/>
          <w:szCs w:val="24"/>
          <w:spacing w:val="-4"/>
        </w:rPr>
        <w:t>头</w:t>
      </w:r>
      <w:r>
        <w:rPr>
          <w:rFonts w:ascii="Times New Roman" w:hAnsi="Times New Roman" w:eastAsia="Times New Roman" w:cs="Times New Roman"/>
          <w:sz w:val="24"/>
          <w:szCs w:val="24"/>
          <w:spacing w:val="-4"/>
        </w:rPr>
        <w:t>/a</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4"/>
        </w:rPr>
        <w:t>。场区占地面积为 </w:t>
      </w:r>
      <w:r>
        <w:rPr>
          <w:rFonts w:ascii="Times New Roman" w:hAnsi="Times New Roman" w:eastAsia="Times New Roman" w:cs="Times New Roman"/>
          <w:sz w:val="24"/>
          <w:szCs w:val="24"/>
          <w:spacing w:val="-4"/>
        </w:rPr>
        <w:t>66300m</w:t>
      </w:r>
      <w:r>
        <w:rPr>
          <w:rFonts w:ascii="Times New Roman" w:hAnsi="Times New Roman" w:eastAsia="Times New Roman" w:cs="Times New Roman"/>
          <w:sz w:val="16"/>
          <w:szCs w:val="16"/>
          <w:spacing w:val="-4"/>
          <w:position w:val="10"/>
        </w:rPr>
        <w:t>2</w:t>
      </w:r>
      <w:r>
        <w:rPr>
          <w:rFonts w:ascii="Times New Roman" w:hAnsi="Times New Roman" w:eastAsia="Times New Roman" w:cs="Times New Roman"/>
          <w:sz w:val="16"/>
          <w:szCs w:val="16"/>
          <w:spacing w:val="-10"/>
          <w:position w:val="10"/>
        </w:rPr>
        <w:t xml:space="preserve"> </w:t>
      </w:r>
      <w:r>
        <w:rPr>
          <w:rFonts w:ascii="SimSun" w:hAnsi="SimSun" w:eastAsia="SimSun" w:cs="SimSun"/>
          <w:sz w:val="24"/>
          <w:szCs w:val="24"/>
          <w:spacing w:val="-4"/>
        </w:rPr>
        <w:t>，总建筑面</w:t>
      </w:r>
      <w:r>
        <w:rPr>
          <w:rFonts w:ascii="SimSun" w:hAnsi="SimSun" w:eastAsia="SimSun" w:cs="SimSun"/>
          <w:sz w:val="24"/>
          <w:szCs w:val="24"/>
          <w:spacing w:val="-4"/>
        </w:rPr>
        <w:t>积为</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4"/>
        </w:rPr>
        <w:t>15624m</w:t>
      </w:r>
      <w:r>
        <w:rPr>
          <w:rFonts w:ascii="Times New Roman" w:hAnsi="Times New Roman" w:eastAsia="Times New Roman" w:cs="Times New Roman"/>
          <w:sz w:val="16"/>
          <w:szCs w:val="16"/>
          <w:spacing w:val="-4"/>
          <w:position w:val="10"/>
        </w:rPr>
        <w:t>2</w:t>
      </w:r>
      <w:r>
        <w:rPr>
          <w:rFonts w:ascii="SimSun" w:hAnsi="SimSun" w:eastAsia="SimSun" w:cs="SimSun"/>
          <w:sz w:val="24"/>
          <w:szCs w:val="24"/>
          <w:spacing w:val="-4"/>
        </w:rPr>
        <w:t>，项目建成后有利于将该地区畜牧业提高到新的发展水平，具有较好</w:t>
      </w:r>
      <w:r>
        <w:rPr>
          <w:rFonts w:ascii="SimSun" w:hAnsi="SimSun" w:eastAsia="SimSun" w:cs="SimSun"/>
          <w:sz w:val="24"/>
          <w:szCs w:val="24"/>
          <w:spacing w:val="-1"/>
        </w:rPr>
        <w:t>的社会效益、经济效益。</w:t>
      </w:r>
    </w:p>
    <w:p>
      <w:pPr>
        <w:pStyle w:val="BodyText"/>
        <w:spacing w:line="300" w:lineRule="auto"/>
        <w:rPr/>
      </w:pPr>
      <w:r/>
    </w:p>
    <w:p>
      <w:pPr>
        <w:ind w:left="36"/>
        <w:spacing w:before="78" w:line="233" w:lineRule="auto"/>
        <w:outlineLvl w:val="1"/>
        <w:rPr>
          <w:rFonts w:ascii="SimSun" w:hAnsi="SimSun" w:eastAsia="SimSun" w:cs="SimSun"/>
          <w:sz w:val="24"/>
          <w:szCs w:val="24"/>
        </w:rPr>
      </w:pPr>
      <w:bookmarkStart w:name="bookmark53" w:id="61"/>
      <w:bookmarkEnd w:id="61"/>
      <w:r>
        <w:rPr>
          <w:rFonts w:ascii="Times New Roman" w:hAnsi="Times New Roman" w:eastAsia="Times New Roman" w:cs="Times New Roman"/>
          <w:sz w:val="24"/>
          <w:szCs w:val="24"/>
          <w:b/>
          <w:bCs/>
          <w:spacing w:val="-2"/>
        </w:rPr>
        <w:t>9.2 </w:t>
      </w:r>
      <w:r>
        <w:rPr>
          <w:rFonts w:ascii="SimSun" w:hAnsi="SimSun" w:eastAsia="SimSun" w:cs="SimSun"/>
          <w:sz w:val="24"/>
          <w:szCs w:val="24"/>
          <w:b/>
          <w:bCs/>
          <w:spacing w:val="-2"/>
        </w:rPr>
        <w:t>环境质量现状</w:t>
      </w:r>
    </w:p>
    <w:p>
      <w:pPr>
        <w:pStyle w:val="BodyText"/>
        <w:spacing w:line="265" w:lineRule="auto"/>
        <w:rPr/>
      </w:pPr>
      <w:r/>
    </w:p>
    <w:p>
      <w:pPr>
        <w:ind w:left="524"/>
        <w:spacing w:before="79" w:line="233"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）地下水</w:t>
      </w:r>
    </w:p>
    <w:p>
      <w:pPr>
        <w:ind w:left="38" w:right="113" w:firstLine="479"/>
        <w:spacing w:before="163" w:line="356" w:lineRule="auto"/>
        <w:rPr>
          <w:rFonts w:ascii="SimSun" w:hAnsi="SimSun" w:eastAsia="SimSun" w:cs="SimSun"/>
          <w:sz w:val="24"/>
          <w:szCs w:val="24"/>
        </w:rPr>
      </w:pPr>
      <w:r>
        <w:rPr>
          <w:rFonts w:ascii="SimSun" w:hAnsi="SimSun" w:eastAsia="SimSun" w:cs="SimSun"/>
          <w:sz w:val="24"/>
          <w:szCs w:val="24"/>
          <w:spacing w:val="3"/>
        </w:rPr>
        <w:t>根据地下水监测数据可知，评价区域内地下</w:t>
      </w:r>
      <w:r>
        <w:rPr>
          <w:rFonts w:ascii="SimSun" w:hAnsi="SimSun" w:eastAsia="SimSun" w:cs="SimSun"/>
          <w:sz w:val="24"/>
          <w:szCs w:val="24"/>
          <w:spacing w:val="2"/>
        </w:rPr>
        <w:t>水现状监测点的各项监测指标均</w:t>
      </w:r>
      <w:r>
        <w:rPr>
          <w:rFonts w:ascii="SimSun" w:hAnsi="SimSun" w:eastAsia="SimSun" w:cs="SimSun"/>
          <w:sz w:val="24"/>
          <w:szCs w:val="24"/>
        </w:rPr>
        <w:t>满足</w:t>
      </w:r>
      <w:r>
        <w:rPr>
          <w:rFonts w:ascii="SimSun" w:hAnsi="SimSun" w:eastAsia="SimSun" w:cs="SimSun"/>
          <w:sz w:val="24"/>
          <w:szCs w:val="24"/>
          <w:spacing w:val="-26"/>
        </w:rPr>
        <w:t xml:space="preserve"> </w:t>
      </w:r>
      <w:r>
        <w:rPr>
          <w:rFonts w:ascii="Times New Roman" w:hAnsi="Times New Roman" w:eastAsia="Times New Roman" w:cs="Times New Roman"/>
          <w:sz w:val="24"/>
          <w:szCs w:val="24"/>
        </w:rPr>
        <w:t>GB/T14848-2017</w:t>
      </w:r>
      <w:r>
        <w:rPr>
          <w:rFonts w:ascii="SimSun" w:hAnsi="SimSun" w:eastAsia="SimSun" w:cs="SimSun"/>
          <w:sz w:val="24"/>
          <w:szCs w:val="24"/>
        </w:rPr>
        <w:t>《地下水质量标准</w:t>
      </w:r>
      <w:r>
        <w:rPr>
          <w:rFonts w:ascii="SimSun" w:hAnsi="SimSun" w:eastAsia="SimSun" w:cs="SimSun"/>
          <w:sz w:val="24"/>
          <w:szCs w:val="24"/>
          <w:spacing w:val="-1"/>
        </w:rPr>
        <w:t>》中</w:t>
      </w:r>
      <w:r>
        <w:rPr>
          <w:rFonts w:ascii="Times New Roman" w:hAnsi="Times New Roman" w:eastAsia="Times New Roman" w:cs="Times New Roman"/>
          <w:sz w:val="24"/>
          <w:szCs w:val="24"/>
          <w:spacing w:val="-1"/>
        </w:rPr>
        <w:t>Ⅲ</w:t>
      </w:r>
      <w:r>
        <w:rPr>
          <w:rFonts w:ascii="SimSun" w:hAnsi="SimSun" w:eastAsia="SimSun" w:cs="SimSun"/>
          <w:sz w:val="24"/>
          <w:szCs w:val="24"/>
          <w:spacing w:val="-1"/>
        </w:rPr>
        <w:t>类标准要求，说明地下水未受到污</w:t>
      </w:r>
      <w:r>
        <w:rPr>
          <w:rFonts w:ascii="SimSun" w:hAnsi="SimSun" w:eastAsia="SimSun" w:cs="SimSun"/>
          <w:sz w:val="24"/>
          <w:szCs w:val="24"/>
          <w:spacing w:val="-6"/>
        </w:rPr>
        <w:t>染，水质较好。</w:t>
      </w:r>
    </w:p>
    <w:p>
      <w:pPr>
        <w:ind w:left="524"/>
        <w:spacing w:before="12" w:line="234"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）环境空气</w:t>
      </w:r>
    </w:p>
    <w:p>
      <w:pPr>
        <w:ind w:left="40" w:firstLine="478"/>
        <w:spacing w:before="242" w:line="360" w:lineRule="auto"/>
        <w:rPr>
          <w:rFonts w:ascii="SimSun" w:hAnsi="SimSun" w:eastAsia="SimSun" w:cs="SimSun"/>
          <w:sz w:val="24"/>
          <w:szCs w:val="24"/>
        </w:rPr>
      </w:pPr>
      <w:r>
        <w:rPr>
          <w:rFonts w:ascii="SimSun" w:hAnsi="SimSun" w:eastAsia="SimSun" w:cs="SimSun"/>
          <w:sz w:val="24"/>
          <w:szCs w:val="24"/>
          <w:spacing w:val="-1"/>
        </w:rPr>
        <w:t>根据《</w:t>
      </w:r>
      <w:r>
        <w:rPr>
          <w:rFonts w:ascii="Times New Roman" w:hAnsi="Times New Roman" w:eastAsia="Times New Roman" w:cs="Times New Roman"/>
          <w:sz w:val="24"/>
          <w:szCs w:val="24"/>
          <w:spacing w:val="-1"/>
        </w:rPr>
        <w:t>2024</w:t>
      </w:r>
      <w:r>
        <w:rPr>
          <w:rFonts w:ascii="Times New Roman" w:hAnsi="Times New Roman" w:eastAsia="Times New Roman" w:cs="Times New Roman"/>
          <w:sz w:val="24"/>
          <w:szCs w:val="24"/>
          <w:spacing w:val="69"/>
        </w:rPr>
        <w:t xml:space="preserve"> </w:t>
      </w:r>
      <w:r>
        <w:rPr>
          <w:rFonts w:ascii="SimSun" w:hAnsi="SimSun" w:eastAsia="SimSun" w:cs="SimSun"/>
          <w:sz w:val="24"/>
          <w:szCs w:val="24"/>
          <w:spacing w:val="-1"/>
        </w:rPr>
        <w:t>年内蒙古自治区生态环境状况公报》中锡林郭勒盟环境空气质量</w:t>
      </w:r>
      <w:r>
        <w:rPr>
          <w:rFonts w:ascii="SimSun" w:hAnsi="SimSun" w:eastAsia="SimSun" w:cs="SimSun"/>
          <w:sz w:val="24"/>
          <w:szCs w:val="24"/>
          <w:spacing w:val="-3"/>
        </w:rPr>
        <w:t>主要污染物年均浓度可知，</w:t>
      </w:r>
      <w:r>
        <w:rPr>
          <w:rFonts w:ascii="Times New Roman" w:hAnsi="Times New Roman" w:eastAsia="Times New Roman" w:cs="Times New Roman"/>
          <w:sz w:val="24"/>
          <w:szCs w:val="24"/>
          <w:spacing w:val="-3"/>
        </w:rPr>
        <w:t>6 </w:t>
      </w:r>
      <w:r>
        <w:rPr>
          <w:rFonts w:ascii="SimSun" w:hAnsi="SimSun" w:eastAsia="SimSun" w:cs="SimSun"/>
          <w:sz w:val="24"/>
          <w:szCs w:val="24"/>
          <w:spacing w:val="-3"/>
        </w:rPr>
        <w:t>项指标均能够满足</w:t>
      </w:r>
      <w:r>
        <w:rPr>
          <w:rFonts w:ascii="Times New Roman" w:hAnsi="Times New Roman" w:eastAsia="Times New Roman" w:cs="Times New Roman"/>
          <w:sz w:val="24"/>
          <w:szCs w:val="24"/>
          <w:spacing w:val="-3"/>
        </w:rPr>
        <w:t>G</w:t>
      </w:r>
      <w:r>
        <w:rPr>
          <w:rFonts w:ascii="Times New Roman" w:hAnsi="Times New Roman" w:eastAsia="Times New Roman" w:cs="Times New Roman"/>
          <w:sz w:val="24"/>
          <w:szCs w:val="24"/>
          <w:spacing w:val="-4"/>
        </w:rPr>
        <w:t>B3095-2012</w:t>
      </w:r>
      <w:r>
        <w:rPr>
          <w:rFonts w:ascii="SimSun" w:hAnsi="SimSun" w:eastAsia="SimSun" w:cs="SimSun"/>
          <w:sz w:val="24"/>
          <w:szCs w:val="24"/>
          <w:spacing w:val="-4"/>
        </w:rPr>
        <w:t>《环境空气质量标准》</w:t>
      </w:r>
      <w:r>
        <w:rPr>
          <w:rFonts w:ascii="SimSun" w:hAnsi="SimSun" w:eastAsia="SimSun" w:cs="SimSun"/>
          <w:sz w:val="24"/>
          <w:szCs w:val="24"/>
          <w:spacing w:val="-2"/>
        </w:rPr>
        <w:t>中二级标准，说明锡林郭勒盟</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2024 </w:t>
      </w:r>
      <w:r>
        <w:rPr>
          <w:rFonts w:ascii="SimSun" w:hAnsi="SimSun" w:eastAsia="SimSun" w:cs="SimSun"/>
          <w:sz w:val="24"/>
          <w:szCs w:val="24"/>
          <w:spacing w:val="-2"/>
        </w:rPr>
        <w:t>年属于环境空气达标区域。</w:t>
      </w:r>
    </w:p>
    <w:p>
      <w:pPr>
        <w:ind w:left="39" w:right="112" w:firstLine="496"/>
        <w:spacing w:before="1" w:line="356" w:lineRule="auto"/>
        <w:jc w:val="both"/>
        <w:rPr>
          <w:rFonts w:ascii="SimSun" w:hAnsi="SimSun" w:eastAsia="SimSun" w:cs="SimSun"/>
          <w:sz w:val="24"/>
          <w:szCs w:val="24"/>
        </w:rPr>
      </w:pPr>
      <w:r>
        <w:rPr>
          <w:rFonts w:ascii="SimSun" w:hAnsi="SimSun" w:eastAsia="SimSun" w:cs="SimSun"/>
          <w:sz w:val="24"/>
          <w:szCs w:val="24"/>
          <w:spacing w:val="-8"/>
        </w:rPr>
        <w:t>引用监测的</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8"/>
        </w:rPr>
        <w:t>H</w:t>
      </w:r>
      <w:r>
        <w:rPr>
          <w:rFonts w:ascii="Times New Roman" w:hAnsi="Times New Roman" w:eastAsia="Times New Roman" w:cs="Times New Roman"/>
          <w:sz w:val="16"/>
          <w:szCs w:val="16"/>
          <w:spacing w:val="-8"/>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8"/>
        </w:rPr>
        <w:t>S</w:t>
      </w:r>
      <w:r>
        <w:rPr>
          <w:rFonts w:ascii="SimSun" w:hAnsi="SimSun" w:eastAsia="SimSun" w:cs="SimSun"/>
          <w:sz w:val="24"/>
          <w:szCs w:val="24"/>
          <w:spacing w:val="-8"/>
        </w:rPr>
        <w:t>、</w:t>
      </w:r>
      <w:r>
        <w:rPr>
          <w:rFonts w:ascii="Times New Roman" w:hAnsi="Times New Roman" w:eastAsia="Times New Roman" w:cs="Times New Roman"/>
          <w:sz w:val="24"/>
          <w:szCs w:val="24"/>
          <w:spacing w:val="-8"/>
        </w:rPr>
        <w:t>NH</w:t>
      </w:r>
      <w:r>
        <w:rPr>
          <w:rFonts w:ascii="Times New Roman" w:hAnsi="Times New Roman" w:eastAsia="Times New Roman" w:cs="Times New Roman"/>
          <w:sz w:val="16"/>
          <w:szCs w:val="16"/>
          <w:spacing w:val="-8"/>
          <w:position w:val="-3"/>
        </w:rPr>
        <w:t>3</w:t>
      </w:r>
      <w:r>
        <w:rPr>
          <w:rFonts w:ascii="Times New Roman" w:hAnsi="Times New Roman" w:eastAsia="Times New Roman" w:cs="Times New Roman"/>
          <w:sz w:val="16"/>
          <w:szCs w:val="16"/>
          <w:spacing w:val="15"/>
          <w:w w:val="101"/>
          <w:position w:val="-3"/>
        </w:rPr>
        <w:t xml:space="preserve"> </w:t>
      </w:r>
      <w:r>
        <w:rPr>
          <w:rFonts w:ascii="SimSun" w:hAnsi="SimSun" w:eastAsia="SimSun" w:cs="SimSun"/>
          <w:sz w:val="24"/>
          <w:szCs w:val="24"/>
          <w:spacing w:val="-8"/>
        </w:rPr>
        <w:t>小时监测结果满足</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8"/>
        </w:rPr>
        <w:t>HJ2.2—2018</w:t>
      </w:r>
      <w:r>
        <w:rPr>
          <w:rFonts w:ascii="SimSun" w:hAnsi="SimSun" w:eastAsia="SimSun" w:cs="SimSun"/>
          <w:sz w:val="24"/>
          <w:szCs w:val="24"/>
          <w:spacing w:val="-8"/>
        </w:rPr>
        <w:t>《环境影响评价导则（大</w:t>
      </w:r>
      <w:r>
        <w:rPr>
          <w:rFonts w:ascii="SimSun" w:hAnsi="SimSun" w:eastAsia="SimSun" w:cs="SimSun"/>
          <w:sz w:val="24"/>
          <w:szCs w:val="24"/>
          <w:spacing w:val="-1"/>
        </w:rPr>
        <w:t>气环境）》中附录</w:t>
      </w:r>
      <w:r>
        <w:rPr>
          <w:rFonts w:ascii="SimSun" w:hAnsi="SimSun" w:eastAsia="SimSun" w:cs="SimSun"/>
          <w:sz w:val="24"/>
          <w:szCs w:val="24"/>
          <w:spacing w:val="-19"/>
        </w:rPr>
        <w:t xml:space="preserve"> </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其他污染物空气质量浓度参考限值，监测结果说明评价范围</w:t>
      </w:r>
      <w:r>
        <w:rPr>
          <w:rFonts w:ascii="SimSun" w:hAnsi="SimSun" w:eastAsia="SimSun" w:cs="SimSun"/>
          <w:sz w:val="24"/>
          <w:szCs w:val="24"/>
          <w:spacing w:val="-3"/>
        </w:rPr>
        <w:t>内环境空气质量较好，尚有环境容量。</w:t>
      </w:r>
    </w:p>
    <w:p>
      <w:pPr>
        <w:ind w:left="524"/>
        <w:spacing w:before="14"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）声环境</w:t>
      </w:r>
    </w:p>
    <w:p>
      <w:pPr>
        <w:ind w:left="518"/>
        <w:spacing w:before="164" w:line="232" w:lineRule="auto"/>
        <w:rPr>
          <w:rFonts w:ascii="SimSun" w:hAnsi="SimSun" w:eastAsia="SimSun" w:cs="SimSun"/>
          <w:sz w:val="24"/>
          <w:szCs w:val="24"/>
        </w:rPr>
      </w:pPr>
      <w:r>
        <w:rPr>
          <w:rFonts w:ascii="SimSun" w:hAnsi="SimSun" w:eastAsia="SimSun" w:cs="SimSun"/>
          <w:sz w:val="24"/>
          <w:szCs w:val="24"/>
          <w:spacing w:val="-3"/>
        </w:rPr>
        <w:t>根据噪声监测结果可知，本项目评价区域内声环境完全满足</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GB3096</w:t>
      </w:r>
      <w:r>
        <w:rPr>
          <w:rFonts w:ascii="Times New Roman" w:hAnsi="Times New Roman" w:eastAsia="Times New Roman" w:cs="Times New Roman"/>
          <w:sz w:val="24"/>
          <w:szCs w:val="24"/>
          <w:spacing w:val="-4"/>
        </w:rPr>
        <w:t>-2008</w:t>
      </w:r>
      <w:r>
        <w:rPr>
          <w:rFonts w:ascii="SimSun" w:hAnsi="SimSun" w:eastAsia="SimSun" w:cs="SimSun"/>
          <w:sz w:val="24"/>
          <w:szCs w:val="24"/>
          <w:spacing w:val="-4"/>
        </w:rPr>
        <w:t>《声</w:t>
      </w:r>
    </w:p>
    <w:p>
      <w:pPr>
        <w:spacing w:line="232" w:lineRule="auto"/>
        <w:sectPr>
          <w:headerReference w:type="default" r:id="rId216"/>
          <w:footerReference w:type="default" r:id="rId217"/>
          <w:pgSz w:w="11907" w:h="16839"/>
          <w:pgMar w:top="1582" w:right="1586" w:bottom="1728" w:left="1673" w:header="1241" w:footer="1371" w:gutter="0"/>
        </w:sectPr>
        <w:rPr>
          <w:rFonts w:ascii="SimSun" w:hAnsi="SimSun" w:eastAsia="SimSun" w:cs="SimSun"/>
          <w:sz w:val="24"/>
          <w:szCs w:val="24"/>
        </w:rPr>
      </w:pPr>
    </w:p>
    <w:p>
      <w:pPr>
        <w:ind w:left="38"/>
        <w:spacing w:before="232" w:line="232" w:lineRule="auto"/>
        <w:rPr>
          <w:rFonts w:ascii="SimSun" w:hAnsi="SimSun" w:eastAsia="SimSun" w:cs="SimSun"/>
          <w:sz w:val="24"/>
          <w:szCs w:val="24"/>
        </w:rPr>
      </w:pPr>
      <w:r>
        <w:rPr>
          <w:rFonts w:ascii="SimSun" w:hAnsi="SimSun" w:eastAsia="SimSun" w:cs="SimSun"/>
          <w:sz w:val="24"/>
          <w:szCs w:val="24"/>
          <w:spacing w:val="-2"/>
        </w:rPr>
        <w:t>环境质量标准》中</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类区及</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4a </w:t>
      </w:r>
      <w:r>
        <w:rPr>
          <w:rFonts w:ascii="SimSun" w:hAnsi="SimSun" w:eastAsia="SimSun" w:cs="SimSun"/>
          <w:sz w:val="24"/>
          <w:szCs w:val="24"/>
          <w:spacing w:val="-2"/>
        </w:rPr>
        <w:t>类区标准要求，说明评价区域声环境质量</w:t>
      </w:r>
      <w:r>
        <w:rPr>
          <w:rFonts w:ascii="SimSun" w:hAnsi="SimSun" w:eastAsia="SimSun" w:cs="SimSun"/>
          <w:sz w:val="24"/>
          <w:szCs w:val="24"/>
          <w:spacing w:val="-3"/>
        </w:rPr>
        <w:t>良好。</w:t>
      </w:r>
    </w:p>
    <w:p>
      <w:pPr>
        <w:ind w:left="524"/>
        <w:spacing w:before="87"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）土壤环境</w:t>
      </w:r>
    </w:p>
    <w:p>
      <w:pPr>
        <w:ind w:left="37" w:right="28" w:firstLine="483"/>
        <w:spacing w:before="158" w:line="359" w:lineRule="auto"/>
        <w:rPr>
          <w:rFonts w:ascii="SimSun" w:hAnsi="SimSun" w:eastAsia="SimSun" w:cs="SimSun"/>
          <w:sz w:val="24"/>
          <w:szCs w:val="24"/>
        </w:rPr>
      </w:pPr>
      <w:r>
        <w:rPr>
          <w:rFonts w:ascii="SimSun" w:hAnsi="SimSun" w:eastAsia="SimSun" w:cs="SimSun"/>
          <w:sz w:val="24"/>
          <w:szCs w:val="24"/>
          <w:spacing w:val="3"/>
        </w:rPr>
        <w:t>从监测结果可以看出，本次评价委托监测的</w:t>
      </w:r>
      <w:r>
        <w:rPr>
          <w:rFonts w:ascii="SimSun" w:hAnsi="SimSun" w:eastAsia="SimSun" w:cs="SimSun"/>
          <w:sz w:val="24"/>
          <w:szCs w:val="24"/>
          <w:spacing w:val="2"/>
        </w:rPr>
        <w:t>各土壤监测点位各监测项目均能</w:t>
      </w:r>
      <w:r>
        <w:rPr>
          <w:rFonts w:ascii="SimSun" w:hAnsi="SimSun" w:eastAsia="SimSun" w:cs="SimSun"/>
          <w:sz w:val="24"/>
          <w:szCs w:val="24"/>
          <w:spacing w:val="-2"/>
        </w:rPr>
        <w:t>够满足</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2"/>
        </w:rPr>
        <w:t>GB15618-2018</w:t>
      </w:r>
      <w:r>
        <w:rPr>
          <w:rFonts w:ascii="SimSun" w:hAnsi="SimSun" w:eastAsia="SimSun" w:cs="SimSun"/>
          <w:sz w:val="24"/>
          <w:szCs w:val="24"/>
          <w:spacing w:val="-2"/>
        </w:rPr>
        <w:t>《土壤环境质量  农用地土壤污染风险管控标准》中</w:t>
      </w:r>
      <w:r>
        <w:rPr>
          <w:rFonts w:ascii="SimSun" w:hAnsi="SimSun" w:eastAsia="SimSun" w:cs="SimSun"/>
          <w:sz w:val="24"/>
          <w:szCs w:val="24"/>
          <w:spacing w:val="-3"/>
        </w:rPr>
        <w:t>表</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中</w:t>
      </w:r>
      <w:r>
        <w:rPr>
          <w:rFonts w:ascii="SimSun" w:hAnsi="SimSun" w:eastAsia="SimSun" w:cs="SimSun"/>
          <w:sz w:val="24"/>
          <w:szCs w:val="24"/>
          <w:spacing w:val="3"/>
        </w:rPr>
        <w:t>农用地土壤污染风险筛选值要求，表明评价区内各</w:t>
      </w:r>
      <w:r>
        <w:rPr>
          <w:rFonts w:ascii="SimSun" w:hAnsi="SimSun" w:eastAsia="SimSun" w:cs="SimSun"/>
          <w:sz w:val="24"/>
          <w:szCs w:val="24"/>
          <w:spacing w:val="2"/>
        </w:rPr>
        <w:t>采样点土壤环境质量良好，尚</w:t>
      </w:r>
      <w:r>
        <w:rPr>
          <w:rFonts w:ascii="SimSun" w:hAnsi="SimSun" w:eastAsia="SimSun" w:cs="SimSun"/>
          <w:sz w:val="24"/>
          <w:szCs w:val="24"/>
          <w:spacing w:val="-4"/>
        </w:rPr>
        <w:t>未受到有害物质污染。</w:t>
      </w:r>
    </w:p>
    <w:p>
      <w:pPr>
        <w:ind w:left="524"/>
        <w:spacing w:before="3" w:line="23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）生态环境质量</w:t>
      </w:r>
    </w:p>
    <w:p>
      <w:pPr>
        <w:ind w:left="40" w:right="38" w:firstLine="478"/>
        <w:spacing w:before="162" w:line="361" w:lineRule="auto"/>
        <w:rPr>
          <w:rFonts w:ascii="SimSun" w:hAnsi="SimSun" w:eastAsia="SimSun" w:cs="SimSun"/>
          <w:sz w:val="24"/>
          <w:szCs w:val="24"/>
        </w:rPr>
      </w:pPr>
      <w:r>
        <w:rPr>
          <w:rFonts w:ascii="SimSun" w:hAnsi="SimSun" w:eastAsia="SimSun" w:cs="SimSun"/>
          <w:sz w:val="24"/>
          <w:szCs w:val="24"/>
          <w:spacing w:val="2"/>
        </w:rPr>
        <w:t>根据对区域内生态环境的调查与分析，项目所在地不在自然保护区范围内，</w:t>
      </w:r>
      <w:r>
        <w:rPr>
          <w:rFonts w:ascii="SimSun" w:hAnsi="SimSun" w:eastAsia="SimSun" w:cs="SimSun"/>
          <w:sz w:val="24"/>
          <w:szCs w:val="24"/>
          <w:spacing w:val="2"/>
        </w:rPr>
        <w:t>无珍稀动植物物种，生物多样性程度较低，生物种类与生态环境简单，评价范围</w:t>
      </w:r>
      <w:r>
        <w:rPr>
          <w:rFonts w:ascii="SimSun" w:hAnsi="SimSun" w:eastAsia="SimSun" w:cs="SimSun"/>
          <w:sz w:val="24"/>
          <w:szCs w:val="24"/>
          <w:spacing w:val="2"/>
        </w:rPr>
        <w:t>内没有国家及省市级重点保护的濒危、稀有动植物及受保护的野生动植物，属于</w:t>
      </w:r>
      <w:r>
        <w:rPr>
          <w:rFonts w:ascii="SimSun" w:hAnsi="SimSun" w:eastAsia="SimSun" w:cs="SimSun"/>
          <w:sz w:val="24"/>
          <w:szCs w:val="24"/>
          <w:spacing w:val="-5"/>
        </w:rPr>
        <w:t>生态环境一般区域。</w:t>
      </w:r>
    </w:p>
    <w:p>
      <w:pPr>
        <w:pStyle w:val="BodyText"/>
        <w:spacing w:line="253" w:lineRule="auto"/>
        <w:rPr/>
      </w:pPr>
      <w:r/>
    </w:p>
    <w:p>
      <w:pPr>
        <w:ind w:left="36"/>
        <w:spacing w:before="78" w:line="232" w:lineRule="auto"/>
        <w:outlineLvl w:val="1"/>
        <w:rPr>
          <w:rFonts w:ascii="SimSun" w:hAnsi="SimSun" w:eastAsia="SimSun" w:cs="SimSun"/>
          <w:sz w:val="24"/>
          <w:szCs w:val="24"/>
        </w:rPr>
      </w:pPr>
      <w:bookmarkStart w:name="bookmark54" w:id="62"/>
      <w:bookmarkEnd w:id="62"/>
      <w:r>
        <w:rPr>
          <w:rFonts w:ascii="Times New Roman" w:hAnsi="Times New Roman" w:eastAsia="Times New Roman" w:cs="Times New Roman"/>
          <w:sz w:val="24"/>
          <w:szCs w:val="24"/>
          <w:b/>
          <w:bCs/>
          <w:spacing w:val="-2"/>
        </w:rPr>
        <w:t>9.3 </w:t>
      </w:r>
      <w:r>
        <w:rPr>
          <w:rFonts w:ascii="SimSun" w:hAnsi="SimSun" w:eastAsia="SimSun" w:cs="SimSun"/>
          <w:sz w:val="24"/>
          <w:szCs w:val="24"/>
          <w:b/>
          <w:bCs/>
          <w:spacing w:val="-2"/>
        </w:rPr>
        <w:t>环境影响评价结论</w:t>
      </w:r>
    </w:p>
    <w:p>
      <w:pPr>
        <w:pStyle w:val="BodyText"/>
        <w:spacing w:line="267" w:lineRule="auto"/>
        <w:rPr/>
      </w:pPr>
      <w:r/>
    </w:p>
    <w:p>
      <w:pPr>
        <w:ind w:left="524"/>
        <w:spacing w:before="78"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）废水</w:t>
      </w:r>
    </w:p>
    <w:p>
      <w:pPr>
        <w:ind w:left="38" w:right="28" w:firstLine="480"/>
        <w:spacing w:before="163" w:line="359" w:lineRule="auto"/>
        <w:rPr>
          <w:rFonts w:ascii="SimSun" w:hAnsi="SimSun" w:eastAsia="SimSun" w:cs="SimSun"/>
          <w:sz w:val="24"/>
          <w:szCs w:val="24"/>
        </w:rPr>
      </w:pPr>
      <w:r>
        <w:rPr>
          <w:rFonts w:ascii="SimSun" w:hAnsi="SimSun" w:eastAsia="SimSun" w:cs="SimSun"/>
          <w:sz w:val="24"/>
          <w:szCs w:val="24"/>
          <w:spacing w:val="3"/>
        </w:rPr>
        <w:t>本项目消毒用水全部蒸发损耗，废水主要为生活污水和牛尿</w:t>
      </w:r>
      <w:r>
        <w:rPr>
          <w:rFonts w:ascii="SimSun" w:hAnsi="SimSun" w:eastAsia="SimSun" w:cs="SimSun"/>
          <w:sz w:val="24"/>
          <w:szCs w:val="24"/>
          <w:spacing w:val="2"/>
        </w:rPr>
        <w:t>，牛尿进入垫层</w:t>
      </w:r>
      <w:r>
        <w:rPr>
          <w:rFonts w:ascii="SimSun" w:hAnsi="SimSun" w:eastAsia="SimSun" w:cs="SimSun"/>
          <w:sz w:val="24"/>
          <w:szCs w:val="24"/>
          <w:spacing w:val="2"/>
        </w:rPr>
        <w:t>后作为有机肥原料外卖，牛舍内没有流动性尿液排放；生活污水排入防渗池，定</w:t>
      </w:r>
      <w:r>
        <w:rPr>
          <w:rFonts w:ascii="SimSun" w:hAnsi="SimSun" w:eastAsia="SimSun" w:cs="SimSun"/>
          <w:sz w:val="24"/>
          <w:szCs w:val="24"/>
          <w:spacing w:val="3"/>
        </w:rPr>
        <w:t>期由环卫部门清抽处理，食堂废水收集至加盖塑料桶，</w:t>
      </w:r>
      <w:r>
        <w:rPr>
          <w:rFonts w:ascii="SimSun" w:hAnsi="SimSun" w:eastAsia="SimSun" w:cs="SimSun"/>
          <w:sz w:val="24"/>
          <w:szCs w:val="24"/>
          <w:spacing w:val="2"/>
        </w:rPr>
        <w:t>由环卫部门统一清运，对</w:t>
      </w:r>
      <w:r>
        <w:rPr>
          <w:rFonts w:ascii="SimSun" w:hAnsi="SimSun" w:eastAsia="SimSun" w:cs="SimSun"/>
          <w:sz w:val="24"/>
          <w:szCs w:val="24"/>
          <w:spacing w:val="-5"/>
        </w:rPr>
        <w:t>地表水影响较小。</w:t>
      </w:r>
    </w:p>
    <w:p>
      <w:pPr>
        <w:ind w:left="524"/>
        <w:spacing w:before="1"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）地下水</w:t>
      </w:r>
    </w:p>
    <w:p>
      <w:pPr>
        <w:ind w:left="37" w:right="29" w:firstLine="481"/>
        <w:spacing w:before="165" w:line="359" w:lineRule="auto"/>
        <w:rPr>
          <w:rFonts w:ascii="SimSun" w:hAnsi="SimSun" w:eastAsia="SimSun" w:cs="SimSun"/>
          <w:sz w:val="24"/>
          <w:szCs w:val="24"/>
        </w:rPr>
      </w:pPr>
      <w:r>
        <w:rPr>
          <w:rFonts w:ascii="SimSun" w:hAnsi="SimSun" w:eastAsia="SimSun" w:cs="SimSun"/>
          <w:sz w:val="24"/>
          <w:szCs w:val="24"/>
          <w:spacing w:val="3"/>
        </w:rPr>
        <w:t>养殖场对地下水产生污染的主要污染源为牛舍、储粪库</w:t>
      </w:r>
      <w:r>
        <w:rPr>
          <w:rFonts w:ascii="SimSun" w:hAnsi="SimSun" w:eastAsia="SimSun" w:cs="SimSun"/>
          <w:sz w:val="24"/>
          <w:szCs w:val="24"/>
          <w:spacing w:val="2"/>
        </w:rPr>
        <w:t>、危险废物贮存间及</w:t>
      </w:r>
      <w:r>
        <w:rPr>
          <w:rFonts w:ascii="SimSun" w:hAnsi="SimSun" w:eastAsia="SimSun" w:cs="SimSun"/>
          <w:sz w:val="24"/>
          <w:szCs w:val="24"/>
          <w:spacing w:val="3"/>
        </w:rPr>
        <w:t>防渗池等，若防渗不当导致废水下渗，对地下水环境造成</w:t>
      </w:r>
      <w:r>
        <w:rPr>
          <w:rFonts w:ascii="SimSun" w:hAnsi="SimSun" w:eastAsia="SimSun" w:cs="SimSun"/>
          <w:sz w:val="24"/>
          <w:szCs w:val="24"/>
          <w:spacing w:val="2"/>
        </w:rPr>
        <w:t>污染。本次评价要求场</w:t>
      </w:r>
      <w:r>
        <w:rPr>
          <w:rFonts w:ascii="SimSun" w:hAnsi="SimSun" w:eastAsia="SimSun" w:cs="SimSun"/>
          <w:sz w:val="24"/>
          <w:szCs w:val="24"/>
          <w:spacing w:val="2"/>
        </w:rPr>
        <w:t>区地下水进行分区防渗，加强管理，严格做好各区防渗工作及环境管理工作，不</w:t>
      </w:r>
      <w:r>
        <w:rPr>
          <w:rFonts w:ascii="SimSun" w:hAnsi="SimSun" w:eastAsia="SimSun" w:cs="SimSun"/>
          <w:sz w:val="24"/>
          <w:szCs w:val="24"/>
          <w:spacing w:val="-3"/>
        </w:rPr>
        <w:t>会对区域地下水环境造成较大不利影响。</w:t>
      </w:r>
    </w:p>
    <w:p>
      <w:pPr>
        <w:ind w:left="524"/>
        <w:spacing w:before="1"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）环境空气</w:t>
      </w:r>
    </w:p>
    <w:p>
      <w:pPr>
        <w:ind w:left="37" w:right="47" w:firstLine="509"/>
        <w:spacing w:before="163" w:line="359" w:lineRule="auto"/>
        <w:rPr>
          <w:rFonts w:ascii="SimSun" w:hAnsi="SimSun" w:eastAsia="SimSun" w:cs="SimSun"/>
          <w:sz w:val="24"/>
          <w:szCs w:val="24"/>
        </w:rPr>
      </w:pPr>
      <w:r>
        <w:rPr>
          <w:rFonts w:ascii="SimSun" w:hAnsi="SimSun" w:eastAsia="SimSun" w:cs="SimSun"/>
          <w:sz w:val="24"/>
          <w:szCs w:val="24"/>
          <w:spacing w:val="1"/>
        </w:rPr>
        <w:t>由于项目饲料全部由外购成品料，养殖场内不进行饲料的任何加工工序，不</w:t>
      </w:r>
      <w:r>
        <w:rPr>
          <w:rFonts w:ascii="SimSun" w:hAnsi="SimSun" w:eastAsia="SimSun" w:cs="SimSun"/>
          <w:sz w:val="24"/>
          <w:szCs w:val="24"/>
          <w:spacing w:val="-1"/>
        </w:rPr>
        <w:t>会产生粉尘等污染物，供暖采用电供给，故废气主要为恶臭气</w:t>
      </w:r>
      <w:r>
        <w:rPr>
          <w:rFonts w:ascii="SimSun" w:hAnsi="SimSun" w:eastAsia="SimSun" w:cs="SimSun"/>
          <w:sz w:val="24"/>
          <w:szCs w:val="24"/>
          <w:spacing w:val="-2"/>
        </w:rPr>
        <w:t>体及食堂油烟。</w:t>
      </w:r>
    </w:p>
    <w:p>
      <w:pPr>
        <w:ind w:left="39" w:right="32" w:firstLine="479"/>
        <w:spacing w:before="3" w:line="359" w:lineRule="auto"/>
        <w:rPr>
          <w:rFonts w:ascii="SimSun" w:hAnsi="SimSun" w:eastAsia="SimSun" w:cs="SimSun"/>
          <w:sz w:val="24"/>
          <w:szCs w:val="24"/>
        </w:rPr>
      </w:pPr>
      <w:r>
        <w:rPr>
          <w:rFonts w:ascii="SimSun" w:hAnsi="SimSun" w:eastAsia="SimSun" w:cs="SimSun"/>
          <w:sz w:val="24"/>
          <w:szCs w:val="24"/>
          <w:spacing w:val="3"/>
        </w:rPr>
        <w:t>恶臭污染源包括牛舍及储粪库等，牛舍设置垫</w:t>
      </w:r>
      <w:r>
        <w:rPr>
          <w:rFonts w:ascii="SimSun" w:hAnsi="SimSun" w:eastAsia="SimSun" w:cs="SimSun"/>
          <w:sz w:val="24"/>
          <w:szCs w:val="24"/>
          <w:spacing w:val="2"/>
        </w:rPr>
        <w:t>料，加强通风，采用喷洒除臭</w:t>
      </w:r>
      <w:r>
        <w:rPr>
          <w:rFonts w:ascii="SimSun" w:hAnsi="SimSun" w:eastAsia="SimSun" w:cs="SimSun"/>
          <w:sz w:val="24"/>
          <w:szCs w:val="24"/>
          <w:spacing w:val="3"/>
        </w:rPr>
        <w:t>剂等措施可有效的减小恶臭对周围环境的影</w:t>
      </w:r>
      <w:r>
        <w:rPr>
          <w:rFonts w:ascii="SimSun" w:hAnsi="SimSun" w:eastAsia="SimSun" w:cs="SimSun"/>
          <w:sz w:val="24"/>
          <w:szCs w:val="24"/>
          <w:spacing w:val="2"/>
        </w:rPr>
        <w:t>响，根据预测结果可知，项目无组织</w:t>
      </w:r>
    </w:p>
    <w:p>
      <w:pPr>
        <w:spacing w:line="359" w:lineRule="auto"/>
        <w:sectPr>
          <w:headerReference w:type="default" r:id="rId218"/>
          <w:footerReference w:type="default" r:id="rId219"/>
          <w:pgSz w:w="11907" w:h="16839"/>
          <w:pgMar w:top="1582" w:right="1670" w:bottom="1728" w:left="1673" w:header="1241" w:footer="1371" w:gutter="0"/>
        </w:sectPr>
        <w:rPr>
          <w:rFonts w:ascii="SimSun" w:hAnsi="SimSun" w:eastAsia="SimSun" w:cs="SimSun"/>
          <w:sz w:val="24"/>
          <w:szCs w:val="24"/>
        </w:rPr>
      </w:pPr>
    </w:p>
    <w:p>
      <w:pPr>
        <w:ind w:left="38" w:right="65"/>
        <w:spacing w:before="154" w:line="351" w:lineRule="auto"/>
        <w:jc w:val="both"/>
        <w:rPr>
          <w:rFonts w:ascii="SimSun" w:hAnsi="SimSun" w:eastAsia="SimSun" w:cs="SimSun"/>
          <w:sz w:val="24"/>
          <w:szCs w:val="24"/>
        </w:rPr>
      </w:pPr>
      <w:r>
        <w:rPr>
          <w:rFonts w:ascii="SimSun" w:hAnsi="SimSun" w:eastAsia="SimSun" w:cs="SimSun"/>
          <w:sz w:val="24"/>
          <w:szCs w:val="24"/>
          <w:spacing w:val="-5"/>
        </w:rPr>
        <w:t>面源中</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5"/>
        </w:rPr>
        <w:t>NH</w:t>
      </w:r>
      <w:r>
        <w:rPr>
          <w:rFonts w:ascii="Times New Roman" w:hAnsi="Times New Roman" w:eastAsia="Times New Roman" w:cs="Times New Roman"/>
          <w:sz w:val="16"/>
          <w:szCs w:val="16"/>
          <w:spacing w:val="-5"/>
          <w:position w:val="-3"/>
        </w:rPr>
        <w:t>3</w:t>
      </w:r>
      <w:r>
        <w:rPr>
          <w:rFonts w:ascii="Times New Roman" w:hAnsi="Times New Roman" w:eastAsia="Times New Roman" w:cs="Times New Roman"/>
          <w:sz w:val="16"/>
          <w:szCs w:val="16"/>
          <w:spacing w:val="14"/>
          <w:w w:val="101"/>
          <w:position w:val="-3"/>
        </w:rPr>
        <w:t xml:space="preserve"> </w:t>
      </w:r>
      <w:r>
        <w:rPr>
          <w:rFonts w:ascii="SimSun" w:hAnsi="SimSun" w:eastAsia="SimSun" w:cs="SimSun"/>
          <w:sz w:val="24"/>
          <w:szCs w:val="24"/>
          <w:spacing w:val="-5"/>
        </w:rPr>
        <w:t>最大落地浓度为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5"/>
        </w:rPr>
        <w:t>8.9224μg/m3</w:t>
      </w:r>
      <w:r>
        <w:rPr>
          <w:rFonts w:ascii="SimSun" w:hAnsi="SimSun" w:eastAsia="SimSun" w:cs="SimSun"/>
          <w:sz w:val="24"/>
          <w:szCs w:val="24"/>
          <w:spacing w:val="-5"/>
        </w:rPr>
        <w:t>、</w:t>
      </w:r>
      <w:r>
        <w:rPr>
          <w:rFonts w:ascii="Times New Roman" w:hAnsi="Times New Roman" w:eastAsia="Times New Roman" w:cs="Times New Roman"/>
          <w:sz w:val="24"/>
          <w:szCs w:val="24"/>
          <w:spacing w:val="-5"/>
        </w:rPr>
        <w:t>H</w:t>
      </w:r>
      <w:r>
        <w:rPr>
          <w:rFonts w:ascii="Times New Roman" w:hAnsi="Times New Roman" w:eastAsia="Times New Roman" w:cs="Times New Roman"/>
          <w:sz w:val="16"/>
          <w:szCs w:val="16"/>
          <w:spacing w:val="-5"/>
          <w:position w:val="-3"/>
        </w:rPr>
        <w:t>2</w:t>
      </w:r>
      <w:r>
        <w:rPr>
          <w:rFonts w:ascii="Times New Roman" w:hAnsi="Times New Roman" w:eastAsia="Times New Roman" w:cs="Times New Roman"/>
          <w:sz w:val="16"/>
          <w:szCs w:val="16"/>
          <w:spacing w:val="-24"/>
          <w:position w:val="-3"/>
        </w:rPr>
        <w:t xml:space="preserve"> </w:t>
      </w:r>
      <w:r>
        <w:rPr>
          <w:rFonts w:ascii="Times New Roman" w:hAnsi="Times New Roman" w:eastAsia="Times New Roman" w:cs="Times New Roman"/>
          <w:sz w:val="24"/>
          <w:szCs w:val="24"/>
          <w:spacing w:val="-5"/>
        </w:rPr>
        <w:t>S </w:t>
      </w:r>
      <w:r>
        <w:rPr>
          <w:rFonts w:ascii="SimSun" w:hAnsi="SimSun" w:eastAsia="SimSun" w:cs="SimSun"/>
          <w:sz w:val="24"/>
          <w:szCs w:val="24"/>
          <w:spacing w:val="-5"/>
        </w:rPr>
        <w:t>最大落地浓度为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5"/>
        </w:rPr>
        <w:t>0.3542μg/m</w:t>
      </w:r>
      <w:r>
        <w:rPr>
          <w:rFonts w:ascii="Times New Roman" w:hAnsi="Times New Roman" w:eastAsia="Times New Roman" w:cs="Times New Roman"/>
          <w:sz w:val="24"/>
          <w:szCs w:val="24"/>
          <w:spacing w:val="-6"/>
        </w:rPr>
        <w:t>3</w:t>
      </w:r>
      <w:r>
        <w:rPr>
          <w:rFonts w:ascii="SimSun" w:hAnsi="SimSun" w:eastAsia="SimSun" w:cs="SimSun"/>
          <w:sz w:val="24"/>
          <w:szCs w:val="24"/>
          <w:spacing w:val="-6"/>
        </w:rPr>
        <w:t>，臭气</w:t>
      </w:r>
      <w:r>
        <w:rPr>
          <w:rFonts w:ascii="SimSun" w:hAnsi="SimSun" w:eastAsia="SimSun" w:cs="SimSun"/>
          <w:sz w:val="24"/>
          <w:szCs w:val="24"/>
          <w:spacing w:val="2"/>
        </w:rPr>
        <w:t>浓度</w:t>
      </w:r>
      <w:r>
        <w:rPr>
          <w:rFonts w:ascii="Times New Roman" w:hAnsi="Times New Roman" w:eastAsia="Times New Roman" w:cs="Times New Roman"/>
          <w:sz w:val="24"/>
          <w:szCs w:val="24"/>
          <w:spacing w:val="2"/>
        </w:rPr>
        <w:t>&lt;10</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，能够满足《环境影响评价技术导则 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1"/>
        </w:rPr>
        <w:t>.2-2018</w:t>
      </w:r>
      <w:r>
        <w:rPr>
          <w:rFonts w:ascii="SimSun" w:hAnsi="SimSun" w:eastAsia="SimSun" w:cs="SimSun"/>
          <w:sz w:val="24"/>
          <w:szCs w:val="24"/>
          <w:spacing w:val="1"/>
        </w:rPr>
        <w:t>）附录 </w:t>
      </w:r>
      <w:r>
        <w:rPr>
          <w:rFonts w:ascii="Times New Roman" w:hAnsi="Times New Roman" w:eastAsia="Times New Roman" w:cs="Times New Roman"/>
          <w:sz w:val="24"/>
          <w:szCs w:val="24"/>
          <w:spacing w:val="1"/>
        </w:rPr>
        <w:t>D</w:t>
      </w:r>
      <w:r>
        <w:rPr>
          <w:rFonts w:ascii="SimSun" w:hAnsi="SimSun" w:eastAsia="SimSun" w:cs="SimSun"/>
          <w:sz w:val="24"/>
          <w:szCs w:val="24"/>
          <w:spacing w:val="-1"/>
        </w:rPr>
        <w:t>其他污染物空气质量浓度参考限值。</w:t>
      </w:r>
    </w:p>
    <w:p>
      <w:pPr>
        <w:ind w:left="37" w:right="67" w:firstLine="481"/>
        <w:spacing w:before="27" w:line="354" w:lineRule="auto"/>
        <w:jc w:val="both"/>
        <w:rPr>
          <w:rFonts w:ascii="SimSun" w:hAnsi="SimSun" w:eastAsia="SimSun" w:cs="SimSun"/>
          <w:sz w:val="24"/>
          <w:szCs w:val="24"/>
        </w:rPr>
      </w:pPr>
      <w:r>
        <w:rPr>
          <w:rFonts w:ascii="SimSun" w:hAnsi="SimSun" w:eastAsia="SimSun" w:cs="SimSun"/>
          <w:sz w:val="24"/>
          <w:szCs w:val="24"/>
        </w:rPr>
        <w:t>本项目食堂油烟采用油烟净化器（除烟效率</w:t>
      </w:r>
      <w:r>
        <w:rPr>
          <w:rFonts w:ascii="Times New Roman" w:hAnsi="Times New Roman" w:eastAsia="Times New Roman" w:cs="Times New Roman"/>
          <w:sz w:val="24"/>
          <w:szCs w:val="24"/>
        </w:rPr>
        <w:t>≥60%</w:t>
      </w:r>
      <w:r>
        <w:rPr>
          <w:rFonts w:ascii="SimSun" w:hAnsi="SimSun" w:eastAsia="SimSun" w:cs="SimSun"/>
          <w:sz w:val="24"/>
          <w:szCs w:val="24"/>
        </w:rPr>
        <w:t>）进行处理，经处理后油烟</w:t>
      </w:r>
      <w:r>
        <w:rPr>
          <w:rFonts w:ascii="SimSun" w:hAnsi="SimSun" w:eastAsia="SimSun" w:cs="SimSun"/>
          <w:sz w:val="24"/>
          <w:szCs w:val="24"/>
          <w:spacing w:val="2"/>
        </w:rPr>
        <w:t>排放量为</w:t>
      </w:r>
      <w:r>
        <w:rPr>
          <w:rFonts w:ascii="Times New Roman" w:hAnsi="Times New Roman" w:eastAsia="Times New Roman" w:cs="Times New Roman"/>
          <w:sz w:val="24"/>
          <w:szCs w:val="24"/>
          <w:spacing w:val="2"/>
        </w:rPr>
        <w:t>0.73</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
        </w:rPr>
        <w:t>/a</w:t>
      </w:r>
      <w:r>
        <w:rPr>
          <w:rFonts w:ascii="SimSun" w:hAnsi="SimSun" w:eastAsia="SimSun" w:cs="SimSun"/>
          <w:sz w:val="24"/>
          <w:szCs w:val="24"/>
          <w:spacing w:val="2"/>
        </w:rPr>
        <w:t>，排放速率为</w:t>
      </w:r>
      <w:r>
        <w:rPr>
          <w:rFonts w:ascii="Times New Roman" w:hAnsi="Times New Roman" w:eastAsia="Times New Roman" w:cs="Times New Roman"/>
          <w:sz w:val="24"/>
          <w:szCs w:val="24"/>
          <w:spacing w:val="2"/>
        </w:rPr>
        <w:t>0.001</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
        </w:rPr>
        <w:t>/h</w:t>
      </w:r>
      <w:r>
        <w:rPr>
          <w:rFonts w:ascii="SimSun" w:hAnsi="SimSun" w:eastAsia="SimSun" w:cs="SimSun"/>
          <w:sz w:val="24"/>
          <w:szCs w:val="24"/>
          <w:spacing w:val="1"/>
        </w:rPr>
        <w:t>，油烟排放浓度为</w:t>
      </w:r>
      <w:r>
        <w:rPr>
          <w:rFonts w:ascii="Times New Roman" w:hAnsi="Times New Roman" w:eastAsia="Times New Roman" w:cs="Times New Roman"/>
          <w:sz w:val="24"/>
          <w:szCs w:val="24"/>
          <w:spacing w:val="1"/>
        </w:rPr>
        <w:t>0.73</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Times New Roman" w:hAnsi="Times New Roman" w:eastAsia="Times New Roman" w:cs="Times New Roman"/>
          <w:sz w:val="16"/>
          <w:szCs w:val="16"/>
          <w:spacing w:val="1"/>
          <w:position w:val="10"/>
        </w:rPr>
        <w:t>3 </w:t>
      </w:r>
      <w:r>
        <w:rPr>
          <w:rFonts w:ascii="SimSun" w:hAnsi="SimSun" w:eastAsia="SimSun" w:cs="SimSun"/>
          <w:sz w:val="24"/>
          <w:szCs w:val="24"/>
          <w:spacing w:val="1"/>
        </w:rPr>
        <w:t>，能够满足</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2"/>
        </w:rPr>
        <w:t>18483—2001</w:t>
      </w:r>
      <w:r>
        <w:rPr>
          <w:rFonts w:ascii="SimSun" w:hAnsi="SimSun" w:eastAsia="SimSun" w:cs="SimSun"/>
          <w:sz w:val="24"/>
          <w:szCs w:val="24"/>
          <w:spacing w:val="2"/>
        </w:rPr>
        <w:t>《饮食业油烟排放标准》（试行）中的最高允许排放浓度</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2"/>
        </w:rPr>
        <w:t>/m</w:t>
      </w:r>
      <w:r>
        <w:rPr>
          <w:rFonts w:ascii="Times New Roman" w:hAnsi="Times New Roman" w:eastAsia="Times New Roman" w:cs="Times New Roman"/>
          <w:sz w:val="16"/>
          <w:szCs w:val="16"/>
          <w:spacing w:val="2"/>
          <w:position w:val="10"/>
        </w:rPr>
        <w:t>3</w:t>
      </w:r>
      <w:r>
        <w:rPr>
          <w:rFonts w:ascii="SimSun" w:hAnsi="SimSun" w:eastAsia="SimSun" w:cs="SimSun"/>
          <w:sz w:val="24"/>
          <w:szCs w:val="24"/>
        </w:rPr>
        <w:t>限值要求，烟气经室内烟道高空外排，排气筒高度</w:t>
      </w:r>
      <w:r>
        <w:rPr>
          <w:rFonts w:ascii="SimSun" w:hAnsi="SimSun" w:eastAsia="SimSun" w:cs="SimSun"/>
          <w:sz w:val="24"/>
          <w:szCs w:val="24"/>
          <w:spacing w:val="-1"/>
        </w:rPr>
        <w:t>应高出屋顶</w:t>
      </w:r>
      <w:r>
        <w:rPr>
          <w:rFonts w:ascii="Times New Roman" w:hAnsi="Times New Roman" w:eastAsia="Times New Roman" w:cs="Times New Roman"/>
          <w:sz w:val="24"/>
          <w:szCs w:val="24"/>
          <w:spacing w:val="-1"/>
        </w:rPr>
        <w:t>1m</w:t>
      </w:r>
      <w:r>
        <w:rPr>
          <w:rFonts w:ascii="SimSun" w:hAnsi="SimSun" w:eastAsia="SimSun" w:cs="SimSun"/>
          <w:sz w:val="24"/>
          <w:szCs w:val="24"/>
          <w:spacing w:val="-1"/>
        </w:rPr>
        <w:t>。</w:t>
      </w:r>
    </w:p>
    <w:p>
      <w:pPr>
        <w:ind w:left="38" w:right="78" w:firstLine="482"/>
        <w:spacing w:before="14" w:line="360" w:lineRule="auto"/>
        <w:rPr>
          <w:rFonts w:ascii="SimSun" w:hAnsi="SimSun" w:eastAsia="SimSun" w:cs="SimSun"/>
          <w:sz w:val="24"/>
          <w:szCs w:val="24"/>
        </w:rPr>
      </w:pPr>
      <w:r>
        <w:rPr>
          <w:rFonts w:ascii="SimSun" w:hAnsi="SimSun" w:eastAsia="SimSun" w:cs="SimSun"/>
          <w:sz w:val="24"/>
          <w:szCs w:val="24"/>
          <w:spacing w:val="2"/>
        </w:rPr>
        <w:t>综上所述，本项目产生的废气在采取有效合理的治理措施后，均能实现达标</w:t>
      </w:r>
      <w:r>
        <w:rPr>
          <w:rFonts w:ascii="SimSun" w:hAnsi="SimSun" w:eastAsia="SimSun" w:cs="SimSun"/>
          <w:sz w:val="24"/>
          <w:szCs w:val="24"/>
          <w:spacing w:val="-3"/>
        </w:rPr>
        <w:t>排放，对周围环境空气影响较小。</w:t>
      </w:r>
    </w:p>
    <w:p>
      <w:pPr>
        <w:ind w:left="524"/>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）噪声</w:t>
      </w:r>
    </w:p>
    <w:p>
      <w:pPr>
        <w:ind w:left="38" w:right="1" w:firstLine="480"/>
        <w:spacing w:before="163" w:line="359" w:lineRule="auto"/>
        <w:rPr>
          <w:rFonts w:ascii="SimSun" w:hAnsi="SimSun" w:eastAsia="SimSun" w:cs="SimSun"/>
          <w:sz w:val="24"/>
          <w:szCs w:val="24"/>
        </w:rPr>
      </w:pPr>
      <w:r>
        <w:rPr>
          <w:rFonts w:ascii="SimSun" w:hAnsi="SimSun" w:eastAsia="SimSun" w:cs="SimSun"/>
          <w:sz w:val="24"/>
          <w:szCs w:val="24"/>
          <w:spacing w:val="3"/>
        </w:rPr>
        <w:t>本项目噪声源主要来自风机、撒料机、泵类、装载机、输送</w:t>
      </w:r>
      <w:r>
        <w:rPr>
          <w:rFonts w:ascii="SimSun" w:hAnsi="SimSun" w:eastAsia="SimSun" w:cs="SimSun"/>
          <w:sz w:val="24"/>
          <w:szCs w:val="24"/>
          <w:spacing w:val="2"/>
        </w:rPr>
        <w:t>机等，噪声值在</w:t>
      </w:r>
      <w:r>
        <w:rPr>
          <w:rFonts w:ascii="Times New Roman" w:hAnsi="Times New Roman" w:eastAsia="Times New Roman" w:cs="Times New Roman"/>
          <w:sz w:val="24"/>
          <w:szCs w:val="24"/>
          <w:spacing w:val="1"/>
        </w:rPr>
        <w:t>80-95</w:t>
      </w:r>
      <w:r>
        <w:rPr>
          <w:rFonts w:ascii="Times New Roman" w:hAnsi="Times New Roman" w:eastAsia="Times New Roman" w:cs="Times New Roman"/>
          <w:sz w:val="24"/>
          <w:szCs w:val="24"/>
        </w:rPr>
        <w:t>dB</w:t>
      </w:r>
      <w:r>
        <w:rPr>
          <w:rFonts w:ascii="SimSun" w:hAnsi="SimSun" w:eastAsia="SimSun" w:cs="SimSun"/>
          <w:sz w:val="24"/>
          <w:szCs w:val="24"/>
          <w:spacing w:val="1"/>
        </w:rPr>
        <w:t>（</w:t>
      </w:r>
      <w:r>
        <w:rPr>
          <w:rFonts w:ascii="Times New Roman" w:hAnsi="Times New Roman" w:eastAsia="Times New Roman" w:cs="Times New Roman"/>
          <w:sz w:val="24"/>
          <w:szCs w:val="24"/>
          <w:spacing w:val="1"/>
        </w:rPr>
        <w:t>A</w:t>
      </w:r>
      <w:r>
        <w:rPr>
          <w:rFonts w:ascii="SimSun" w:hAnsi="SimSun" w:eastAsia="SimSun" w:cs="SimSun"/>
          <w:sz w:val="24"/>
          <w:szCs w:val="24"/>
          <w:spacing w:val="1"/>
        </w:rPr>
        <w:t>）之间。设备选型采用低噪变频设备，并采取相应的减噪、降噪、隔</w:t>
      </w:r>
      <w:r>
        <w:rPr>
          <w:rFonts w:ascii="SimSun" w:hAnsi="SimSun" w:eastAsia="SimSun" w:cs="SimSun"/>
          <w:sz w:val="24"/>
          <w:szCs w:val="24"/>
          <w:spacing w:val="-2"/>
        </w:rPr>
        <w:t>音措施，设备安装底部加减振垫，风机口安装消声器，加强养殖场</w:t>
      </w:r>
      <w:r>
        <w:rPr>
          <w:rFonts w:ascii="SimSun" w:hAnsi="SimSun" w:eastAsia="SimSun" w:cs="SimSun"/>
          <w:sz w:val="24"/>
          <w:szCs w:val="24"/>
          <w:spacing w:val="-3"/>
        </w:rPr>
        <w:t>内外绿化工作，</w:t>
      </w:r>
      <w:r>
        <w:rPr>
          <w:rFonts w:ascii="SimSun" w:hAnsi="SimSun" w:eastAsia="SimSun" w:cs="SimSun"/>
          <w:sz w:val="24"/>
          <w:szCs w:val="24"/>
          <w:spacing w:val="-1"/>
        </w:rPr>
        <w:t>通过距离衰减后，场界噪声可满足</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GB12348-2008</w:t>
      </w:r>
      <w:r>
        <w:rPr>
          <w:rFonts w:ascii="SimSun" w:hAnsi="SimSun" w:eastAsia="SimSun" w:cs="SimSun"/>
          <w:sz w:val="24"/>
          <w:szCs w:val="24"/>
          <w:spacing w:val="-1"/>
        </w:rPr>
        <w:t>《工业企业厂界环境噪声排放标</w:t>
      </w:r>
      <w:r>
        <w:rPr>
          <w:rFonts w:ascii="SimSun" w:hAnsi="SimSun" w:eastAsia="SimSun" w:cs="SimSun"/>
          <w:sz w:val="24"/>
          <w:szCs w:val="24"/>
          <w:spacing w:val="-3"/>
        </w:rPr>
        <w:t>准》中</w:t>
      </w:r>
      <w:r>
        <w:rPr>
          <w:rFonts w:ascii="SimSun" w:hAnsi="SimSun" w:eastAsia="SimSun" w:cs="SimSun"/>
          <w:sz w:val="24"/>
          <w:szCs w:val="24"/>
          <w:spacing w:val="-15"/>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类区及</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4 </w:t>
      </w:r>
      <w:r>
        <w:rPr>
          <w:rFonts w:ascii="SimSun" w:hAnsi="SimSun" w:eastAsia="SimSun" w:cs="SimSun"/>
          <w:sz w:val="24"/>
          <w:szCs w:val="24"/>
          <w:spacing w:val="-3"/>
        </w:rPr>
        <w:t>类区标准限值要求，对周围声环境的影响不大。</w:t>
      </w:r>
    </w:p>
    <w:p>
      <w:pPr>
        <w:ind w:left="524"/>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）固体废物</w:t>
      </w:r>
    </w:p>
    <w:p>
      <w:pPr>
        <w:ind w:left="38" w:right="75" w:firstLine="480"/>
        <w:spacing w:before="161" w:line="359" w:lineRule="auto"/>
        <w:rPr>
          <w:rFonts w:ascii="SimSun" w:hAnsi="SimSun" w:eastAsia="SimSun" w:cs="SimSun"/>
          <w:sz w:val="24"/>
          <w:szCs w:val="24"/>
        </w:rPr>
      </w:pPr>
      <w:r>
        <w:rPr>
          <w:rFonts w:ascii="SimSun" w:hAnsi="SimSun" w:eastAsia="SimSun" w:cs="SimSun"/>
          <w:sz w:val="24"/>
          <w:szCs w:val="24"/>
          <w:spacing w:val="3"/>
        </w:rPr>
        <w:t>养殖场固废物主要来自废垫料、防疫废物、病死</w:t>
      </w:r>
      <w:r>
        <w:rPr>
          <w:rFonts w:ascii="SimSun" w:hAnsi="SimSun" w:eastAsia="SimSun" w:cs="SimSun"/>
          <w:sz w:val="24"/>
          <w:szCs w:val="24"/>
          <w:spacing w:val="2"/>
        </w:rPr>
        <w:t>牛、餐厨垃圾、消毒剂废包</w:t>
      </w:r>
      <w:r>
        <w:rPr>
          <w:rFonts w:ascii="SimSun" w:hAnsi="SimSun" w:eastAsia="SimSun" w:cs="SimSun"/>
          <w:sz w:val="24"/>
          <w:szCs w:val="24"/>
          <w:spacing w:val="-3"/>
        </w:rPr>
        <w:t>装袋等。</w:t>
      </w:r>
    </w:p>
    <w:p>
      <w:pPr>
        <w:ind w:left="37" w:firstLine="479"/>
        <w:spacing w:before="4" w:line="360" w:lineRule="auto"/>
        <w:jc w:val="both"/>
        <w:rPr>
          <w:rFonts w:ascii="SimSun" w:hAnsi="SimSun" w:eastAsia="SimSun" w:cs="SimSun"/>
          <w:sz w:val="24"/>
          <w:szCs w:val="24"/>
        </w:rPr>
      </w:pPr>
      <w:r>
        <w:rPr>
          <w:rFonts w:ascii="SimSun" w:hAnsi="SimSun" w:eastAsia="SimSun" w:cs="SimSun"/>
          <w:sz w:val="24"/>
          <w:szCs w:val="24"/>
        </w:rPr>
        <w:t>废垫料产生量约为 </w:t>
      </w:r>
      <w:r>
        <w:rPr>
          <w:rFonts w:ascii="Times New Roman" w:hAnsi="Times New Roman" w:eastAsia="Times New Roman" w:cs="Times New Roman"/>
          <w:sz w:val="24"/>
          <w:szCs w:val="24"/>
        </w:rPr>
        <w:t>7169.975t/a</w:t>
      </w:r>
      <w:r>
        <w:rPr>
          <w:rFonts w:ascii="Times New Roman" w:hAnsi="Times New Roman" w:eastAsia="Times New Roman" w:cs="Times New Roman"/>
          <w:sz w:val="24"/>
          <w:szCs w:val="24"/>
          <w:spacing w:val="-20"/>
        </w:rPr>
        <w:t xml:space="preserve"> </w:t>
      </w:r>
      <w:r>
        <w:rPr>
          <w:rFonts w:ascii="SimSun" w:hAnsi="SimSun" w:eastAsia="SimSun" w:cs="SimSun"/>
          <w:sz w:val="24"/>
          <w:szCs w:val="24"/>
        </w:rPr>
        <w:t>，定期清运至储粪库暂存，定期外售给相关单</w:t>
      </w:r>
      <w:r>
        <w:rPr>
          <w:rFonts w:ascii="SimSun" w:hAnsi="SimSun" w:eastAsia="SimSun" w:cs="SimSun"/>
          <w:sz w:val="24"/>
          <w:szCs w:val="24"/>
          <w:spacing w:val="-2"/>
        </w:rPr>
        <w:t>位生产有机肥；防疫体系兽用废物产生量为</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2"/>
        </w:rPr>
        <w:t>0.5t/a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，属于危险废物，暂存于危废间</w:t>
      </w:r>
      <w:r>
        <w:rPr>
          <w:rFonts w:ascii="SimSun" w:hAnsi="SimSun" w:eastAsia="SimSun" w:cs="SimSun"/>
          <w:sz w:val="24"/>
          <w:szCs w:val="24"/>
          <w:spacing w:val="-2"/>
        </w:rPr>
        <w:t>内，定期委托有资质部门处理；本项目病死牛</w:t>
      </w:r>
      <w:r>
        <w:rPr>
          <w:rFonts w:ascii="SimSun" w:hAnsi="SimSun" w:eastAsia="SimSun" w:cs="SimSun"/>
          <w:sz w:val="24"/>
          <w:szCs w:val="24"/>
          <w:spacing w:val="-3"/>
        </w:rPr>
        <w:t>尸体产生量为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6t/a</w:t>
      </w:r>
      <w:r>
        <w:rPr>
          <w:rFonts w:ascii="SimSun" w:hAnsi="SimSun" w:eastAsia="SimSun" w:cs="SimSun"/>
          <w:sz w:val="24"/>
          <w:szCs w:val="24"/>
          <w:spacing w:val="-3"/>
        </w:rPr>
        <w:t>，委托相关单位进</w:t>
      </w:r>
      <w:r>
        <w:rPr>
          <w:rFonts w:ascii="SimSun" w:hAnsi="SimSun" w:eastAsia="SimSun" w:cs="SimSun"/>
          <w:sz w:val="24"/>
          <w:szCs w:val="24"/>
          <w:spacing w:val="-2"/>
        </w:rPr>
        <w:t>行无害化处置；职工生活垃圾产生量为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1.825t/a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，集中堆放，定期交由环卫部门进</w:t>
      </w:r>
      <w:r>
        <w:rPr>
          <w:rFonts w:ascii="SimSun" w:hAnsi="SimSun" w:eastAsia="SimSun" w:cs="SimSun"/>
          <w:sz w:val="24"/>
          <w:szCs w:val="24"/>
          <w:spacing w:val="-5"/>
        </w:rPr>
        <w:t>行统一处理；本项目消毒剂为高锰酸钾，袋装，故产生废包装袋，产生量约</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0</w:t>
      </w:r>
      <w:r>
        <w:rPr>
          <w:rFonts w:ascii="Times New Roman" w:hAnsi="Times New Roman" w:eastAsia="Times New Roman" w:cs="Times New Roman"/>
          <w:sz w:val="24"/>
          <w:szCs w:val="24"/>
          <w:spacing w:val="-6"/>
        </w:rPr>
        <w:t>.1t/a</w:t>
      </w:r>
      <w:r>
        <w:rPr>
          <w:rFonts w:ascii="SimSun" w:hAnsi="SimSun" w:eastAsia="SimSun" w:cs="SimSun"/>
          <w:sz w:val="24"/>
          <w:szCs w:val="24"/>
          <w:spacing w:val="-6"/>
        </w:rPr>
        <w:t>，</w:t>
      </w:r>
      <w:r>
        <w:rPr>
          <w:rFonts w:ascii="SimSun" w:hAnsi="SimSun" w:eastAsia="SimSun" w:cs="SimSun"/>
          <w:sz w:val="24"/>
          <w:szCs w:val="24"/>
          <w:spacing w:val="3"/>
        </w:rPr>
        <w:t>属于危险废物，暂存于危废间内，定期委托有资质部</w:t>
      </w:r>
      <w:r>
        <w:rPr>
          <w:rFonts w:ascii="SimSun" w:hAnsi="SimSun" w:eastAsia="SimSun" w:cs="SimSun"/>
          <w:sz w:val="24"/>
          <w:szCs w:val="24"/>
          <w:spacing w:val="2"/>
        </w:rPr>
        <w:t>门处理；餐厨垃圾产生量为</w:t>
      </w:r>
      <w:r>
        <w:rPr>
          <w:rFonts w:ascii="Times New Roman" w:hAnsi="Times New Roman" w:eastAsia="Times New Roman" w:cs="Times New Roman"/>
          <w:sz w:val="24"/>
          <w:szCs w:val="24"/>
        </w:rPr>
        <w:t>0.73t/a</w:t>
      </w:r>
      <w:r>
        <w:rPr>
          <w:rFonts w:ascii="SimSun" w:hAnsi="SimSun" w:eastAsia="SimSun" w:cs="SimSun"/>
          <w:sz w:val="24"/>
          <w:szCs w:val="24"/>
        </w:rPr>
        <w:t>，每日使用加盖塑料桶进行收集，定期交由环</w:t>
      </w:r>
      <w:r>
        <w:rPr>
          <w:rFonts w:ascii="SimSun" w:hAnsi="SimSun" w:eastAsia="SimSun" w:cs="SimSun"/>
          <w:sz w:val="24"/>
          <w:szCs w:val="24"/>
          <w:spacing w:val="-1"/>
        </w:rPr>
        <w:t>卫部门进行统一处理。</w:t>
      </w:r>
    </w:p>
    <w:p>
      <w:pPr>
        <w:ind w:left="520"/>
        <w:spacing w:before="69" w:line="233" w:lineRule="auto"/>
        <w:rPr>
          <w:rFonts w:ascii="SimSun" w:hAnsi="SimSun" w:eastAsia="SimSun" w:cs="SimSun"/>
          <w:sz w:val="24"/>
          <w:szCs w:val="24"/>
        </w:rPr>
      </w:pPr>
      <w:r>
        <w:rPr>
          <w:rFonts w:ascii="SimSun" w:hAnsi="SimSun" w:eastAsia="SimSun" w:cs="SimSun"/>
          <w:sz w:val="24"/>
          <w:szCs w:val="24"/>
          <w:spacing w:val="-2"/>
        </w:rPr>
        <w:t>综上，产生的各项固废均得到合理处理</w:t>
      </w:r>
      <w:r>
        <w:rPr>
          <w:rFonts w:ascii="Times New Roman" w:hAnsi="Times New Roman" w:eastAsia="Times New Roman" w:cs="Times New Roman"/>
          <w:sz w:val="24"/>
          <w:szCs w:val="24"/>
          <w:spacing w:val="-2"/>
        </w:rPr>
        <w:t>/</w:t>
      </w:r>
      <w:r>
        <w:rPr>
          <w:rFonts w:ascii="SimSun" w:hAnsi="SimSun" w:eastAsia="SimSun" w:cs="SimSun"/>
          <w:sz w:val="24"/>
          <w:szCs w:val="24"/>
          <w:spacing w:val="-2"/>
        </w:rPr>
        <w:t>处置，不会产生二次污染。</w:t>
      </w:r>
    </w:p>
    <w:p>
      <w:pPr>
        <w:ind w:left="524"/>
        <w:spacing w:before="165"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）土壤环境</w:t>
      </w:r>
    </w:p>
    <w:p>
      <w:pPr>
        <w:spacing w:line="234" w:lineRule="auto"/>
        <w:sectPr>
          <w:headerReference w:type="default" r:id="rId220"/>
          <w:footerReference w:type="default" r:id="rId221"/>
          <w:pgSz w:w="11907" w:h="16839"/>
          <w:pgMar w:top="1582" w:right="1630" w:bottom="1728" w:left="1673" w:header="1241" w:footer="1371" w:gutter="0"/>
        </w:sectPr>
        <w:rPr>
          <w:rFonts w:ascii="SimSun" w:hAnsi="SimSun" w:eastAsia="SimSun" w:cs="SimSun"/>
          <w:sz w:val="24"/>
          <w:szCs w:val="24"/>
        </w:rPr>
      </w:pPr>
    </w:p>
    <w:p>
      <w:pPr>
        <w:ind w:left="39" w:right="101" w:firstLine="479"/>
        <w:spacing w:before="232" w:line="360" w:lineRule="auto"/>
        <w:jc w:val="both"/>
        <w:rPr>
          <w:rFonts w:ascii="SimSun" w:hAnsi="SimSun" w:eastAsia="SimSun" w:cs="SimSun"/>
          <w:sz w:val="24"/>
          <w:szCs w:val="24"/>
        </w:rPr>
      </w:pPr>
      <w:r>
        <w:rPr>
          <w:rFonts w:ascii="SimSun" w:hAnsi="SimSun" w:eastAsia="SimSun" w:cs="SimSun"/>
          <w:sz w:val="24"/>
          <w:szCs w:val="24"/>
        </w:rPr>
        <w:t>本项目正常运营情况下，对土壤环境基本无影响，本</w:t>
      </w:r>
      <w:r>
        <w:rPr>
          <w:rFonts w:ascii="SimSun" w:hAnsi="SimSun" w:eastAsia="SimSun" w:cs="SimSun"/>
          <w:sz w:val="24"/>
          <w:szCs w:val="24"/>
          <w:spacing w:val="-1"/>
        </w:rPr>
        <w:t>项目对土壤造成污染的</w:t>
      </w:r>
      <w:r>
        <w:rPr>
          <w:rFonts w:ascii="SimSun" w:hAnsi="SimSun" w:eastAsia="SimSun" w:cs="SimSun"/>
          <w:sz w:val="24"/>
          <w:szCs w:val="24"/>
        </w:rPr>
        <w:t>情况主要为储粪库、危险废物贮存间、牛舍等产污位置防</w:t>
      </w:r>
      <w:r>
        <w:rPr>
          <w:rFonts w:ascii="SimSun" w:hAnsi="SimSun" w:eastAsia="SimSun" w:cs="SimSun"/>
          <w:sz w:val="24"/>
          <w:szCs w:val="24"/>
          <w:spacing w:val="-1"/>
        </w:rPr>
        <w:t>渗破损，污水下渗，可</w:t>
      </w:r>
      <w:r>
        <w:rPr>
          <w:rFonts w:ascii="SimSun" w:hAnsi="SimSun" w:eastAsia="SimSun" w:cs="SimSun"/>
          <w:sz w:val="24"/>
          <w:szCs w:val="24"/>
        </w:rPr>
        <w:t>能下渗到土壤层，从而造成周边土壤污染。本项目危险废</w:t>
      </w:r>
      <w:r>
        <w:rPr>
          <w:rFonts w:ascii="SimSun" w:hAnsi="SimSun" w:eastAsia="SimSun" w:cs="SimSun"/>
          <w:sz w:val="24"/>
          <w:szCs w:val="24"/>
          <w:spacing w:val="-1"/>
        </w:rPr>
        <w:t>物贮存间按照重点防渗</w:t>
      </w:r>
      <w:r>
        <w:rPr>
          <w:rFonts w:ascii="SimSun" w:hAnsi="SimSun" w:eastAsia="SimSun" w:cs="SimSun"/>
          <w:sz w:val="24"/>
          <w:szCs w:val="24"/>
          <w:spacing w:val="-1"/>
        </w:rPr>
        <w:t>区进行防渗，牛舍及储粪库按照一般防渗区进行防渗，严格按照《环境影响评价</w:t>
      </w:r>
      <w:r>
        <w:rPr>
          <w:rFonts w:ascii="SimSun" w:hAnsi="SimSun" w:eastAsia="SimSun" w:cs="SimSun"/>
          <w:sz w:val="24"/>
          <w:szCs w:val="24"/>
        </w:rPr>
        <w:t>技术导则</w:t>
      </w:r>
      <w:r>
        <w:rPr>
          <w:rFonts w:ascii="Times New Roman" w:hAnsi="Times New Roman" w:eastAsia="Times New Roman" w:cs="Times New Roman"/>
          <w:sz w:val="24"/>
          <w:szCs w:val="24"/>
        </w:rPr>
        <w:t>-</w:t>
      </w:r>
      <w:r>
        <w:rPr>
          <w:rFonts w:ascii="SimSun" w:hAnsi="SimSun" w:eastAsia="SimSun" w:cs="SimSun"/>
          <w:sz w:val="24"/>
          <w:szCs w:val="24"/>
        </w:rPr>
        <w:t>地下水环境》（</w:t>
      </w:r>
      <w:r>
        <w:rPr>
          <w:rFonts w:ascii="Times New Roman" w:hAnsi="Times New Roman" w:eastAsia="Times New Roman" w:cs="Times New Roman"/>
          <w:sz w:val="24"/>
          <w:szCs w:val="24"/>
        </w:rPr>
        <w:t>HJ610-2016</w:t>
      </w:r>
      <w:r>
        <w:rPr>
          <w:rFonts w:ascii="SimSun" w:hAnsi="SimSun" w:eastAsia="SimSun" w:cs="SimSun"/>
          <w:sz w:val="24"/>
          <w:szCs w:val="24"/>
        </w:rPr>
        <w:t>）要求进行防渗，严</w:t>
      </w:r>
      <w:r>
        <w:rPr>
          <w:rFonts w:ascii="SimSun" w:hAnsi="SimSun" w:eastAsia="SimSun" w:cs="SimSun"/>
          <w:sz w:val="24"/>
          <w:szCs w:val="24"/>
          <w:spacing w:val="-1"/>
        </w:rPr>
        <w:t>格按照国家要求及相关</w:t>
      </w:r>
      <w:r>
        <w:rPr>
          <w:rFonts w:ascii="SimSun" w:hAnsi="SimSun" w:eastAsia="SimSun" w:cs="SimSun"/>
          <w:sz w:val="24"/>
          <w:szCs w:val="24"/>
        </w:rPr>
        <w:t>建筑设计规范，同时采用成熟的技术从严设计、施工</w:t>
      </w:r>
      <w:r>
        <w:rPr>
          <w:rFonts w:ascii="SimSun" w:hAnsi="SimSun" w:eastAsia="SimSun" w:cs="SimSun"/>
          <w:sz w:val="24"/>
          <w:szCs w:val="24"/>
          <w:spacing w:val="-1"/>
        </w:rPr>
        <w:t>，场区地面进行硬化，可有</w:t>
      </w:r>
      <w:r>
        <w:rPr>
          <w:rFonts w:ascii="SimSun" w:hAnsi="SimSun" w:eastAsia="SimSun" w:cs="SimSun"/>
          <w:sz w:val="24"/>
          <w:szCs w:val="24"/>
          <w:spacing w:val="-2"/>
        </w:rPr>
        <w:t>效防治事故状态下对土壤环境的污染，对周围土壤环境影响较小。</w:t>
      </w:r>
    </w:p>
    <w:p>
      <w:pPr>
        <w:ind w:left="36"/>
        <w:spacing w:before="262" w:line="234" w:lineRule="auto"/>
        <w:outlineLvl w:val="1"/>
        <w:rPr>
          <w:rFonts w:ascii="SimSun" w:hAnsi="SimSun" w:eastAsia="SimSun" w:cs="SimSun"/>
          <w:sz w:val="24"/>
          <w:szCs w:val="24"/>
        </w:rPr>
      </w:pPr>
      <w:bookmarkStart w:name="bookmark55" w:id="63"/>
      <w:bookmarkEnd w:id="63"/>
      <w:r>
        <w:rPr>
          <w:rFonts w:ascii="Times New Roman" w:hAnsi="Times New Roman" w:eastAsia="Times New Roman" w:cs="Times New Roman"/>
          <w:sz w:val="24"/>
          <w:szCs w:val="24"/>
          <w:b/>
          <w:bCs/>
          <w:spacing w:val="-5"/>
        </w:rPr>
        <w:t>9.4</w:t>
      </w:r>
      <w:r>
        <w:rPr>
          <w:rFonts w:ascii="Times New Roman" w:hAnsi="Times New Roman" w:eastAsia="Times New Roman" w:cs="Times New Roman"/>
          <w:sz w:val="24"/>
          <w:szCs w:val="24"/>
          <w:b/>
          <w:bCs/>
          <w:spacing w:val="27"/>
          <w:w w:val="101"/>
        </w:rPr>
        <w:t xml:space="preserve"> </w:t>
      </w:r>
      <w:r>
        <w:rPr>
          <w:rFonts w:ascii="SimSun" w:hAnsi="SimSun" w:eastAsia="SimSun" w:cs="SimSun"/>
          <w:sz w:val="24"/>
          <w:szCs w:val="24"/>
          <w:b/>
          <w:bCs/>
          <w:spacing w:val="-5"/>
        </w:rPr>
        <w:t>防护距离结论</w:t>
      </w:r>
    </w:p>
    <w:p>
      <w:pPr>
        <w:pStyle w:val="BodyText"/>
        <w:spacing w:line="262" w:lineRule="auto"/>
        <w:rPr/>
      </w:pPr>
      <w:r/>
    </w:p>
    <w:p>
      <w:pPr>
        <w:ind w:left="524"/>
        <w:spacing w:before="78"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）大气环境防护距离符合性分析</w:t>
      </w:r>
    </w:p>
    <w:p>
      <w:pPr>
        <w:ind w:left="38" w:firstLine="479"/>
        <w:spacing w:before="164" w:line="357" w:lineRule="auto"/>
        <w:rPr>
          <w:rFonts w:ascii="SimSun" w:hAnsi="SimSun" w:eastAsia="SimSun" w:cs="SimSun"/>
          <w:sz w:val="24"/>
          <w:szCs w:val="24"/>
        </w:rPr>
      </w:pPr>
      <w:r>
        <w:rPr>
          <w:rFonts w:ascii="SimSun" w:hAnsi="SimSun" w:eastAsia="SimSun" w:cs="SimSun"/>
          <w:sz w:val="24"/>
          <w:szCs w:val="24"/>
          <w:spacing w:val="2"/>
        </w:rPr>
        <w:t>根据《环境影响评价技术导则</w:t>
      </w:r>
      <w:r>
        <w:rPr>
          <w:rFonts w:ascii="Times New Roman" w:hAnsi="Times New Roman" w:eastAsia="Times New Roman" w:cs="Times New Roman"/>
          <w:sz w:val="24"/>
          <w:szCs w:val="24"/>
          <w:spacing w:val="2"/>
        </w:rPr>
        <w:t>-</w:t>
      </w:r>
      <w:r>
        <w:rPr>
          <w:rFonts w:ascii="SimSun" w:hAnsi="SimSun" w:eastAsia="SimSun" w:cs="SimSun"/>
          <w:sz w:val="24"/>
          <w:szCs w:val="24"/>
          <w:spacing w:val="2"/>
        </w:rPr>
        <w:t>大气环境》（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2.2-2018</w:t>
      </w:r>
      <w:r>
        <w:rPr>
          <w:rFonts w:ascii="SimSun" w:hAnsi="SimSun" w:eastAsia="SimSun" w:cs="SimSun"/>
          <w:sz w:val="24"/>
          <w:szCs w:val="24"/>
          <w:spacing w:val="8"/>
        </w:rPr>
        <w:t>），</w:t>
      </w:r>
      <w:r>
        <w:rPr>
          <w:rFonts w:ascii="SimSun" w:hAnsi="SimSun" w:eastAsia="SimSun" w:cs="SimSun"/>
          <w:sz w:val="24"/>
          <w:szCs w:val="24"/>
          <w:spacing w:val="2"/>
        </w:rPr>
        <w:t>本项目厂界</w:t>
      </w:r>
      <w:r>
        <w:rPr>
          <w:rFonts w:ascii="SimSun" w:hAnsi="SimSun" w:eastAsia="SimSun" w:cs="SimSun"/>
          <w:sz w:val="24"/>
          <w:szCs w:val="24"/>
          <w:spacing w:val="1"/>
        </w:rPr>
        <w:t>浓度</w:t>
      </w:r>
      <w:r>
        <w:rPr>
          <w:rFonts w:ascii="SimSun" w:hAnsi="SimSun" w:eastAsia="SimSun" w:cs="SimSun"/>
          <w:sz w:val="24"/>
          <w:szCs w:val="24"/>
          <w:spacing w:val="-2"/>
        </w:rPr>
        <w:t>满足大气污染物厂界浓度限值，厂界外各污染物的短期贡献浓</w:t>
      </w:r>
      <w:r>
        <w:rPr>
          <w:rFonts w:ascii="SimSun" w:hAnsi="SimSun" w:eastAsia="SimSun" w:cs="SimSun"/>
          <w:sz w:val="24"/>
          <w:szCs w:val="24"/>
          <w:spacing w:val="-3"/>
        </w:rPr>
        <w:t>度未出现超标情况，</w:t>
      </w:r>
      <w:r>
        <w:rPr>
          <w:rFonts w:ascii="SimSun" w:hAnsi="SimSun" w:eastAsia="SimSun" w:cs="SimSun"/>
          <w:sz w:val="24"/>
          <w:szCs w:val="24"/>
          <w:spacing w:val="-2"/>
        </w:rPr>
        <w:t>并且为二级评价项目，因此，本项目不需设置大气环境防护距离。</w:t>
      </w:r>
    </w:p>
    <w:p>
      <w:pPr>
        <w:ind w:left="524"/>
        <w:spacing w:before="9" w:line="234"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）卫生防护距离</w:t>
      </w:r>
    </w:p>
    <w:p>
      <w:pPr>
        <w:ind w:left="38" w:right="64" w:firstLine="479"/>
        <w:spacing w:before="162" w:line="353" w:lineRule="auto"/>
        <w:rPr>
          <w:rFonts w:ascii="SimSun" w:hAnsi="SimSun" w:eastAsia="SimSun" w:cs="SimSun"/>
          <w:sz w:val="24"/>
          <w:szCs w:val="24"/>
        </w:rPr>
      </w:pPr>
      <w:r>
        <w:rPr>
          <w:rFonts w:ascii="SimSun" w:hAnsi="SimSun" w:eastAsia="SimSun" w:cs="SimSun"/>
          <w:sz w:val="24"/>
          <w:szCs w:val="24"/>
          <w:spacing w:val="-4"/>
        </w:rPr>
        <w:t>根据</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HJ/T81-2001</w:t>
      </w:r>
      <w:r>
        <w:rPr>
          <w:rFonts w:ascii="SimSun" w:hAnsi="SimSun" w:eastAsia="SimSun" w:cs="SimSun"/>
          <w:sz w:val="24"/>
          <w:szCs w:val="24"/>
          <w:spacing w:val="-4"/>
        </w:rPr>
        <w:t>《畜禽养殖业污染防治技术规范》中</w:t>
      </w:r>
      <w:r>
        <w:rPr>
          <w:rFonts w:ascii="SimSun" w:hAnsi="SimSun" w:eastAsia="SimSun" w:cs="SimSun"/>
          <w:sz w:val="24"/>
          <w:szCs w:val="24"/>
          <w:spacing w:val="-5"/>
        </w:rPr>
        <w:t>规定， 养殖场界与禁建</w:t>
      </w:r>
      <w:r>
        <w:rPr>
          <w:rFonts w:ascii="SimSun" w:hAnsi="SimSun" w:eastAsia="SimSun" w:cs="SimSun"/>
          <w:sz w:val="24"/>
          <w:szCs w:val="24"/>
          <w:spacing w:val="-2"/>
        </w:rPr>
        <w:t>区（城市和城镇居民区）边界的最小距离不得小于</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500m</w:t>
      </w:r>
      <w:r>
        <w:rPr>
          <w:rFonts w:ascii="Times New Roman" w:hAnsi="Times New Roman" w:eastAsia="Times New Roman" w:cs="Times New Roman"/>
          <w:sz w:val="24"/>
          <w:szCs w:val="24"/>
          <w:spacing w:val="-26"/>
        </w:rPr>
        <w:t xml:space="preserve"> </w:t>
      </w:r>
      <w:r>
        <w:rPr>
          <w:rFonts w:ascii="SimSun" w:hAnsi="SimSun" w:eastAsia="SimSun" w:cs="SimSun"/>
          <w:sz w:val="24"/>
          <w:szCs w:val="24"/>
          <w:spacing w:val="-2"/>
        </w:rPr>
        <w:t>。本项目</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50</w:t>
      </w:r>
      <w:r>
        <w:rPr>
          <w:rFonts w:ascii="Times New Roman" w:hAnsi="Times New Roman" w:eastAsia="Times New Roman" w:cs="Times New Roman"/>
          <w:sz w:val="24"/>
          <w:szCs w:val="24"/>
          <w:spacing w:val="-3"/>
        </w:rPr>
        <w:t>0m</w:t>
      </w:r>
      <w:r>
        <w:rPr>
          <w:rFonts w:ascii="Times New Roman" w:hAnsi="Times New Roman" w:eastAsia="Times New Roman" w:cs="Times New Roman"/>
          <w:sz w:val="24"/>
          <w:szCs w:val="24"/>
          <w:spacing w:val="26"/>
        </w:rPr>
        <w:t xml:space="preserve"> </w:t>
      </w:r>
      <w:r>
        <w:rPr>
          <w:rFonts w:ascii="SimSun" w:hAnsi="SimSun" w:eastAsia="SimSun" w:cs="SimSun"/>
          <w:sz w:val="24"/>
          <w:szCs w:val="24"/>
          <w:spacing w:val="-3"/>
        </w:rPr>
        <w:t>范围内无</w:t>
      </w:r>
      <w:r>
        <w:rPr>
          <w:rFonts w:ascii="SimSun" w:hAnsi="SimSun" w:eastAsia="SimSun" w:cs="SimSun"/>
          <w:sz w:val="24"/>
          <w:szCs w:val="24"/>
          <w:spacing w:val="-2"/>
        </w:rPr>
        <w:t>环境敏感点，因此本项目场址能够满足卫生防护距离要求。</w:t>
      </w:r>
    </w:p>
    <w:p>
      <w:pPr>
        <w:pStyle w:val="BodyText"/>
        <w:spacing w:line="285" w:lineRule="auto"/>
        <w:rPr/>
      </w:pPr>
      <w:r/>
    </w:p>
    <w:p>
      <w:pPr>
        <w:ind w:left="36"/>
        <w:spacing w:before="79" w:line="232" w:lineRule="auto"/>
        <w:outlineLvl w:val="1"/>
        <w:rPr>
          <w:rFonts w:ascii="SimSun" w:hAnsi="SimSun" w:eastAsia="SimSun" w:cs="SimSun"/>
          <w:sz w:val="24"/>
          <w:szCs w:val="24"/>
        </w:rPr>
      </w:pPr>
      <w:bookmarkStart w:name="bookmark56" w:id="64"/>
      <w:bookmarkEnd w:id="64"/>
      <w:r>
        <w:rPr>
          <w:rFonts w:ascii="Times New Roman" w:hAnsi="Times New Roman" w:eastAsia="Times New Roman" w:cs="Times New Roman"/>
          <w:sz w:val="24"/>
          <w:szCs w:val="24"/>
          <w:b/>
          <w:bCs/>
          <w:spacing w:val="-2"/>
        </w:rPr>
        <w:t>9.5 </w:t>
      </w:r>
      <w:r>
        <w:rPr>
          <w:rFonts w:ascii="SimSun" w:hAnsi="SimSun" w:eastAsia="SimSun" w:cs="SimSun"/>
          <w:sz w:val="24"/>
          <w:szCs w:val="24"/>
          <w:b/>
          <w:bCs/>
          <w:spacing w:val="-2"/>
        </w:rPr>
        <w:t>风险评价结论</w:t>
      </w:r>
    </w:p>
    <w:p>
      <w:pPr>
        <w:pStyle w:val="BodyText"/>
        <w:spacing w:line="264" w:lineRule="auto"/>
        <w:rPr/>
      </w:pPr>
      <w:r/>
    </w:p>
    <w:p>
      <w:pPr>
        <w:ind w:left="38" w:right="74" w:firstLine="480"/>
        <w:spacing w:before="78" w:line="361" w:lineRule="auto"/>
        <w:jc w:val="both"/>
        <w:rPr>
          <w:rFonts w:ascii="SimSun" w:hAnsi="SimSun" w:eastAsia="SimSun" w:cs="SimSun"/>
          <w:sz w:val="24"/>
          <w:szCs w:val="24"/>
        </w:rPr>
      </w:pPr>
      <w:r>
        <w:rPr>
          <w:rFonts w:ascii="SimSun" w:hAnsi="SimSun" w:eastAsia="SimSun" w:cs="SimSun"/>
          <w:sz w:val="24"/>
          <w:szCs w:val="24"/>
          <w:spacing w:val="2"/>
        </w:rPr>
        <w:t>本项目采取分区防渗，按照相关标准要求进行防渗建设，加强企业管理，定</w:t>
      </w:r>
      <w:r>
        <w:rPr>
          <w:rFonts w:ascii="SimSun" w:hAnsi="SimSun" w:eastAsia="SimSun" w:cs="SimSun"/>
          <w:sz w:val="24"/>
          <w:szCs w:val="24"/>
          <w:spacing w:val="2"/>
        </w:rPr>
        <w:t>期对除尘器进行检修，经采取有效的风险防范措施后，并制定应急预案，对周围</w:t>
      </w:r>
      <w:r>
        <w:rPr>
          <w:rFonts w:ascii="SimSun" w:hAnsi="SimSun" w:eastAsia="SimSun" w:cs="SimSun"/>
          <w:sz w:val="24"/>
          <w:szCs w:val="24"/>
          <w:spacing w:val="-4"/>
        </w:rPr>
        <w:t>影响较小，可以接受。</w:t>
      </w:r>
    </w:p>
    <w:p>
      <w:pPr>
        <w:pStyle w:val="BodyText"/>
        <w:spacing w:line="255" w:lineRule="auto"/>
        <w:rPr/>
      </w:pPr>
      <w:r/>
    </w:p>
    <w:p>
      <w:pPr>
        <w:ind w:left="36"/>
        <w:spacing w:before="78" w:line="233" w:lineRule="auto"/>
        <w:outlineLvl w:val="1"/>
        <w:rPr>
          <w:rFonts w:ascii="SimSun" w:hAnsi="SimSun" w:eastAsia="SimSun" w:cs="SimSun"/>
          <w:sz w:val="24"/>
          <w:szCs w:val="24"/>
        </w:rPr>
      </w:pPr>
      <w:bookmarkStart w:name="bookmark57" w:id="65"/>
      <w:bookmarkEnd w:id="65"/>
      <w:r>
        <w:rPr>
          <w:rFonts w:ascii="Times New Roman" w:hAnsi="Times New Roman" w:eastAsia="Times New Roman" w:cs="Times New Roman"/>
          <w:sz w:val="24"/>
          <w:szCs w:val="24"/>
          <w:b/>
          <w:bCs/>
          <w:spacing w:val="-4"/>
        </w:rPr>
        <w:t>9.6</w:t>
      </w:r>
      <w:r>
        <w:rPr>
          <w:rFonts w:ascii="Times New Roman" w:hAnsi="Times New Roman" w:eastAsia="Times New Roman" w:cs="Times New Roman"/>
          <w:sz w:val="24"/>
          <w:szCs w:val="24"/>
          <w:b/>
          <w:bCs/>
          <w:spacing w:val="21"/>
          <w:w w:val="101"/>
        </w:rPr>
        <w:t xml:space="preserve"> </w:t>
      </w:r>
      <w:r>
        <w:rPr>
          <w:rFonts w:ascii="SimSun" w:hAnsi="SimSun" w:eastAsia="SimSun" w:cs="SimSun"/>
          <w:sz w:val="24"/>
          <w:szCs w:val="24"/>
          <w:b/>
          <w:bCs/>
          <w:spacing w:val="-4"/>
        </w:rPr>
        <w:t>公众意见采纳情况</w:t>
      </w:r>
    </w:p>
    <w:p>
      <w:pPr>
        <w:pStyle w:val="BodyText"/>
        <w:spacing w:line="266" w:lineRule="auto"/>
        <w:rPr/>
      </w:pPr>
      <w:r/>
    </w:p>
    <w:p>
      <w:pPr>
        <w:ind w:left="38" w:right="68" w:firstLine="478"/>
        <w:spacing w:before="78" w:line="358" w:lineRule="auto"/>
        <w:jc w:val="both"/>
        <w:rPr>
          <w:rFonts w:ascii="SimSun" w:hAnsi="SimSun" w:eastAsia="SimSun" w:cs="SimSun"/>
          <w:sz w:val="24"/>
          <w:szCs w:val="24"/>
        </w:rPr>
      </w:pPr>
      <w:r>
        <w:rPr>
          <w:rFonts w:ascii="SimSun" w:hAnsi="SimSun" w:eastAsia="SimSun" w:cs="SimSun"/>
          <w:sz w:val="24"/>
          <w:szCs w:val="24"/>
          <w:spacing w:val="3"/>
        </w:rPr>
        <w:t>锡林郭勒盟牧林农机服务有限责任公司在确定承担环境影</w:t>
      </w:r>
      <w:r>
        <w:rPr>
          <w:rFonts w:ascii="SimSun" w:hAnsi="SimSun" w:eastAsia="SimSun" w:cs="SimSun"/>
          <w:sz w:val="24"/>
          <w:szCs w:val="24"/>
          <w:spacing w:val="2"/>
        </w:rPr>
        <w:t>响评价工作的环境</w:t>
      </w:r>
      <w:r>
        <w:rPr>
          <w:rFonts w:ascii="SimSun" w:hAnsi="SimSun" w:eastAsia="SimSun" w:cs="SimSun"/>
          <w:sz w:val="24"/>
          <w:szCs w:val="24"/>
          <w:spacing w:val="-1"/>
        </w:rPr>
        <w:t>影响评价机构后，按照生态环境部令第 </w:t>
      </w:r>
      <w:r>
        <w:rPr>
          <w:rFonts w:ascii="Times New Roman" w:hAnsi="Times New Roman" w:eastAsia="Times New Roman" w:cs="Times New Roman"/>
          <w:sz w:val="24"/>
          <w:szCs w:val="24"/>
          <w:spacing w:val="-1"/>
        </w:rPr>
        <w:t>4  </w:t>
      </w:r>
      <w:r>
        <w:rPr>
          <w:rFonts w:ascii="SimSun" w:hAnsi="SimSun" w:eastAsia="SimSun" w:cs="SimSun"/>
          <w:sz w:val="24"/>
          <w:szCs w:val="24"/>
          <w:spacing w:val="-1"/>
        </w:rPr>
        <w:t>号《环</w:t>
      </w:r>
      <w:r>
        <w:rPr>
          <w:rFonts w:ascii="SimSun" w:hAnsi="SimSun" w:eastAsia="SimSun" w:cs="SimSun"/>
          <w:sz w:val="24"/>
          <w:szCs w:val="24"/>
          <w:spacing w:val="-2"/>
        </w:rPr>
        <w:t>境影响评价公众参与办法》，向</w:t>
      </w:r>
      <w:r>
        <w:rPr>
          <w:rFonts w:ascii="SimSun" w:hAnsi="SimSun" w:eastAsia="SimSun" w:cs="SimSun"/>
          <w:sz w:val="24"/>
          <w:szCs w:val="24"/>
          <w:spacing w:val="2"/>
        </w:rPr>
        <w:t>公众公开有关环境影响评价的信息，采取报纸公示、张贴公告、网上公示等调查</w:t>
      </w:r>
      <w:r>
        <w:rPr>
          <w:rFonts w:ascii="SimSun" w:hAnsi="SimSun" w:eastAsia="SimSun" w:cs="SimSun"/>
          <w:sz w:val="24"/>
          <w:szCs w:val="24"/>
          <w:spacing w:val="-10"/>
        </w:rPr>
        <w:t>方式。</w:t>
      </w:r>
    </w:p>
    <w:p>
      <w:pPr>
        <w:spacing w:line="358" w:lineRule="auto"/>
        <w:sectPr>
          <w:headerReference w:type="default" r:id="rId222"/>
          <w:footerReference w:type="default" r:id="rId223"/>
          <w:pgSz w:w="11907" w:h="16839"/>
          <w:pgMar w:top="1582" w:right="1634" w:bottom="1728" w:left="1673" w:header="1241" w:footer="1372" w:gutter="0"/>
        </w:sectPr>
        <w:rPr>
          <w:rFonts w:ascii="SimSun" w:hAnsi="SimSun" w:eastAsia="SimSun" w:cs="SimSun"/>
          <w:sz w:val="24"/>
          <w:szCs w:val="24"/>
        </w:rPr>
      </w:pPr>
    </w:p>
    <w:p>
      <w:pPr>
        <w:ind w:left="39" w:right="28" w:firstLine="478"/>
        <w:spacing w:before="152" w:line="353" w:lineRule="auto"/>
        <w:jc w:val="both"/>
        <w:rPr>
          <w:rFonts w:ascii="SimSun" w:hAnsi="SimSun" w:eastAsia="SimSun" w:cs="SimSun"/>
          <w:sz w:val="24"/>
          <w:szCs w:val="24"/>
        </w:rPr>
      </w:pPr>
      <w:r>
        <w:rPr>
          <w:rFonts w:ascii="SimSun" w:hAnsi="SimSun" w:eastAsia="SimSun" w:cs="SimSun"/>
          <w:sz w:val="24"/>
          <w:szCs w:val="24"/>
          <w:spacing w:val="-2"/>
        </w:rPr>
        <w:t>第一阶段在建设单位确定编制环境影响评价文件</w:t>
      </w:r>
      <w:r>
        <w:rPr>
          <w:rFonts w:ascii="Times New Roman" w:hAnsi="Times New Roman" w:eastAsia="Times New Roman" w:cs="Times New Roman"/>
          <w:sz w:val="24"/>
          <w:szCs w:val="24"/>
          <w:spacing w:val="-2"/>
        </w:rPr>
        <w:t>7</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2"/>
        </w:rPr>
        <w:t>个工作日内进行，即于</w:t>
      </w:r>
      <w:r>
        <w:rPr>
          <w:rFonts w:ascii="Times New Roman" w:hAnsi="Times New Roman" w:eastAsia="Times New Roman" w:cs="Times New Roman"/>
          <w:sz w:val="24"/>
          <w:szCs w:val="24"/>
          <w:spacing w:val="-2"/>
        </w:rPr>
        <w:t>2025</w:t>
      </w:r>
      <w:r>
        <w:rPr>
          <w:rFonts w:ascii="SimSun" w:hAnsi="SimSun" w:eastAsia="SimSun" w:cs="SimSun"/>
          <w:sz w:val="24"/>
          <w:szCs w:val="24"/>
          <w:spacing w:val="-8"/>
        </w:rPr>
        <w:t>年    </w:t>
      </w:r>
      <w:r>
        <w:rPr>
          <w:rFonts w:ascii="Times New Roman" w:hAnsi="Times New Roman" w:eastAsia="Times New Roman" w:cs="Times New Roman"/>
          <w:sz w:val="24"/>
          <w:szCs w:val="24"/>
          <w:spacing w:val="-8"/>
        </w:rPr>
        <w:t>8        </w:t>
      </w:r>
      <w:r>
        <w:rPr>
          <w:rFonts w:ascii="SimSun" w:hAnsi="SimSun" w:eastAsia="SimSun" w:cs="SimSun"/>
          <w:sz w:val="24"/>
          <w:szCs w:val="24"/>
          <w:spacing w:val="-8"/>
        </w:rPr>
        <w:t>月</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8"/>
        </w:rPr>
        <w:t>17         </w:t>
      </w:r>
      <w:r>
        <w:rPr>
          <w:rFonts w:ascii="SimSun" w:hAnsi="SimSun" w:eastAsia="SimSun" w:cs="SimSun"/>
          <w:sz w:val="24"/>
          <w:szCs w:val="24"/>
          <w:spacing w:val="-8"/>
        </w:rPr>
        <w:t>日   在   环   评   爱</w:t>
      </w:r>
      <w:r>
        <w:rPr>
          <w:rFonts w:ascii="SimSun" w:hAnsi="SimSun" w:eastAsia="SimSun" w:cs="SimSun"/>
          <w:sz w:val="24"/>
          <w:szCs w:val="24"/>
          <w:spacing w:val="-9"/>
        </w:rPr>
        <w:t xml:space="preserve">   好   者   论   坛   网   站</w:t>
      </w:r>
      <w:r>
        <w:rPr>
          <w:rFonts w:ascii="SimSun" w:hAnsi="SimSun" w:eastAsia="SimSun" w:cs="SimSun"/>
          <w:sz w:val="24"/>
          <w:szCs w:val="24"/>
          <w:spacing w:val="-1"/>
        </w:rPr>
        <w:t>（</w:t>
      </w:r>
      <w:hyperlink w:history="true" r:id="rId225">
        <w:r>
          <w:rPr>
            <w:rFonts w:ascii="Times New Roman" w:hAnsi="Times New Roman" w:eastAsia="Times New Roman" w:cs="Times New Roman"/>
            <w:sz w:val="24"/>
            <w:szCs w:val="24"/>
            <w:spacing w:val="-1"/>
          </w:rPr>
          <w:t>http://www.eiafans.com/thread-1439287-1-1.html</w:t>
        </w:r>
      </w:hyperlink>
      <w:r>
        <w:rPr>
          <w:rFonts w:ascii="SimSun" w:hAnsi="SimSun" w:eastAsia="SimSun" w:cs="SimSun"/>
          <w:sz w:val="24"/>
          <w:szCs w:val="24"/>
          <w:spacing w:val="-1"/>
        </w:rPr>
        <w:t>）上进行了第一次网站公示。</w:t>
      </w:r>
    </w:p>
    <w:p>
      <w:pPr>
        <w:ind w:left="36" w:right="29" w:firstLine="481"/>
        <w:spacing w:before="24" w:line="357" w:lineRule="auto"/>
        <w:jc w:val="both"/>
        <w:rPr>
          <w:rFonts w:ascii="SimSun" w:hAnsi="SimSun" w:eastAsia="SimSun" w:cs="SimSun"/>
          <w:sz w:val="24"/>
          <w:szCs w:val="24"/>
        </w:rPr>
      </w:pPr>
      <w:r>
        <w:rPr>
          <w:rFonts w:ascii="SimSun" w:hAnsi="SimSun" w:eastAsia="SimSun" w:cs="SimSun"/>
          <w:sz w:val="24"/>
          <w:szCs w:val="24"/>
          <w:spacing w:val="2"/>
        </w:rPr>
        <w:t>第二阶段在环境影响报告书征求意见稿形成后，建设单位采取网站公示、报</w:t>
      </w:r>
      <w:r>
        <w:rPr>
          <w:rFonts w:ascii="SimSun" w:hAnsi="SimSun" w:eastAsia="SimSun" w:cs="SimSun"/>
          <w:sz w:val="24"/>
          <w:szCs w:val="24"/>
          <w:spacing w:val="-4"/>
        </w:rPr>
        <w:t>纸公示、张贴公告方式征求公众意见，具体包括①</w:t>
      </w:r>
      <w:r>
        <w:rPr>
          <w:rFonts w:ascii="Times New Roman" w:hAnsi="Times New Roman" w:eastAsia="Times New Roman" w:cs="Times New Roman"/>
          <w:sz w:val="24"/>
          <w:szCs w:val="24"/>
          <w:spacing w:val="-4"/>
        </w:rPr>
        <w:t>2025</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4"/>
        </w:rPr>
        <w:t>年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4"/>
          <w:w w:val="101"/>
        </w:rPr>
        <w:t xml:space="preserve"> </w:t>
      </w:r>
      <w:r>
        <w:rPr>
          <w:rFonts w:ascii="SimSun" w:hAnsi="SimSun" w:eastAsia="SimSun" w:cs="SimSun"/>
          <w:sz w:val="24"/>
          <w:szCs w:val="24"/>
          <w:spacing w:val="-4"/>
        </w:rPr>
        <w:t>月</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5"/>
        </w:rPr>
        <w:t>16</w:t>
      </w:r>
      <w:r>
        <w:rPr>
          <w:rFonts w:ascii="Times New Roman" w:hAnsi="Times New Roman" w:eastAsia="Times New Roman" w:cs="Times New Roman"/>
          <w:sz w:val="24"/>
          <w:szCs w:val="24"/>
          <w:spacing w:val="58"/>
          <w:w w:val="101"/>
        </w:rPr>
        <w:t xml:space="preserve"> </w:t>
      </w:r>
      <w:r>
        <w:rPr>
          <w:rFonts w:ascii="SimSun" w:hAnsi="SimSun" w:eastAsia="SimSun" w:cs="SimSun"/>
          <w:sz w:val="24"/>
          <w:szCs w:val="24"/>
          <w:spacing w:val="-5"/>
        </w:rPr>
        <w:t>日在全国建设</w:t>
      </w:r>
      <w:r>
        <w:rPr>
          <w:rFonts w:ascii="SimSun" w:hAnsi="SimSun" w:eastAsia="SimSun" w:cs="SimSun"/>
          <w:sz w:val="24"/>
          <w:szCs w:val="24"/>
          <w:spacing w:val="-2"/>
        </w:rPr>
        <w:t>项目环境信息公示平台网站（</w:t>
      </w:r>
      <w:hyperlink w:history="true" r:id="rId226">
        <w:r>
          <w:rPr>
            <w:rFonts w:ascii="Times New Roman" w:hAnsi="Times New Roman" w:eastAsia="Times New Roman" w:cs="Times New Roman"/>
            <w:sz w:val="24"/>
            <w:szCs w:val="24"/>
            <w:spacing w:val="-2"/>
          </w:rPr>
          <w:t>http://www.eiafans.com/thread-1439947</w:t>
        </w:r>
        <w:r>
          <w:rPr>
            <w:rFonts w:ascii="Times New Roman" w:hAnsi="Times New Roman" w:eastAsia="Times New Roman" w:cs="Times New Roman"/>
            <w:sz w:val="24"/>
            <w:szCs w:val="24"/>
            <w:spacing w:val="-3"/>
          </w:rPr>
          <w:t>-1-1.html</w:t>
        </w:r>
      </w:hyperlink>
      <w:r>
        <w:rPr>
          <w:rFonts w:ascii="SimSun" w:hAnsi="SimSun" w:eastAsia="SimSun" w:cs="SimSun"/>
          <w:sz w:val="24"/>
          <w:szCs w:val="24"/>
          <w:spacing w:val="-3"/>
        </w:rPr>
        <w:t>）上进</w:t>
      </w:r>
      <w:r>
        <w:rPr>
          <w:rFonts w:ascii="SimSun" w:hAnsi="SimSun" w:eastAsia="SimSun" w:cs="SimSun"/>
          <w:sz w:val="24"/>
          <w:szCs w:val="24"/>
          <w:spacing w:val="-6"/>
        </w:rPr>
        <w:t>行环评文件全文公示；②</w:t>
      </w:r>
      <w:r>
        <w:rPr>
          <w:rFonts w:ascii="Times New Roman" w:hAnsi="Times New Roman" w:eastAsia="Times New Roman" w:cs="Times New Roman"/>
          <w:sz w:val="24"/>
          <w:szCs w:val="24"/>
          <w:spacing w:val="-6"/>
        </w:rPr>
        <w:t>2025</w:t>
      </w:r>
      <w:r>
        <w:rPr>
          <w:rFonts w:ascii="Times New Roman" w:hAnsi="Times New Roman" w:eastAsia="Times New Roman" w:cs="Times New Roman"/>
          <w:sz w:val="24"/>
          <w:szCs w:val="24"/>
          <w:spacing w:val="33"/>
          <w:w w:val="101"/>
        </w:rPr>
        <w:t xml:space="preserve"> </w:t>
      </w:r>
      <w:r>
        <w:rPr>
          <w:rFonts w:ascii="SimSun" w:hAnsi="SimSun" w:eastAsia="SimSun" w:cs="SimSun"/>
          <w:sz w:val="24"/>
          <w:szCs w:val="24"/>
          <w:spacing w:val="-6"/>
        </w:rPr>
        <w:t>年</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6"/>
        </w:rPr>
        <w:t>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20</w:t>
      </w:r>
      <w:r>
        <w:rPr>
          <w:rFonts w:ascii="Times New Roman" w:hAnsi="Times New Roman" w:eastAsia="Times New Roman" w:cs="Times New Roman"/>
          <w:sz w:val="24"/>
          <w:szCs w:val="24"/>
          <w:spacing w:val="55"/>
        </w:rPr>
        <w:t xml:space="preserve"> </w:t>
      </w:r>
      <w:r>
        <w:rPr>
          <w:rFonts w:ascii="SimSun" w:hAnsi="SimSun" w:eastAsia="SimSun" w:cs="SimSun"/>
          <w:sz w:val="24"/>
          <w:szCs w:val="24"/>
          <w:spacing w:val="-6"/>
        </w:rPr>
        <w:t>日和</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6"/>
        </w:rPr>
        <w:t>10</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6"/>
        </w:rPr>
        <w:t>月</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24</w:t>
      </w:r>
      <w:r>
        <w:rPr>
          <w:rFonts w:ascii="Times New Roman" w:hAnsi="Times New Roman" w:eastAsia="Times New Roman" w:cs="Times New Roman"/>
          <w:sz w:val="24"/>
          <w:szCs w:val="24"/>
          <w:spacing w:val="55"/>
          <w:w w:val="101"/>
        </w:rPr>
        <w:t xml:space="preserve"> </w:t>
      </w:r>
      <w:r>
        <w:rPr>
          <w:rFonts w:ascii="SimSun" w:hAnsi="SimSun" w:eastAsia="SimSun" w:cs="SimSun"/>
          <w:sz w:val="24"/>
          <w:szCs w:val="24"/>
          <w:spacing w:val="-6"/>
        </w:rPr>
        <w:t>日分别在环球时报上进行</w:t>
      </w:r>
      <w:r>
        <w:rPr>
          <w:rFonts w:ascii="SimSun" w:hAnsi="SimSun" w:eastAsia="SimSun" w:cs="SimSun"/>
          <w:sz w:val="24"/>
          <w:szCs w:val="24"/>
          <w:spacing w:val="-4"/>
        </w:rPr>
        <w:t>报纸公示；③</w:t>
      </w:r>
      <w:r>
        <w:rPr>
          <w:rFonts w:ascii="Times New Roman" w:hAnsi="Times New Roman" w:eastAsia="Times New Roman" w:cs="Times New Roman"/>
          <w:sz w:val="24"/>
          <w:szCs w:val="24"/>
          <w:spacing w:val="-4"/>
        </w:rPr>
        <w:t>2025</w:t>
      </w:r>
      <w:r>
        <w:rPr>
          <w:rFonts w:ascii="Times New Roman" w:hAnsi="Times New Roman" w:eastAsia="Times New Roman" w:cs="Times New Roman"/>
          <w:sz w:val="24"/>
          <w:szCs w:val="24"/>
          <w:spacing w:val="23"/>
          <w:w w:val="101"/>
        </w:rPr>
        <w:t xml:space="preserve"> </w:t>
      </w:r>
      <w:r>
        <w:rPr>
          <w:rFonts w:ascii="SimSun" w:hAnsi="SimSun" w:eastAsia="SimSun" w:cs="SimSun"/>
          <w:sz w:val="24"/>
          <w:szCs w:val="24"/>
          <w:spacing w:val="-4"/>
        </w:rPr>
        <w:t>年</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4"/>
          <w:w w:val="101"/>
        </w:rPr>
        <w:t xml:space="preserve"> </w:t>
      </w:r>
      <w:r>
        <w:rPr>
          <w:rFonts w:ascii="SimSun" w:hAnsi="SimSun" w:eastAsia="SimSun" w:cs="SimSun"/>
          <w:sz w:val="24"/>
          <w:szCs w:val="24"/>
          <w:spacing w:val="-4"/>
        </w:rPr>
        <w:t>月</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4"/>
        </w:rPr>
        <w:t>16  </w:t>
      </w:r>
      <w:r>
        <w:rPr>
          <w:rFonts w:ascii="SimSun" w:hAnsi="SimSun" w:eastAsia="SimSun" w:cs="SimSun"/>
          <w:sz w:val="24"/>
          <w:szCs w:val="24"/>
          <w:spacing w:val="-4"/>
        </w:rPr>
        <w:t>日在项目建设地进行现场公告，具体公示内容详见</w:t>
      </w:r>
      <w:r>
        <w:rPr>
          <w:rFonts w:ascii="SimSun" w:hAnsi="SimSun" w:eastAsia="SimSun" w:cs="SimSun"/>
          <w:sz w:val="24"/>
          <w:szCs w:val="24"/>
          <w:spacing w:val="-10"/>
        </w:rPr>
        <w:t>公参。</w:t>
      </w:r>
    </w:p>
    <w:p>
      <w:pPr>
        <w:ind w:left="39" w:right="48" w:firstLine="478"/>
        <w:spacing w:before="18" w:line="360" w:lineRule="auto"/>
        <w:rPr>
          <w:rFonts w:ascii="SimSun" w:hAnsi="SimSun" w:eastAsia="SimSun" w:cs="SimSun"/>
          <w:sz w:val="24"/>
          <w:szCs w:val="24"/>
        </w:rPr>
      </w:pPr>
      <w:r>
        <w:rPr>
          <w:rFonts w:ascii="SimSun" w:hAnsi="SimSun" w:eastAsia="SimSun" w:cs="SimSun"/>
          <w:sz w:val="24"/>
          <w:szCs w:val="24"/>
          <w:spacing w:val="2"/>
        </w:rPr>
        <w:t>在现场公告张贴和网站、报纸公示期间没有接收到群众的电话、邮件等，无</w:t>
      </w:r>
      <w:r>
        <w:rPr>
          <w:rFonts w:ascii="SimSun" w:hAnsi="SimSun" w:eastAsia="SimSun" w:cs="SimSun"/>
          <w:sz w:val="24"/>
          <w:szCs w:val="24"/>
          <w:spacing w:val="-2"/>
        </w:rPr>
        <w:t>反对意见，因此认为项目公众参与认同性较</w:t>
      </w:r>
      <w:r>
        <w:rPr>
          <w:rFonts w:ascii="SimSun" w:hAnsi="SimSun" w:eastAsia="SimSun" w:cs="SimSun"/>
          <w:sz w:val="24"/>
          <w:szCs w:val="24"/>
          <w:spacing w:val="-3"/>
        </w:rPr>
        <w:t>好。</w:t>
      </w:r>
    </w:p>
    <w:p>
      <w:pPr>
        <w:pStyle w:val="BodyText"/>
        <w:spacing w:line="258" w:lineRule="auto"/>
        <w:rPr/>
      </w:pPr>
      <w:r/>
    </w:p>
    <w:p>
      <w:pPr>
        <w:ind w:left="36"/>
        <w:spacing w:before="78" w:line="234" w:lineRule="auto"/>
        <w:outlineLvl w:val="1"/>
        <w:rPr>
          <w:rFonts w:ascii="SimSun" w:hAnsi="SimSun" w:eastAsia="SimSun" w:cs="SimSun"/>
          <w:sz w:val="24"/>
          <w:szCs w:val="24"/>
        </w:rPr>
      </w:pPr>
      <w:bookmarkStart w:name="bookmark58" w:id="66"/>
      <w:bookmarkEnd w:id="66"/>
      <w:r>
        <w:rPr>
          <w:rFonts w:ascii="Times New Roman" w:hAnsi="Times New Roman" w:eastAsia="Times New Roman" w:cs="Times New Roman"/>
          <w:sz w:val="24"/>
          <w:szCs w:val="24"/>
          <w:b/>
          <w:bCs/>
          <w:spacing w:val="-2"/>
        </w:rPr>
        <w:t>9.7 </w:t>
      </w:r>
      <w:r>
        <w:rPr>
          <w:rFonts w:ascii="SimSun" w:hAnsi="SimSun" w:eastAsia="SimSun" w:cs="SimSun"/>
          <w:sz w:val="24"/>
          <w:szCs w:val="24"/>
          <w:b/>
          <w:bCs/>
          <w:spacing w:val="-2"/>
        </w:rPr>
        <w:t>环境影响经济损益分析结论</w:t>
      </w:r>
    </w:p>
    <w:p>
      <w:pPr>
        <w:pStyle w:val="BodyText"/>
        <w:spacing w:line="260" w:lineRule="auto"/>
        <w:rPr/>
      </w:pPr>
      <w:r/>
    </w:p>
    <w:p>
      <w:pPr>
        <w:ind w:left="38" w:right="29" w:firstLine="480"/>
        <w:spacing w:before="79" w:line="359" w:lineRule="auto"/>
        <w:jc w:val="both"/>
        <w:rPr>
          <w:rFonts w:ascii="SimSun" w:hAnsi="SimSun" w:eastAsia="SimSun" w:cs="SimSun"/>
          <w:sz w:val="24"/>
          <w:szCs w:val="24"/>
        </w:rPr>
      </w:pPr>
      <w:r>
        <w:rPr>
          <w:rFonts w:ascii="SimSun" w:hAnsi="SimSun" w:eastAsia="SimSun" w:cs="SimSun"/>
          <w:sz w:val="24"/>
          <w:szCs w:val="24"/>
        </w:rPr>
        <w:t>本项目采用运用费用</w:t>
      </w:r>
      <w:r>
        <w:rPr>
          <w:rFonts w:ascii="Times New Roman" w:hAnsi="Times New Roman" w:eastAsia="Times New Roman" w:cs="Times New Roman"/>
          <w:sz w:val="21"/>
          <w:szCs w:val="21"/>
        </w:rPr>
        <w:t>-</w:t>
      </w:r>
      <w:r>
        <w:rPr>
          <w:rFonts w:ascii="SimSun" w:hAnsi="SimSun" w:eastAsia="SimSun" w:cs="SimSun"/>
          <w:sz w:val="24"/>
          <w:szCs w:val="24"/>
        </w:rPr>
        <w:t>效益分析法对工程的环境效益和损失进行分析。通过分</w:t>
      </w:r>
      <w:r>
        <w:rPr>
          <w:rFonts w:ascii="SimSun" w:hAnsi="SimSun" w:eastAsia="SimSun" w:cs="SimSun"/>
          <w:sz w:val="24"/>
          <w:szCs w:val="24"/>
          <w:spacing w:val="3"/>
        </w:rPr>
        <w:t>析可知，锡林郭勒盟牧林农机服务有限责任公司肉牛育</w:t>
      </w:r>
      <w:r>
        <w:rPr>
          <w:rFonts w:ascii="SimSun" w:hAnsi="SimSun" w:eastAsia="SimSun" w:cs="SimSun"/>
          <w:sz w:val="24"/>
          <w:szCs w:val="24"/>
          <w:spacing w:val="2"/>
        </w:rPr>
        <w:t>肥养殖基地建设项目对环</w:t>
      </w:r>
      <w:r>
        <w:rPr>
          <w:rFonts w:ascii="SimSun" w:hAnsi="SimSun" w:eastAsia="SimSun" w:cs="SimSun"/>
          <w:sz w:val="24"/>
          <w:szCs w:val="24"/>
          <w:spacing w:val="2"/>
        </w:rPr>
        <w:t>境的影响有利有弊，环境影响经济损失主要体现在工程建设投入等方面，环境影</w:t>
      </w:r>
      <w:r>
        <w:rPr>
          <w:rFonts w:ascii="SimSun" w:hAnsi="SimSun" w:eastAsia="SimSun" w:cs="SimSun"/>
          <w:sz w:val="24"/>
          <w:szCs w:val="24"/>
          <w:spacing w:val="-3"/>
        </w:rPr>
        <w:t>响经济效益主要体现在肉牛出售等方面，益损比为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2.58</w:t>
      </w:r>
      <w:r>
        <w:rPr>
          <w:rFonts w:ascii="SimSun" w:hAnsi="SimSun" w:eastAsia="SimSun" w:cs="SimSun"/>
          <w:sz w:val="24"/>
          <w:szCs w:val="24"/>
          <w:spacing w:val="-3"/>
        </w:rPr>
        <w:t>，大于</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，说</w:t>
      </w:r>
      <w:r>
        <w:rPr>
          <w:rFonts w:ascii="SimSun" w:hAnsi="SimSun" w:eastAsia="SimSun" w:cs="SimSun"/>
          <w:sz w:val="24"/>
          <w:szCs w:val="24"/>
          <w:spacing w:val="-4"/>
        </w:rPr>
        <w:t>明项目建设在</w:t>
      </w:r>
      <w:r>
        <w:rPr>
          <w:rFonts w:ascii="SimSun" w:hAnsi="SimSun" w:eastAsia="SimSun" w:cs="SimSun"/>
          <w:sz w:val="24"/>
          <w:szCs w:val="24"/>
          <w:spacing w:val="-4"/>
        </w:rPr>
        <w:t>环境经济上是可行的。</w:t>
      </w:r>
    </w:p>
    <w:p>
      <w:pPr>
        <w:pStyle w:val="BodyText"/>
        <w:spacing w:line="264" w:lineRule="auto"/>
        <w:rPr/>
      </w:pPr>
      <w:r/>
    </w:p>
    <w:p>
      <w:pPr>
        <w:ind w:left="36"/>
        <w:spacing w:before="78" w:line="233" w:lineRule="auto"/>
        <w:outlineLvl w:val="1"/>
        <w:rPr>
          <w:rFonts w:ascii="SimSun" w:hAnsi="SimSun" w:eastAsia="SimSun" w:cs="SimSun"/>
          <w:sz w:val="24"/>
          <w:szCs w:val="24"/>
        </w:rPr>
      </w:pPr>
      <w:bookmarkStart w:name="bookmark59" w:id="67"/>
      <w:bookmarkEnd w:id="67"/>
      <w:r>
        <w:rPr>
          <w:rFonts w:ascii="Times New Roman" w:hAnsi="Times New Roman" w:eastAsia="Times New Roman" w:cs="Times New Roman"/>
          <w:sz w:val="24"/>
          <w:szCs w:val="24"/>
          <w:b/>
          <w:bCs/>
          <w:spacing w:val="-2"/>
        </w:rPr>
        <w:t>9.8 </w:t>
      </w:r>
      <w:r>
        <w:rPr>
          <w:rFonts w:ascii="SimSun" w:hAnsi="SimSun" w:eastAsia="SimSun" w:cs="SimSun"/>
          <w:sz w:val="24"/>
          <w:szCs w:val="24"/>
          <w:b/>
          <w:bCs/>
          <w:spacing w:val="-2"/>
        </w:rPr>
        <w:t>环境管理与监测计划结论</w:t>
      </w:r>
    </w:p>
    <w:p>
      <w:pPr>
        <w:pStyle w:val="BodyText"/>
        <w:spacing w:line="263" w:lineRule="auto"/>
        <w:rPr/>
      </w:pPr>
      <w:r/>
    </w:p>
    <w:p>
      <w:pPr>
        <w:ind w:left="37" w:right="35" w:firstLine="481"/>
        <w:spacing w:before="79" w:line="360" w:lineRule="auto"/>
        <w:jc w:val="both"/>
        <w:rPr>
          <w:rFonts w:ascii="SimSun" w:hAnsi="SimSun" w:eastAsia="SimSun" w:cs="SimSun"/>
          <w:sz w:val="24"/>
          <w:szCs w:val="24"/>
        </w:rPr>
      </w:pPr>
      <w:r>
        <w:rPr>
          <w:rFonts w:ascii="SimSun" w:hAnsi="SimSun" w:eastAsia="SimSun" w:cs="SimSun"/>
          <w:sz w:val="24"/>
          <w:szCs w:val="24"/>
          <w:spacing w:val="2"/>
        </w:rPr>
        <w:t>本次评价按照项目营运阶段提出了具体的环境管理要求，明确建设单位必须</w:t>
      </w:r>
      <w:r>
        <w:rPr>
          <w:rFonts w:ascii="SimSun" w:hAnsi="SimSun" w:eastAsia="SimSun" w:cs="SimSun"/>
          <w:sz w:val="24"/>
          <w:szCs w:val="24"/>
          <w:spacing w:val="2"/>
        </w:rPr>
        <w:t>设立生态环境管理机构，专人专岗负责场区的环境保护管理，并完善各项管理制</w:t>
      </w:r>
      <w:r>
        <w:rPr>
          <w:rFonts w:ascii="SimSun" w:hAnsi="SimSun" w:eastAsia="SimSun" w:cs="SimSun"/>
          <w:sz w:val="24"/>
          <w:szCs w:val="24"/>
          <w:spacing w:val="3"/>
        </w:rPr>
        <w:t>度，严格执行。本次评价运营阶段建立了环</w:t>
      </w:r>
      <w:r>
        <w:rPr>
          <w:rFonts w:ascii="SimSun" w:hAnsi="SimSun" w:eastAsia="SimSun" w:cs="SimSun"/>
          <w:sz w:val="24"/>
          <w:szCs w:val="24"/>
          <w:spacing w:val="2"/>
        </w:rPr>
        <w:t>境监测计划，建议相关监测工作委托</w:t>
      </w:r>
      <w:r>
        <w:rPr>
          <w:rFonts w:ascii="SimSun" w:hAnsi="SimSun" w:eastAsia="SimSun" w:cs="SimSun"/>
          <w:sz w:val="24"/>
          <w:szCs w:val="24"/>
          <w:spacing w:val="-3"/>
        </w:rPr>
        <w:t>有资质的第三方机构进行。</w:t>
      </w:r>
    </w:p>
    <w:p>
      <w:pPr>
        <w:pStyle w:val="BodyText"/>
        <w:spacing w:line="257" w:lineRule="auto"/>
        <w:rPr/>
      </w:pPr>
      <w:r/>
    </w:p>
    <w:p>
      <w:pPr>
        <w:ind w:left="36"/>
        <w:spacing w:before="79" w:line="233" w:lineRule="auto"/>
        <w:outlineLvl w:val="1"/>
        <w:rPr>
          <w:rFonts w:ascii="SimSun" w:hAnsi="SimSun" w:eastAsia="SimSun" w:cs="SimSun"/>
          <w:sz w:val="24"/>
          <w:szCs w:val="24"/>
        </w:rPr>
      </w:pPr>
      <w:bookmarkStart w:name="bookmark60" w:id="68"/>
      <w:bookmarkEnd w:id="68"/>
      <w:r>
        <w:rPr>
          <w:rFonts w:ascii="Times New Roman" w:hAnsi="Times New Roman" w:eastAsia="Times New Roman" w:cs="Times New Roman"/>
          <w:sz w:val="24"/>
          <w:szCs w:val="24"/>
          <w:b/>
          <w:bCs/>
          <w:spacing w:val="-2"/>
        </w:rPr>
        <w:t>9.9 </w:t>
      </w:r>
      <w:r>
        <w:rPr>
          <w:rFonts w:ascii="SimSun" w:hAnsi="SimSun" w:eastAsia="SimSun" w:cs="SimSun"/>
          <w:sz w:val="24"/>
          <w:szCs w:val="24"/>
          <w:b/>
          <w:bCs/>
          <w:spacing w:val="-2"/>
        </w:rPr>
        <w:t>场区平面布局合理性分析</w:t>
      </w:r>
    </w:p>
    <w:p>
      <w:pPr>
        <w:pStyle w:val="BodyText"/>
        <w:spacing w:line="342" w:lineRule="auto"/>
        <w:rPr/>
      </w:pPr>
      <w:r/>
    </w:p>
    <w:p>
      <w:pPr>
        <w:ind w:left="524"/>
        <w:spacing w:before="79"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）从节能效果看</w:t>
      </w:r>
    </w:p>
    <w:p>
      <w:pPr>
        <w:ind w:right="38"/>
        <w:spacing w:before="164" w:line="219" w:lineRule="auto"/>
        <w:jc w:val="right"/>
        <w:rPr>
          <w:rFonts w:ascii="SimSun" w:hAnsi="SimSun" w:eastAsia="SimSun" w:cs="SimSun"/>
          <w:sz w:val="24"/>
          <w:szCs w:val="24"/>
        </w:rPr>
      </w:pPr>
      <w:r>
        <w:rPr>
          <w:rFonts w:ascii="SimSun" w:hAnsi="SimSun" w:eastAsia="SimSun" w:cs="SimSun"/>
          <w:sz w:val="24"/>
          <w:szCs w:val="24"/>
          <w:spacing w:val="2"/>
        </w:rPr>
        <w:t>本项目场区平面布置力求紧凑、科学、按生产流向合理布置设备；项目办公</w:t>
      </w:r>
    </w:p>
    <w:p>
      <w:pPr>
        <w:spacing w:line="219" w:lineRule="auto"/>
        <w:sectPr>
          <w:headerReference w:type="default" r:id="rId218"/>
          <w:footerReference w:type="default" r:id="rId224"/>
          <w:pgSz w:w="11907" w:h="16839"/>
          <w:pgMar w:top="1582" w:right="1670" w:bottom="1728" w:left="1673" w:header="1241" w:footer="1371" w:gutter="0"/>
        </w:sectPr>
        <w:rPr>
          <w:rFonts w:ascii="SimSun" w:hAnsi="SimSun" w:eastAsia="SimSun" w:cs="SimSun"/>
          <w:sz w:val="24"/>
          <w:szCs w:val="24"/>
        </w:rPr>
      </w:pPr>
    </w:p>
    <w:p>
      <w:pPr>
        <w:ind w:left="39" w:right="78" w:firstLine="16"/>
        <w:spacing w:before="232" w:line="360" w:lineRule="auto"/>
        <w:jc w:val="both"/>
        <w:rPr>
          <w:rFonts w:ascii="SimSun" w:hAnsi="SimSun" w:eastAsia="SimSun" w:cs="SimSun"/>
          <w:sz w:val="24"/>
          <w:szCs w:val="24"/>
        </w:rPr>
      </w:pPr>
      <w:r>
        <w:rPr>
          <w:rFonts w:ascii="SimSun" w:hAnsi="SimSun" w:eastAsia="SimSun" w:cs="SimSun"/>
          <w:sz w:val="24"/>
          <w:szCs w:val="24"/>
          <w:spacing w:val="2"/>
        </w:rPr>
        <w:t>区为办公室，在场区西侧，与其他区域形成明显的分隔，养殖区区污物</w:t>
      </w:r>
      <w:r>
        <w:rPr>
          <w:rFonts w:ascii="SimSun" w:hAnsi="SimSun" w:eastAsia="SimSun" w:cs="SimSun"/>
          <w:sz w:val="24"/>
          <w:szCs w:val="24"/>
          <w:spacing w:val="1"/>
        </w:rPr>
        <w:t>处理区也</w:t>
      </w:r>
      <w:r>
        <w:rPr>
          <w:rFonts w:ascii="SimSun" w:hAnsi="SimSun" w:eastAsia="SimSun" w:cs="SimSun"/>
          <w:sz w:val="24"/>
          <w:szCs w:val="24"/>
          <w:spacing w:val="2"/>
        </w:rPr>
        <w:t>是分开区域，不会相互干扰，防止交叉感染等风险，并且节约场内二次倒运，从</w:t>
      </w:r>
      <w:r>
        <w:rPr>
          <w:rFonts w:ascii="SimSun" w:hAnsi="SimSun" w:eastAsia="SimSun" w:cs="SimSun"/>
          <w:sz w:val="24"/>
          <w:szCs w:val="24"/>
          <w:spacing w:val="-7"/>
        </w:rPr>
        <w:t>而节省能源。</w:t>
      </w:r>
    </w:p>
    <w:p>
      <w:pPr>
        <w:ind w:left="524"/>
        <w:spacing w:line="232"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）从总体布置看</w:t>
      </w:r>
    </w:p>
    <w:p>
      <w:pPr>
        <w:ind w:left="38" w:right="1" w:firstLine="480"/>
        <w:spacing w:before="165" w:line="359" w:lineRule="auto"/>
        <w:rPr>
          <w:rFonts w:ascii="SimSun" w:hAnsi="SimSun" w:eastAsia="SimSun" w:cs="SimSun"/>
          <w:sz w:val="24"/>
          <w:szCs w:val="24"/>
        </w:rPr>
      </w:pPr>
      <w:r>
        <w:rPr>
          <w:rFonts w:ascii="SimSun" w:hAnsi="SimSun" w:eastAsia="SimSun" w:cs="SimSun"/>
          <w:sz w:val="24"/>
          <w:szCs w:val="24"/>
          <w:spacing w:val="4"/>
        </w:rPr>
        <w:t>本项目位于锡林郭勒盟锡林浩特市额尔顿街道办事处</w:t>
      </w:r>
      <w:r>
        <w:rPr>
          <w:rFonts w:ascii="SimSun" w:hAnsi="SimSun" w:eastAsia="SimSun" w:cs="SimSun"/>
          <w:sz w:val="24"/>
          <w:szCs w:val="24"/>
          <w:spacing w:val="3"/>
        </w:rPr>
        <w:t>新兴社区沃源奶牛场，</w:t>
      </w:r>
      <w:r>
        <w:rPr>
          <w:rFonts w:ascii="SimSun" w:hAnsi="SimSun" w:eastAsia="SimSun" w:cs="SimSun"/>
          <w:sz w:val="24"/>
          <w:szCs w:val="24"/>
          <w:spacing w:val="-1"/>
        </w:rPr>
        <w:t>最近敏感点为西侧 </w:t>
      </w:r>
      <w:r>
        <w:rPr>
          <w:rFonts w:ascii="Times New Roman" w:hAnsi="Times New Roman" w:eastAsia="Times New Roman" w:cs="Times New Roman"/>
          <w:sz w:val="24"/>
          <w:szCs w:val="24"/>
          <w:spacing w:val="-1"/>
        </w:rPr>
        <w:t>4.5km  </w:t>
      </w:r>
      <w:r>
        <w:rPr>
          <w:rFonts w:ascii="SimSun" w:hAnsi="SimSun" w:eastAsia="SimSun" w:cs="SimSun"/>
          <w:sz w:val="24"/>
          <w:szCs w:val="24"/>
          <w:spacing w:val="-1"/>
        </w:rPr>
        <w:t>处锡林浩特市居民，距离较远，为厂区上风向，对其影</w:t>
      </w:r>
      <w:r>
        <w:rPr>
          <w:rFonts w:ascii="SimSun" w:hAnsi="SimSun" w:eastAsia="SimSun" w:cs="SimSun"/>
          <w:sz w:val="24"/>
          <w:szCs w:val="24"/>
          <w:spacing w:val="-2"/>
        </w:rPr>
        <w:t>响不大，同时要求企业将储粪库密闭，加强厂区绿化，并定期喷洒</w:t>
      </w:r>
      <w:r>
        <w:rPr>
          <w:rFonts w:ascii="SimSun" w:hAnsi="SimSun" w:eastAsia="SimSun" w:cs="SimSun"/>
          <w:sz w:val="24"/>
          <w:szCs w:val="24"/>
          <w:spacing w:val="-3"/>
        </w:rPr>
        <w:t>除臭剂等措施，</w:t>
      </w:r>
      <w:r>
        <w:rPr>
          <w:rFonts w:ascii="SimSun" w:hAnsi="SimSun" w:eastAsia="SimSun" w:cs="SimSun"/>
          <w:sz w:val="24"/>
          <w:szCs w:val="24"/>
          <w:spacing w:val="-4"/>
        </w:rPr>
        <w:t>减少恶臭对周围环境的影响。</w:t>
      </w:r>
    </w:p>
    <w:p>
      <w:pPr>
        <w:ind w:left="36"/>
        <w:spacing w:before="267" w:line="232" w:lineRule="auto"/>
        <w:outlineLvl w:val="1"/>
        <w:rPr>
          <w:rFonts w:ascii="SimSun" w:hAnsi="SimSun" w:eastAsia="SimSun" w:cs="SimSun"/>
          <w:sz w:val="24"/>
          <w:szCs w:val="24"/>
        </w:rPr>
      </w:pPr>
      <w:bookmarkStart w:name="bookmark61" w:id="69"/>
      <w:bookmarkEnd w:id="69"/>
      <w:r>
        <w:rPr>
          <w:rFonts w:ascii="Times New Roman" w:hAnsi="Times New Roman" w:eastAsia="Times New Roman" w:cs="Times New Roman"/>
          <w:sz w:val="24"/>
          <w:szCs w:val="24"/>
          <w:b/>
          <w:bCs/>
          <w:spacing w:val="-2"/>
        </w:rPr>
        <w:t>9.10 </w:t>
      </w:r>
      <w:r>
        <w:rPr>
          <w:rFonts w:ascii="SimSun" w:hAnsi="SimSun" w:eastAsia="SimSun" w:cs="SimSun"/>
          <w:sz w:val="24"/>
          <w:szCs w:val="24"/>
          <w:b/>
          <w:bCs/>
          <w:spacing w:val="-2"/>
        </w:rPr>
        <w:t>选址合理性评价结论</w:t>
      </w:r>
    </w:p>
    <w:p>
      <w:pPr>
        <w:pStyle w:val="BodyText"/>
        <w:spacing w:line="264" w:lineRule="auto"/>
        <w:rPr/>
      </w:pPr>
      <w:r/>
    </w:p>
    <w:p>
      <w:pPr>
        <w:ind w:left="524"/>
        <w:spacing w:before="79"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）禁养区选址符合性</w:t>
      </w:r>
    </w:p>
    <w:p>
      <w:pPr>
        <w:ind w:left="37" w:right="75" w:firstLine="481"/>
        <w:spacing w:before="165" w:line="359" w:lineRule="auto"/>
        <w:rPr>
          <w:rFonts w:ascii="SimSun" w:hAnsi="SimSun" w:eastAsia="SimSun" w:cs="SimSun"/>
          <w:sz w:val="24"/>
          <w:szCs w:val="24"/>
        </w:rPr>
      </w:pPr>
      <w:r>
        <w:rPr>
          <w:rFonts w:ascii="SimSun" w:hAnsi="SimSun" w:eastAsia="SimSun" w:cs="SimSun"/>
          <w:sz w:val="24"/>
          <w:szCs w:val="24"/>
          <w:spacing w:val="3"/>
        </w:rPr>
        <w:t>本项目场址位于锡林郭勒盟锡林浩特市额尔顿</w:t>
      </w:r>
      <w:r>
        <w:rPr>
          <w:rFonts w:ascii="SimSun" w:hAnsi="SimSun" w:eastAsia="SimSun" w:cs="SimSun"/>
          <w:sz w:val="24"/>
          <w:szCs w:val="24"/>
          <w:spacing w:val="2"/>
        </w:rPr>
        <w:t>街道办事处新兴社区沃源奶牛</w:t>
      </w:r>
      <w:r>
        <w:rPr>
          <w:rFonts w:ascii="SimSun" w:hAnsi="SimSun" w:eastAsia="SimSun" w:cs="SimSun"/>
          <w:sz w:val="24"/>
          <w:szCs w:val="24"/>
          <w:spacing w:val="-2"/>
        </w:rPr>
        <w:t>场，不在禁养区范围内，符合畜禽养殖禁养区规定。</w:t>
      </w:r>
    </w:p>
    <w:p>
      <w:pPr>
        <w:ind w:left="524"/>
        <w:spacing w:line="233"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）环境敏感性分析</w:t>
      </w:r>
    </w:p>
    <w:p>
      <w:pPr>
        <w:ind w:left="39" w:firstLine="479"/>
        <w:spacing w:before="165" w:line="359" w:lineRule="auto"/>
        <w:rPr>
          <w:rFonts w:ascii="SimSun" w:hAnsi="SimSun" w:eastAsia="SimSun" w:cs="SimSun"/>
          <w:sz w:val="24"/>
          <w:szCs w:val="24"/>
        </w:rPr>
      </w:pPr>
      <w:r>
        <w:rPr>
          <w:rFonts w:ascii="SimSun" w:hAnsi="SimSun" w:eastAsia="SimSun" w:cs="SimSun"/>
          <w:sz w:val="24"/>
          <w:szCs w:val="24"/>
          <w:spacing w:val="2"/>
        </w:rPr>
        <w:t>本项目不属于自然保护区等经规划确定或县级以上政府批准的需特殊保护地</w:t>
      </w:r>
      <w:r>
        <w:rPr>
          <w:rFonts w:ascii="SimSun" w:hAnsi="SimSun" w:eastAsia="SimSun" w:cs="SimSun"/>
          <w:sz w:val="24"/>
          <w:szCs w:val="24"/>
          <w:spacing w:val="2"/>
        </w:rPr>
        <w:t>区，也不是严重缺水区、重要湿地等生态敏感与脆弱区，同时也不是文教区、疗</w:t>
      </w:r>
      <w:r>
        <w:rPr>
          <w:rFonts w:ascii="SimSun" w:hAnsi="SimSun" w:eastAsia="SimSun" w:cs="SimSun"/>
          <w:sz w:val="24"/>
          <w:szCs w:val="24"/>
          <w:spacing w:val="1"/>
        </w:rPr>
        <w:t>养地及具有历史、文化、科学、民族意义的保护区等社会关注区。</w:t>
      </w:r>
      <w:r>
        <w:rPr>
          <w:rFonts w:ascii="SimSun" w:hAnsi="SimSun" w:eastAsia="SimSun" w:cs="SimSun"/>
          <w:sz w:val="24"/>
          <w:szCs w:val="24"/>
          <w:spacing w:val="-62"/>
        </w:rPr>
        <w:t xml:space="preserve"> </w:t>
      </w:r>
      <w:r>
        <w:rPr>
          <w:rFonts w:ascii="SimSun" w:hAnsi="SimSun" w:eastAsia="SimSun" w:cs="SimSun"/>
          <w:sz w:val="24"/>
          <w:szCs w:val="24"/>
          <w:spacing w:val="1"/>
        </w:rPr>
        <w:t>同时废水、废</w:t>
      </w:r>
      <w:r>
        <w:rPr>
          <w:rFonts w:ascii="SimSun" w:hAnsi="SimSun" w:eastAsia="SimSun" w:cs="SimSun"/>
          <w:sz w:val="24"/>
          <w:szCs w:val="24"/>
          <w:spacing w:val="-7"/>
        </w:rPr>
        <w:t>气、噪声及固废物等通过合理的治理措施，</w:t>
      </w:r>
      <w:r>
        <w:rPr>
          <w:rFonts w:ascii="SimSun" w:hAnsi="SimSun" w:eastAsia="SimSun" w:cs="SimSun"/>
          <w:sz w:val="24"/>
          <w:szCs w:val="24"/>
          <w:spacing w:val="59"/>
        </w:rPr>
        <w:t xml:space="preserve"> </w:t>
      </w:r>
      <w:r>
        <w:rPr>
          <w:rFonts w:ascii="SimSun" w:hAnsi="SimSun" w:eastAsia="SimSun" w:cs="SimSun"/>
          <w:sz w:val="24"/>
          <w:szCs w:val="24"/>
          <w:spacing w:val="-7"/>
        </w:rPr>
        <w:t>均可达标排放，对周围环境</w:t>
      </w:r>
      <w:r>
        <w:rPr>
          <w:rFonts w:ascii="SimSun" w:hAnsi="SimSun" w:eastAsia="SimSun" w:cs="SimSun"/>
          <w:sz w:val="24"/>
          <w:szCs w:val="24"/>
          <w:spacing w:val="-8"/>
        </w:rPr>
        <w:t>影响不大，</w:t>
      </w:r>
      <w:r>
        <w:rPr>
          <w:rFonts w:ascii="SimSun" w:hAnsi="SimSun" w:eastAsia="SimSun" w:cs="SimSun"/>
          <w:sz w:val="24"/>
          <w:szCs w:val="24"/>
          <w:spacing w:val="-3"/>
        </w:rPr>
        <w:t>故从环境敏感性考虑，本项目选址合理。</w:t>
      </w:r>
    </w:p>
    <w:p>
      <w:pPr>
        <w:ind w:left="524"/>
        <w:spacing w:line="23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）总体规划的符合性分析</w:t>
      </w:r>
    </w:p>
    <w:p>
      <w:pPr>
        <w:ind w:left="39" w:right="78" w:firstLine="479"/>
        <w:spacing w:before="166" w:line="359" w:lineRule="auto"/>
        <w:rPr>
          <w:rFonts w:ascii="SimSun" w:hAnsi="SimSun" w:eastAsia="SimSun" w:cs="SimSun"/>
          <w:sz w:val="24"/>
          <w:szCs w:val="24"/>
        </w:rPr>
      </w:pPr>
      <w:r>
        <w:rPr>
          <w:rFonts w:ascii="SimSun" w:hAnsi="SimSun" w:eastAsia="SimSun" w:cs="SimSun"/>
          <w:sz w:val="24"/>
          <w:szCs w:val="24"/>
          <w:spacing w:val="2"/>
        </w:rPr>
        <w:t>本项目位于锡林郭勒盟锡林浩特市额尔顿街道办事处新兴社区沃源奶牛场，</w:t>
      </w:r>
      <w:r>
        <w:rPr>
          <w:rFonts w:ascii="SimSun" w:hAnsi="SimSun" w:eastAsia="SimSun" w:cs="SimSun"/>
          <w:sz w:val="24"/>
          <w:szCs w:val="24"/>
          <w:spacing w:val="2"/>
        </w:rPr>
        <w:t>隶属新林浩特市，属于农业大县，近年来该区大力发展养殖业，本项目的建设能</w:t>
      </w:r>
      <w:r>
        <w:rPr>
          <w:rFonts w:ascii="SimSun" w:hAnsi="SimSun" w:eastAsia="SimSun" w:cs="SimSun"/>
          <w:sz w:val="24"/>
          <w:szCs w:val="24"/>
          <w:spacing w:val="2"/>
        </w:rPr>
        <w:t>有效的带动梨树县养殖业发展，能够为种植业提供清洁肥料，改善目前土地板结</w:t>
      </w:r>
      <w:r>
        <w:rPr>
          <w:rFonts w:ascii="SimSun" w:hAnsi="SimSun" w:eastAsia="SimSun" w:cs="SimSun"/>
          <w:sz w:val="24"/>
          <w:szCs w:val="24"/>
          <w:spacing w:val="-2"/>
        </w:rPr>
        <w:t>现象，具有一定的正效应，故本项目符合区域发展规划。</w:t>
      </w:r>
    </w:p>
    <w:p>
      <w:pPr>
        <w:ind w:left="464"/>
        <w:spacing w:line="23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）环境可行性分析</w:t>
      </w:r>
    </w:p>
    <w:p>
      <w:pPr>
        <w:ind w:left="38" w:right="67" w:firstLine="480"/>
        <w:spacing w:before="160" w:line="356" w:lineRule="auto"/>
        <w:rPr>
          <w:rFonts w:ascii="SimSun" w:hAnsi="SimSun" w:eastAsia="SimSun" w:cs="SimSun"/>
          <w:sz w:val="24"/>
          <w:szCs w:val="24"/>
        </w:rPr>
      </w:pPr>
      <w:r>
        <w:rPr>
          <w:rFonts w:ascii="SimSun" w:hAnsi="SimSun" w:eastAsia="SimSun" w:cs="SimSun"/>
          <w:sz w:val="24"/>
          <w:szCs w:val="24"/>
          <w:spacing w:val="-3"/>
        </w:rPr>
        <w:t>本项目符合国家产业政策、内蒙古自治区</w:t>
      </w:r>
      <w:r>
        <w:rPr>
          <w:rFonts w:ascii="Times New Roman" w:hAnsi="Times New Roman" w:eastAsia="Times New Roman" w:cs="Times New Roman"/>
          <w:sz w:val="24"/>
          <w:szCs w:val="24"/>
          <w:spacing w:val="-3"/>
        </w:rPr>
        <w:t>“</w:t>
      </w:r>
      <w:r>
        <w:rPr>
          <w:rFonts w:ascii="SimSun" w:hAnsi="SimSun" w:eastAsia="SimSun" w:cs="SimSun"/>
          <w:sz w:val="24"/>
          <w:szCs w:val="24"/>
          <w:spacing w:val="-3"/>
        </w:rPr>
        <w:t>十四五</w:t>
      </w:r>
      <w:r>
        <w:rPr>
          <w:rFonts w:ascii="Times New Roman" w:hAnsi="Times New Roman" w:eastAsia="Times New Roman" w:cs="Times New Roman"/>
          <w:sz w:val="24"/>
          <w:szCs w:val="24"/>
          <w:spacing w:val="-4"/>
        </w:rPr>
        <w:t>”</w:t>
      </w:r>
      <w:r>
        <w:rPr>
          <w:rFonts w:ascii="SimSun" w:hAnsi="SimSun" w:eastAsia="SimSun" w:cs="SimSun"/>
          <w:sz w:val="24"/>
          <w:szCs w:val="24"/>
          <w:spacing w:val="-4"/>
        </w:rPr>
        <w:t>生态环境保护规划、锡林郭</w:t>
      </w:r>
      <w:r>
        <w:rPr>
          <w:rFonts w:ascii="SimSun" w:hAnsi="SimSun" w:eastAsia="SimSun" w:cs="SimSun"/>
          <w:sz w:val="24"/>
          <w:szCs w:val="24"/>
        </w:rPr>
        <w:t>勒盟“三线一单”、符合《畜禽养殖业污染防治技术规范》（</w:t>
      </w:r>
      <w:r>
        <w:rPr>
          <w:rFonts w:ascii="Times New Roman" w:hAnsi="Times New Roman" w:eastAsia="Times New Roman" w:cs="Times New Roman"/>
          <w:sz w:val="24"/>
          <w:szCs w:val="24"/>
        </w:rPr>
        <w:t>HJ/T81-2001</w:t>
      </w:r>
      <w:r>
        <w:rPr>
          <w:rFonts w:ascii="SimSun" w:hAnsi="SimSun" w:eastAsia="SimSun" w:cs="SimSun"/>
          <w:sz w:val="24"/>
          <w:szCs w:val="24"/>
        </w:rPr>
        <w:t>）、符</w:t>
      </w:r>
      <w:r>
        <w:rPr>
          <w:rFonts w:ascii="SimSun" w:hAnsi="SimSun" w:eastAsia="SimSun" w:cs="SimSun"/>
          <w:sz w:val="24"/>
          <w:szCs w:val="24"/>
          <w:spacing w:val="3"/>
        </w:rPr>
        <w:t>合《关于做好畜禽规模养殖项目环境影响评价</w:t>
      </w:r>
      <w:r>
        <w:rPr>
          <w:rFonts w:ascii="SimSun" w:hAnsi="SimSun" w:eastAsia="SimSun" w:cs="SimSun"/>
          <w:sz w:val="24"/>
          <w:szCs w:val="24"/>
          <w:spacing w:val="2"/>
        </w:rPr>
        <w:t>管理工作的通知》、符合《畜禽养</w:t>
      </w:r>
    </w:p>
    <w:p>
      <w:pPr>
        <w:spacing w:line="356" w:lineRule="auto"/>
        <w:sectPr>
          <w:headerReference w:type="default" r:id="rId227"/>
          <w:footerReference w:type="default" r:id="rId228"/>
          <w:pgSz w:w="11907" w:h="16839"/>
          <w:pgMar w:top="1582" w:right="1630" w:bottom="1728" w:left="1673" w:header="1241" w:footer="1372" w:gutter="0"/>
        </w:sectPr>
        <w:rPr>
          <w:rFonts w:ascii="SimSun" w:hAnsi="SimSun" w:eastAsia="SimSun" w:cs="SimSun"/>
          <w:sz w:val="24"/>
          <w:szCs w:val="24"/>
        </w:rPr>
      </w:pPr>
    </w:p>
    <w:p>
      <w:pPr>
        <w:ind w:left="39" w:right="108"/>
        <w:spacing w:before="153" w:line="350" w:lineRule="auto"/>
        <w:rPr>
          <w:rFonts w:ascii="SimSun" w:hAnsi="SimSun" w:eastAsia="SimSun" w:cs="SimSun"/>
          <w:sz w:val="24"/>
          <w:szCs w:val="24"/>
        </w:rPr>
      </w:pPr>
      <w:r>
        <w:rPr>
          <w:rFonts w:ascii="SimSun" w:hAnsi="SimSun" w:eastAsia="SimSun" w:cs="SimSun"/>
          <w:sz w:val="24"/>
          <w:szCs w:val="24"/>
          <w:spacing w:val="2"/>
        </w:rPr>
        <w:t>殖业污染物治理工程技术规范》（</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2"/>
        </w:rPr>
        <w:t>497-2009</w:t>
      </w:r>
      <w:r>
        <w:rPr>
          <w:rFonts w:ascii="SimSun" w:hAnsi="SimSun" w:eastAsia="SimSun" w:cs="SimSun"/>
          <w:sz w:val="24"/>
          <w:szCs w:val="24"/>
          <w:spacing w:val="2"/>
        </w:rPr>
        <w:t>）、符合《畜禽规模养殖污染防治</w:t>
      </w:r>
      <w:r>
        <w:rPr>
          <w:rFonts w:ascii="SimSun" w:hAnsi="SimSun" w:eastAsia="SimSun" w:cs="SimSun"/>
          <w:sz w:val="24"/>
          <w:szCs w:val="24"/>
          <w:spacing w:val="-4"/>
        </w:rPr>
        <w:t>条例》等相关文件要求。</w:t>
      </w:r>
    </w:p>
    <w:p>
      <w:pPr>
        <w:pStyle w:val="BodyText"/>
        <w:spacing w:line="284" w:lineRule="auto"/>
        <w:rPr/>
      </w:pPr>
      <w:r/>
    </w:p>
    <w:p>
      <w:pPr>
        <w:ind w:left="36"/>
        <w:spacing w:before="78" w:line="232" w:lineRule="auto"/>
        <w:outlineLvl w:val="1"/>
        <w:rPr>
          <w:rFonts w:ascii="SimSun" w:hAnsi="SimSun" w:eastAsia="SimSun" w:cs="SimSun"/>
          <w:sz w:val="24"/>
          <w:szCs w:val="24"/>
        </w:rPr>
      </w:pPr>
      <w:bookmarkStart w:name="bookmark62" w:id="70"/>
      <w:bookmarkEnd w:id="70"/>
      <w:r>
        <w:rPr>
          <w:rFonts w:ascii="Times New Roman" w:hAnsi="Times New Roman" w:eastAsia="Times New Roman" w:cs="Times New Roman"/>
          <w:sz w:val="24"/>
          <w:szCs w:val="24"/>
          <w:b/>
          <w:bCs/>
          <w:spacing w:val="-3"/>
        </w:rPr>
        <w:t>9.11 </w:t>
      </w:r>
      <w:r>
        <w:rPr>
          <w:rFonts w:ascii="SimSun" w:hAnsi="SimSun" w:eastAsia="SimSun" w:cs="SimSun"/>
          <w:sz w:val="24"/>
          <w:szCs w:val="24"/>
          <w:b/>
          <w:bCs/>
          <w:spacing w:val="-3"/>
        </w:rPr>
        <w:t>综合评价结论</w:t>
      </w:r>
    </w:p>
    <w:p>
      <w:pPr>
        <w:pStyle w:val="BodyText"/>
        <w:spacing w:line="263" w:lineRule="auto"/>
        <w:rPr/>
      </w:pPr>
      <w:r/>
    </w:p>
    <w:p>
      <w:pPr>
        <w:ind w:left="38" w:firstLine="480"/>
        <w:spacing w:before="78" w:line="360" w:lineRule="auto"/>
        <w:jc w:val="both"/>
        <w:rPr>
          <w:rFonts w:ascii="SimSun" w:hAnsi="SimSun" w:eastAsia="SimSun" w:cs="SimSun"/>
          <w:sz w:val="24"/>
          <w:szCs w:val="24"/>
        </w:rPr>
      </w:pPr>
      <w:r>
        <w:rPr>
          <w:rFonts w:ascii="SimSun" w:hAnsi="SimSun" w:eastAsia="SimSun" w:cs="SimSun"/>
          <w:sz w:val="24"/>
          <w:szCs w:val="24"/>
          <w:spacing w:val="10"/>
        </w:rPr>
        <w:t>本项目为锡林郭勒盟牧林农机服务有限责任公司肉牛育肥养殖基地建设项</w:t>
      </w:r>
      <w:r>
        <w:rPr>
          <w:rFonts w:ascii="SimSun" w:hAnsi="SimSun" w:eastAsia="SimSun" w:cs="SimSun"/>
          <w:sz w:val="24"/>
          <w:szCs w:val="24"/>
          <w:spacing w:val="3"/>
        </w:rPr>
        <w:t>目，符合国家和地方产业政策，符合该区畜牧业发</w:t>
      </w:r>
      <w:r>
        <w:rPr>
          <w:rFonts w:ascii="SimSun" w:hAnsi="SimSun" w:eastAsia="SimSun" w:cs="SimSun"/>
          <w:sz w:val="24"/>
          <w:szCs w:val="24"/>
          <w:spacing w:val="2"/>
        </w:rPr>
        <w:t>展规划要求，符合清洁生产的</w:t>
      </w:r>
      <w:r>
        <w:rPr>
          <w:rFonts w:ascii="SimSun" w:hAnsi="SimSun" w:eastAsia="SimSun" w:cs="SimSun"/>
          <w:sz w:val="24"/>
          <w:szCs w:val="24"/>
          <w:spacing w:val="3"/>
        </w:rPr>
        <w:t>要求，不在禁养区范围内，场址选择合理，公众认</w:t>
      </w:r>
      <w:r>
        <w:rPr>
          <w:rFonts w:ascii="SimSun" w:hAnsi="SimSun" w:eastAsia="SimSun" w:cs="SimSun"/>
          <w:sz w:val="24"/>
          <w:szCs w:val="24"/>
          <w:spacing w:val="2"/>
        </w:rPr>
        <w:t>同性良好，无论是建设期或是</w:t>
      </w:r>
      <w:r>
        <w:rPr>
          <w:rFonts w:ascii="SimSun" w:hAnsi="SimSun" w:eastAsia="SimSun" w:cs="SimSun"/>
          <w:sz w:val="24"/>
          <w:szCs w:val="24"/>
          <w:spacing w:val="2"/>
        </w:rPr>
        <w:t>投入使用期，经采取有效的环境治理措施后，对周围环境影响都比较小，能为环</w:t>
      </w:r>
      <w:r>
        <w:rPr>
          <w:rFonts w:ascii="SimSun" w:hAnsi="SimSun" w:eastAsia="SimSun" w:cs="SimSun"/>
          <w:sz w:val="24"/>
          <w:szCs w:val="24"/>
          <w:spacing w:val="2"/>
        </w:rPr>
        <w:t>境所接受。项目的建成可加快规模化、标准化、产业化和区域化进程，有利于将</w:t>
      </w:r>
      <w:r>
        <w:rPr>
          <w:rFonts w:ascii="SimSun" w:hAnsi="SimSun" w:eastAsia="SimSun" w:cs="SimSun"/>
          <w:sz w:val="24"/>
          <w:szCs w:val="24"/>
          <w:spacing w:val="-2"/>
        </w:rPr>
        <w:t>农业资源转化为经济优势，具有较好的环境经济效益。通过现场踏查、工程分析、</w:t>
      </w:r>
      <w:r>
        <w:rPr>
          <w:rFonts w:ascii="SimSun" w:hAnsi="SimSun" w:eastAsia="SimSun" w:cs="SimSun"/>
          <w:sz w:val="24"/>
          <w:szCs w:val="24"/>
          <w:spacing w:val="2"/>
        </w:rPr>
        <w:t>类比调查、环境影响分析及污染防治措施的论证，认为建设单位如能积极落实报</w:t>
      </w:r>
      <w:r>
        <w:rPr>
          <w:rFonts w:ascii="SimSun" w:hAnsi="SimSun" w:eastAsia="SimSun" w:cs="SimSun"/>
          <w:sz w:val="24"/>
          <w:szCs w:val="24"/>
          <w:spacing w:val="-2"/>
        </w:rPr>
        <w:t>告书中所提出的各项治理措施，杜绝地下水等污染事故的前提下，从环保角度讲，</w:t>
      </w:r>
      <w:r>
        <w:rPr>
          <w:rFonts w:ascii="SimSun" w:hAnsi="SimSun" w:eastAsia="SimSun" w:cs="SimSun"/>
          <w:sz w:val="24"/>
          <w:szCs w:val="24"/>
          <w:spacing w:val="-5"/>
        </w:rPr>
        <w:t>该项目是可行的。</w:t>
      </w:r>
    </w:p>
    <w:sectPr>
      <w:headerReference w:type="default" r:id="rId229"/>
      <w:footerReference w:type="default" r:id="rId230"/>
      <w:pgSz w:w="11907" w:h="16839"/>
      <w:pgMar w:top="1582" w:right="1613" w:bottom="1728" w:left="1673" w:header="1241" w:footer="137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7"/>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00"/>
      <w:spacing w:before="42" w:line="223" w:lineRule="auto"/>
      <w:rPr>
        <w:rFonts w:ascii="Times New Roman" w:hAnsi="Times New Roman" w:eastAsia="Times New Roman" w:cs="Times New Roman"/>
        <w:sz w:val="18"/>
        <w:szCs w:val="18"/>
      </w:rPr>
    </w:pPr>
    <w:r>
      <w:pict>
        <v:shape id="_x0000_s404" style="position:absolute;margin-left:80.3pt;margin-top:533.55pt;mso-position-vertical-relative:page;mso-position-horizontal-relative:page;width:433.5pt;height:0.55pt;z-index:25186918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122</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406" style="position:absolute;margin-left:80.3pt;margin-top:780.15pt;mso-position-vertical-relative:page;mso-position-horizontal-relative:page;width:433.5pt;height:0.55pt;z-index:25187123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123</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3" w:lineRule="auto"/>
      <w:rPr>
        <w:rFonts w:ascii="Times New Roman" w:hAnsi="Times New Roman" w:eastAsia="Times New Roman" w:cs="Times New Roman"/>
        <w:sz w:val="18"/>
        <w:szCs w:val="18"/>
      </w:rPr>
    </w:pPr>
    <w:r>
      <w:pict>
        <v:shape id="_x0000_s408" style="position:absolute;margin-left:80.3pt;margin-top:780.15pt;mso-position-vertical-relative:page;mso-position-horizontal-relative:page;width:433.5pt;height:0.55pt;z-index:25187328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124</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410" style="position:absolute;margin-left:80.3pt;margin-top:780.15pt;mso-position-vertical-relative:page;mso-position-horizontal-relative:page;width:433.5pt;height:0.55pt;z-index:25187532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125</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412" style="position:absolute;margin-left:80.3pt;margin-top:780.15pt;mso-position-vertical-relative:page;mso-position-horizontal-relative:page;width:433.5pt;height:0.55pt;z-index:25187737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126</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3" w:line="220" w:lineRule="auto"/>
      <w:rPr>
        <w:rFonts w:ascii="Times New Roman" w:hAnsi="Times New Roman" w:eastAsia="Times New Roman" w:cs="Times New Roman"/>
        <w:sz w:val="18"/>
        <w:szCs w:val="18"/>
      </w:rPr>
    </w:pPr>
    <w:r>
      <w:pict>
        <v:shape id="_x0000_s414" style="position:absolute;margin-left:80.3pt;margin-top:780.15pt;mso-position-vertical-relative:page;mso-position-horizontal-relative:page;width:433.5pt;height:0.55pt;z-index:25187942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127</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416" style="position:absolute;margin-left:80.3pt;margin-top:780.15pt;mso-position-vertical-relative:page;mso-position-horizontal-relative:page;width:433.5pt;height:0.55pt;z-index:25188147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128</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27"/>
      <w:spacing w:before="43" w:line="220" w:lineRule="auto"/>
      <w:rPr>
        <w:rFonts w:ascii="Times New Roman" w:hAnsi="Times New Roman" w:eastAsia="Times New Roman" w:cs="Times New Roman"/>
        <w:sz w:val="18"/>
        <w:szCs w:val="18"/>
      </w:rPr>
    </w:pPr>
    <w:r>
      <w:pict>
        <v:shape id="_x0000_s420" style="position:absolute;margin-left:80.3pt;margin-top:533.55pt;mso-position-vertical-relative:page;mso-position-horizontal-relative:page;width:433.5pt;height:0.55pt;z-index:25188352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129</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13"/>
      <w:spacing w:before="42" w:line="221" w:lineRule="auto"/>
      <w:rPr>
        <w:rFonts w:ascii="Times New Roman" w:hAnsi="Times New Roman" w:eastAsia="Times New Roman" w:cs="Times New Roman"/>
        <w:sz w:val="18"/>
        <w:szCs w:val="18"/>
      </w:rPr>
    </w:pPr>
    <w:r>
      <w:pict>
        <v:shape id="_x0000_s424" style="position:absolute;margin-left:80.3pt;margin-top:533.55pt;mso-position-vertical-relative:page;mso-position-horizontal-relative:page;width:433.5pt;height:0.55pt;z-index:25188556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130</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73"/>
      <w:spacing w:before="42" w:line="221" w:lineRule="auto"/>
      <w:rPr>
        <w:rFonts w:ascii="Times New Roman" w:hAnsi="Times New Roman" w:eastAsia="Times New Roman" w:cs="Times New Roman"/>
        <w:sz w:val="18"/>
        <w:szCs w:val="18"/>
      </w:rPr>
    </w:pPr>
    <w:r>
      <w:pict>
        <v:shape id="_x0000_s428" style="position:absolute;margin-left:80.3pt;margin-top:780.15pt;mso-position-vertical-relative:page;mso-position-horizontal-relative:page;width:433.5pt;height:0.55pt;z-index:25188761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131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432" style="position:absolute;margin-left:80.3pt;margin-top:780.15pt;mso-position-vertical-relative:page;mso-position-horizontal-relative:page;width:433.5pt;height:0.55pt;z-index:25188966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132</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434" style="position:absolute;margin-left:80.3pt;margin-top:780.15pt;mso-position-vertical-relative:page;mso-position-horizontal-relative:page;width:433.5pt;height:0.55pt;z-index:25189171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133</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1" w:lineRule="auto"/>
      <w:rPr>
        <w:rFonts w:ascii="Times New Roman" w:hAnsi="Times New Roman" w:eastAsia="Times New Roman" w:cs="Times New Roman"/>
        <w:sz w:val="18"/>
        <w:szCs w:val="18"/>
      </w:rPr>
    </w:pPr>
    <w:r>
      <w:pict>
        <v:shape id="_x0000_s438" style="position:absolute;margin-left:84.675pt;margin-top:755.475pt;mso-position-vertical-relative:page;mso-position-horizontal-relative:page;width:423.75pt;height:0.75pt;z-index:251892736;"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134</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1" w:lineRule="auto"/>
      <w:rPr>
        <w:rFonts w:ascii="Times New Roman" w:hAnsi="Times New Roman" w:eastAsia="Times New Roman" w:cs="Times New Roman"/>
        <w:sz w:val="18"/>
        <w:szCs w:val="18"/>
      </w:rPr>
    </w:pPr>
    <w:r>
      <w:pict>
        <v:shape id="_x0000_s442" style="position:absolute;margin-left:84.675pt;margin-top:755.475pt;mso-position-vertical-relative:page;mso-position-horizontal-relative:page;width:423.75pt;height:0.75pt;z-index:251894784;"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135</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1" w:lineRule="auto"/>
      <w:rPr>
        <w:rFonts w:ascii="Times New Roman" w:hAnsi="Times New Roman" w:eastAsia="Times New Roman" w:cs="Times New Roman"/>
        <w:sz w:val="18"/>
        <w:szCs w:val="18"/>
      </w:rPr>
    </w:pPr>
    <w:r>
      <w:pict>
        <v:shape id="_x0000_s446" style="position:absolute;margin-left:84.675pt;margin-top:755.475pt;mso-position-vertical-relative:page;mso-position-horizontal-relative:page;width:423.75pt;height:0.75pt;z-index:251896832;"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136</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0" w:lineRule="auto"/>
      <w:rPr>
        <w:rFonts w:ascii="Times New Roman" w:hAnsi="Times New Roman" w:eastAsia="Times New Roman" w:cs="Times New Roman"/>
        <w:sz w:val="18"/>
        <w:szCs w:val="18"/>
      </w:rPr>
    </w:pPr>
    <w:r>
      <w:pict>
        <v:shape id="_x0000_s450" style="position:absolute;margin-left:84.675pt;margin-top:755.475pt;mso-position-vertical-relative:page;mso-position-horizontal-relative:page;width:423.75pt;height:0.75pt;z-index:251898880;"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137</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1" w:lineRule="auto"/>
      <w:rPr>
        <w:rFonts w:ascii="Times New Roman" w:hAnsi="Times New Roman" w:eastAsia="Times New Roman" w:cs="Times New Roman"/>
        <w:sz w:val="18"/>
        <w:szCs w:val="18"/>
      </w:rPr>
    </w:pPr>
    <w:r>
      <w:pict>
        <v:shape id="_x0000_s452" style="position:absolute;margin-left:84.675pt;margin-top:755.475pt;mso-position-vertical-relative:page;mso-position-horizontal-relative:page;width:423.75pt;height:0.75pt;z-index:251900928;"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138</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0" w:lineRule="auto"/>
      <w:rPr>
        <w:rFonts w:ascii="Times New Roman" w:hAnsi="Times New Roman" w:eastAsia="Times New Roman" w:cs="Times New Roman"/>
        <w:sz w:val="18"/>
        <w:szCs w:val="18"/>
      </w:rPr>
    </w:pPr>
    <w:r>
      <w:pict>
        <v:shape id="_x0000_s456" style="position:absolute;margin-left:84.675pt;margin-top:755.475pt;mso-position-vertical-relative:page;mso-position-horizontal-relative:page;width:423.75pt;height:0.75pt;z-index:251902976;"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139</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66"/>
      <w:spacing w:before="156" w:line="221" w:lineRule="auto"/>
      <w:rPr>
        <w:rFonts w:ascii="Times New Roman" w:hAnsi="Times New Roman" w:eastAsia="Times New Roman" w:cs="Times New Roman"/>
        <w:sz w:val="18"/>
        <w:szCs w:val="18"/>
      </w:rPr>
    </w:pPr>
    <w:r>
      <w:pict>
        <v:shape id="_x0000_s460" style="position:absolute;margin-left:84.675pt;margin-top:755.475pt;mso-position-vertical-relative:page;mso-position-horizontal-relative:page;width:423.75pt;height:0.75pt;z-index:251905024;" o:allowincell="f" filled="false" strokecolor="#000000" strokeweight="0.75pt" coordsize="8475,15" coordorigin="0,0" path="m7,7l8467,7e">
          <v:stroke endcap="round" miterlimit="10"/>
        </v:shape>
      </w:pict>
    </w:r>
    <w:r>
      <w:rPr>
        <w:rFonts w:ascii="Times New Roman" w:hAnsi="Times New Roman" w:eastAsia="Times New Roman" w:cs="Times New Roman"/>
        <w:sz w:val="18"/>
        <w:szCs w:val="18"/>
        <w:spacing w:val="-5"/>
      </w:rPr>
      <w:t>140</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8"/>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7"/>
      </w:rPr>
      <w:t>11</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5"/>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1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5"/>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5"/>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5"/>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5"/>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4"/>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8"/>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4"/>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4"/>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8"/>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8"/>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0"/>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7"/>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8"/>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98"/>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54"/>
      <w:spacing w:before="20" w:line="221" w:lineRule="auto"/>
      <w:rPr>
        <w:rFonts w:ascii="Times New Roman" w:hAnsi="Times New Roman" w:eastAsia="Times New Roman" w:cs="Times New Roman"/>
        <w:sz w:val="18"/>
        <w:szCs w:val="18"/>
      </w:rPr>
    </w:pPr>
    <w:r>
      <w:pict>
        <v:shape id="_x0000_s136" style="position:absolute;margin-left:85.1pt;margin-top:513.4pt;mso-position-vertical-relative:page;mso-position-horizontal-relative:page;width:425.7pt;height:0.6pt;z-index:251697152;" o:allowincell="f" filled="false" strokecolor="#808080" strokeweight="0.50pt" coordsize="8514,12" coordorigin="0,0" path="m5,5l8508,6e">
          <v:stroke endcap="round" miterlimit="10"/>
        </v:shape>
      </w:pict>
    </w:r>
    <w:r>
      <w:rPr>
        <w:rFonts w:ascii="Times New Roman" w:hAnsi="Times New Roman" w:eastAsia="Times New Roman" w:cs="Times New Roman"/>
        <w:sz w:val="18"/>
        <w:szCs w:val="18"/>
        <w:spacing w:val="-2"/>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09"/>
      <w:spacing w:line="209" w:lineRule="auto"/>
      <w:rPr>
        <w:rFonts w:ascii="SimSun" w:hAnsi="SimSun" w:eastAsia="SimSun" w:cs="SimSun"/>
        <w:sz w:val="24"/>
        <w:szCs w:val="24"/>
      </w:rPr>
    </w:pPr>
    <w:r>
      <w:rPr>
        <w:rFonts w:ascii="SimSun" w:hAnsi="SimSun" w:eastAsia="SimSun" w:cs="SimSun"/>
        <w:sz w:val="24"/>
        <w:szCs w:val="24"/>
        <w:spacing w:val="-2"/>
      </w:rPr>
      <w:t>②肥育期</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6"/>
      <w:spacing w:before="42" w:line="221" w:lineRule="auto"/>
      <w:rPr>
        <w:rFonts w:ascii="Times New Roman" w:hAnsi="Times New Roman" w:eastAsia="Times New Roman" w:cs="Times New Roman"/>
        <w:sz w:val="18"/>
        <w:szCs w:val="18"/>
      </w:rPr>
    </w:pPr>
    <w:r>
      <w:pict>
        <v:shape id="_x0000_s206" style="position:absolute;margin-left:80.3pt;margin-top:780.15pt;mso-position-vertical-relative:page;mso-position-horizontal-relative:page;width:433.5pt;height:0.55pt;z-index:25174630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62</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6"/>
      <w:spacing w:before="42" w:line="221" w:lineRule="auto"/>
      <w:rPr>
        <w:rFonts w:ascii="Times New Roman" w:hAnsi="Times New Roman" w:eastAsia="Times New Roman" w:cs="Times New Roman"/>
        <w:sz w:val="18"/>
        <w:szCs w:val="18"/>
      </w:rPr>
    </w:pPr>
    <w:r>
      <w:pict>
        <v:shape id="_x0000_s208" style="position:absolute;margin-left:80.3pt;margin-top:780.15pt;mso-position-vertical-relative:page;mso-position-horizontal-relative:page;width:433.5pt;height:0.55pt;z-index:25174835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63</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6"/>
      <w:spacing w:before="42" w:line="221" w:lineRule="auto"/>
      <w:rPr>
        <w:rFonts w:ascii="Times New Roman" w:hAnsi="Times New Roman" w:eastAsia="Times New Roman" w:cs="Times New Roman"/>
        <w:sz w:val="18"/>
        <w:szCs w:val="18"/>
      </w:rPr>
    </w:pPr>
    <w:r>
      <w:pict>
        <v:shape id="_x0000_s212" style="position:absolute;margin-left:80.3pt;margin-top:780.15pt;mso-position-vertical-relative:page;mso-position-horizontal-relative:page;width:433.5pt;height:0.55pt;z-index:25175040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64</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2" w:line="221" w:lineRule="auto"/>
      <w:rPr>
        <w:rFonts w:ascii="Times New Roman" w:hAnsi="Times New Roman" w:eastAsia="Times New Roman" w:cs="Times New Roman"/>
        <w:sz w:val="18"/>
        <w:szCs w:val="18"/>
      </w:rPr>
    </w:pPr>
    <w:r>
      <w:pict>
        <v:shape id="_x0000_s216" style="position:absolute;margin-left:80.3pt;margin-top:780.15pt;mso-position-vertical-relative:page;mso-position-horizontal-relative:page;width:433.5pt;height:0.55pt;z-index:25175244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65</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2" w:line="221" w:lineRule="auto"/>
      <w:rPr>
        <w:rFonts w:ascii="Times New Roman" w:hAnsi="Times New Roman" w:eastAsia="Times New Roman" w:cs="Times New Roman"/>
        <w:sz w:val="18"/>
        <w:szCs w:val="18"/>
      </w:rPr>
    </w:pPr>
    <w:r>
      <w:pict>
        <v:shape id="_x0000_s220" style="position:absolute;margin-left:80.3pt;margin-top:780.15pt;mso-position-vertical-relative:page;mso-position-horizontal-relative:page;width:433.5pt;height:0.55pt;z-index:25175449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66</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3" w:line="220" w:lineRule="auto"/>
      <w:rPr>
        <w:rFonts w:ascii="Times New Roman" w:hAnsi="Times New Roman" w:eastAsia="Times New Roman" w:cs="Times New Roman"/>
        <w:sz w:val="18"/>
        <w:szCs w:val="18"/>
      </w:rPr>
    </w:pPr>
    <w:r>
      <w:pict>
        <v:shape id="_x0000_s222" style="position:absolute;margin-left:80.3pt;margin-top:780.15pt;mso-position-vertical-relative:page;mso-position-horizontal-relative:page;width:433.5pt;height:0.55pt;z-index:25175654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67</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2" w:line="221" w:lineRule="auto"/>
      <w:rPr>
        <w:rFonts w:ascii="Times New Roman" w:hAnsi="Times New Roman" w:eastAsia="Times New Roman" w:cs="Times New Roman"/>
        <w:sz w:val="18"/>
        <w:szCs w:val="18"/>
      </w:rPr>
    </w:pPr>
    <w:r>
      <w:pict>
        <v:shape id="_x0000_s226" style="position:absolute;margin-left:80.3pt;margin-top:780.15pt;mso-position-vertical-relative:page;mso-position-horizontal-relative:page;width:433.5pt;height:0.55pt;z-index:25175859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68</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3" w:line="220" w:lineRule="auto"/>
      <w:rPr>
        <w:rFonts w:ascii="Times New Roman" w:hAnsi="Times New Roman" w:eastAsia="Times New Roman" w:cs="Times New Roman"/>
        <w:sz w:val="18"/>
        <w:szCs w:val="18"/>
      </w:rPr>
    </w:pPr>
    <w:r>
      <w:pict>
        <v:shape id="_x0000_s228" style="position:absolute;margin-left:80.3pt;margin-top:780.15pt;mso-position-vertical-relative:page;mso-position-horizontal-relative:page;width:433.5pt;height:0.55pt;z-index:25176064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69</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7"/>
      <w:spacing w:before="43" w:line="220" w:lineRule="auto"/>
      <w:rPr>
        <w:rFonts w:ascii="Times New Roman" w:hAnsi="Times New Roman" w:eastAsia="Times New Roman" w:cs="Times New Roman"/>
        <w:sz w:val="18"/>
        <w:szCs w:val="18"/>
      </w:rPr>
    </w:pPr>
    <w:r>
      <w:pict>
        <v:shape id="_x0000_s232" style="position:absolute;margin-left:80.3pt;margin-top:780.15pt;mso-position-vertical-relative:page;mso-position-horizontal-relative:page;width:433.5pt;height:0.55pt;z-index:25176268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70</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before="43" w:line="220" w:lineRule="auto"/>
      <w:rPr>
        <w:rFonts w:ascii="Times New Roman" w:hAnsi="Times New Roman" w:eastAsia="Times New Roman" w:cs="Times New Roman"/>
        <w:sz w:val="18"/>
        <w:szCs w:val="18"/>
      </w:rPr>
    </w:pPr>
    <w:r>
      <w:pict>
        <v:shape id="_x0000_s236" style="position:absolute;margin-left:80.3pt;margin-top:780.15pt;mso-position-vertical-relative:page;mso-position-horizontal-relative:page;width:433.5pt;height:0.55pt;z-index:25176473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4"/>
      <w:spacing w:line="22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before="43" w:line="220" w:lineRule="auto"/>
      <w:rPr>
        <w:rFonts w:ascii="Times New Roman" w:hAnsi="Times New Roman" w:eastAsia="Times New Roman" w:cs="Times New Roman"/>
        <w:sz w:val="18"/>
        <w:szCs w:val="18"/>
      </w:rPr>
    </w:pPr>
    <w:r>
      <w:pict>
        <v:shape id="_x0000_s238" style="position:absolute;margin-left:80.3pt;margin-top:780.15pt;mso-position-vertical-relative:page;mso-position-horizontal-relative:page;width:433.5pt;height:0.55pt;z-index:25176678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72</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before="43" w:line="220" w:lineRule="auto"/>
      <w:rPr>
        <w:rFonts w:ascii="Times New Roman" w:hAnsi="Times New Roman" w:eastAsia="Times New Roman" w:cs="Times New Roman"/>
        <w:sz w:val="18"/>
        <w:szCs w:val="18"/>
      </w:rPr>
    </w:pPr>
    <w:r>
      <w:pict>
        <v:shape id="_x0000_s240" style="position:absolute;margin-left:80.3pt;margin-top:780.15pt;mso-position-vertical-relative:page;mso-position-horizontal-relative:page;width:433.5pt;height:0.55pt;z-index:25176883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73</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before="43" w:line="220" w:lineRule="auto"/>
      <w:rPr>
        <w:rFonts w:ascii="Times New Roman" w:hAnsi="Times New Roman" w:eastAsia="Times New Roman" w:cs="Times New Roman"/>
        <w:sz w:val="18"/>
        <w:szCs w:val="18"/>
      </w:rPr>
    </w:pPr>
    <w:r>
      <w:pict>
        <v:shape id="_x0000_s242" style="position:absolute;margin-left:80.3pt;margin-top:780.15pt;mso-position-vertical-relative:page;mso-position-horizontal-relative:page;width:433.5pt;height:0.55pt;z-index:25177088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74</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before="43" w:line="220" w:lineRule="auto"/>
      <w:rPr>
        <w:rFonts w:ascii="Times New Roman" w:hAnsi="Times New Roman" w:eastAsia="Times New Roman" w:cs="Times New Roman"/>
        <w:sz w:val="18"/>
        <w:szCs w:val="18"/>
      </w:rPr>
    </w:pPr>
    <w:r>
      <w:pict>
        <v:shape id="_x0000_s244" style="position:absolute;margin-left:80.3pt;margin-top:780.15pt;mso-position-vertical-relative:page;mso-position-horizontal-relative:page;width:433.5pt;height:0.55pt;z-index:25177292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75</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248" style="position:absolute;margin-left:80.3pt;margin-top:780.15pt;mso-position-vertical-relative:page;mso-position-horizontal-relative:page;width:433.5pt;height:0.55pt;z-index:25177497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76</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1"/>
      <w:spacing w:before="43" w:line="220" w:lineRule="auto"/>
      <w:rPr>
        <w:rFonts w:ascii="Times New Roman" w:hAnsi="Times New Roman" w:eastAsia="Times New Roman" w:cs="Times New Roman"/>
        <w:sz w:val="18"/>
        <w:szCs w:val="18"/>
      </w:rPr>
    </w:pPr>
    <w:r>
      <w:pict>
        <v:shape id="_x0000_s250" style="position:absolute;margin-left:80.3pt;margin-top:780.15pt;mso-position-vertical-relative:page;mso-position-horizontal-relative:page;width:433.5pt;height:0.55pt;z-index:25177702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77</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256" style="position:absolute;margin-left:80.3pt;margin-top:780.15pt;mso-position-vertical-relative:page;mso-position-horizontal-relative:page;width:433.5pt;height:0.55pt;z-index:25177907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78</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260" style="position:absolute;margin-left:80.3pt;margin-top:780.15pt;mso-position-vertical-relative:page;mso-position-horizontal-relative:page;width:433.5pt;height:0.55pt;z-index:25178112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79</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5"/>
      <w:spacing w:before="42" w:line="221" w:lineRule="auto"/>
      <w:rPr>
        <w:rFonts w:ascii="Times New Roman" w:hAnsi="Times New Roman" w:eastAsia="Times New Roman" w:cs="Times New Roman"/>
        <w:sz w:val="18"/>
        <w:szCs w:val="18"/>
      </w:rPr>
    </w:pPr>
    <w:r>
      <w:pict>
        <v:shape id="_x0000_s264" style="position:absolute;margin-left:80.3pt;margin-top:780.15pt;mso-position-vertical-relative:page;mso-position-horizontal-relative:page;width:433.5pt;height:0.55pt;z-index:25178316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80</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5"/>
      <w:spacing w:before="42" w:line="221" w:lineRule="auto"/>
      <w:rPr>
        <w:rFonts w:ascii="Times New Roman" w:hAnsi="Times New Roman" w:eastAsia="Times New Roman" w:cs="Times New Roman"/>
        <w:sz w:val="18"/>
        <w:szCs w:val="18"/>
      </w:rPr>
    </w:pPr>
    <w:r>
      <w:pict>
        <v:shape id="_x0000_s268" style="position:absolute;margin-left:80.3pt;margin-top:780.15pt;mso-position-vertical-relative:page;mso-position-horizontal-relative:page;width:433.5pt;height:0.55pt;z-index:25178521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81</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9"/>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before="42" w:line="221" w:lineRule="auto"/>
      <w:rPr>
        <w:rFonts w:ascii="Times New Roman" w:hAnsi="Times New Roman" w:eastAsia="Times New Roman" w:cs="Times New Roman"/>
        <w:sz w:val="18"/>
        <w:szCs w:val="18"/>
      </w:rPr>
    </w:pPr>
    <w:r>
      <w:pict>
        <v:shape id="_x0000_s272" style="position:absolute;margin-left:80.3pt;margin-top:780.15pt;mso-position-vertical-relative:page;mso-position-horizontal-relative:page;width:433.5pt;height:0.55pt;z-index:25178726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82</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5"/>
      <w:spacing w:before="42" w:line="221" w:lineRule="auto"/>
      <w:rPr>
        <w:rFonts w:ascii="Times New Roman" w:hAnsi="Times New Roman" w:eastAsia="Times New Roman" w:cs="Times New Roman"/>
        <w:sz w:val="18"/>
        <w:szCs w:val="18"/>
      </w:rPr>
    </w:pPr>
    <w:r>
      <w:pict>
        <v:shape id="_x0000_s276" style="position:absolute;margin-left:80.3pt;margin-top:780.15pt;mso-position-vertical-relative:page;mso-position-horizontal-relative:page;width:433.5pt;height:0.55pt;z-index:25178931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83</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5"/>
      <w:spacing w:before="42" w:line="221" w:lineRule="auto"/>
      <w:rPr>
        <w:rFonts w:ascii="Times New Roman" w:hAnsi="Times New Roman" w:eastAsia="Times New Roman" w:cs="Times New Roman"/>
        <w:sz w:val="18"/>
        <w:szCs w:val="18"/>
      </w:rPr>
    </w:pPr>
    <w:r>
      <w:pict>
        <v:shape id="_x0000_s278" style="position:absolute;margin-left:80.3pt;margin-top:780.15pt;mso-position-vertical-relative:page;mso-position-horizontal-relative:page;width:433.5pt;height:0.55pt;z-index:25179136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84</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before="42" w:line="221" w:lineRule="auto"/>
      <w:rPr>
        <w:rFonts w:ascii="Times New Roman" w:hAnsi="Times New Roman" w:eastAsia="Times New Roman" w:cs="Times New Roman"/>
        <w:sz w:val="18"/>
        <w:szCs w:val="18"/>
      </w:rPr>
    </w:pPr>
    <w:r>
      <w:pict>
        <v:shape id="_x0000_s280" style="position:absolute;margin-left:80.3pt;margin-top:780.15pt;mso-position-vertical-relative:page;mso-position-horizontal-relative:page;width:433.5pt;height:0.55pt;z-index:25179340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85</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before="42" w:line="221" w:lineRule="auto"/>
      <w:rPr>
        <w:rFonts w:ascii="Times New Roman" w:hAnsi="Times New Roman" w:eastAsia="Times New Roman" w:cs="Times New Roman"/>
        <w:sz w:val="18"/>
        <w:szCs w:val="18"/>
      </w:rPr>
    </w:pPr>
    <w:r>
      <w:pict>
        <v:shape id="_x0000_s284" style="position:absolute;margin-left:80.3pt;margin-top:780.15pt;mso-position-vertical-relative:page;mso-position-horizontal-relative:page;width:433.5pt;height:0.55pt;z-index:25179545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86</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before="43" w:line="220" w:lineRule="auto"/>
      <w:rPr>
        <w:rFonts w:ascii="Times New Roman" w:hAnsi="Times New Roman" w:eastAsia="Times New Roman" w:cs="Times New Roman"/>
        <w:sz w:val="18"/>
        <w:szCs w:val="18"/>
      </w:rPr>
    </w:pPr>
    <w:r>
      <w:pict>
        <v:shape id="_x0000_s288" style="position:absolute;margin-left:80.3pt;margin-top:780.15pt;mso-position-vertical-relative:page;mso-position-horizontal-relative:page;width:433.5pt;height:0.55pt;z-index:25179750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87</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before="42" w:line="221" w:lineRule="auto"/>
      <w:rPr>
        <w:rFonts w:ascii="Times New Roman" w:hAnsi="Times New Roman" w:eastAsia="Times New Roman" w:cs="Times New Roman"/>
        <w:sz w:val="18"/>
        <w:szCs w:val="18"/>
      </w:rPr>
    </w:pPr>
    <w:r>
      <w:pict>
        <v:shape id="_x0000_s290" style="position:absolute;margin-left:80.3pt;margin-top:780.15pt;mso-position-vertical-relative:page;mso-position-horizontal-relative:page;width:433.5pt;height:0.55pt;z-index:25179955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88</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9"/>
      <w:spacing w:before="43" w:line="220" w:lineRule="auto"/>
      <w:rPr>
        <w:rFonts w:ascii="Times New Roman" w:hAnsi="Times New Roman" w:eastAsia="Times New Roman" w:cs="Times New Roman"/>
        <w:sz w:val="18"/>
        <w:szCs w:val="18"/>
      </w:rPr>
    </w:pPr>
    <w:r>
      <w:pict>
        <v:shape id="_x0000_s292" style="position:absolute;margin-left:80.3pt;margin-top:780.15pt;mso-position-vertical-relative:page;mso-position-horizontal-relative:page;width:433.5pt;height:0.55pt;z-index:25180160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3"/>
      </w:rPr>
      <w:t>89</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296" style="position:absolute;margin-left:80.3pt;margin-top:780.15pt;mso-position-vertical-relative:page;mso-position-horizontal-relative:page;width:433.5pt;height:0.55pt;z-index:25180364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90</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300" style="position:absolute;margin-left:80.3pt;margin-top:780.15pt;mso-position-vertical-relative:page;mso-position-horizontal-relative:page;width:433.5pt;height:0.55pt;z-index:25180569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91</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4"/>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3" w:line="220" w:lineRule="auto"/>
      <w:rPr>
        <w:rFonts w:ascii="Times New Roman" w:hAnsi="Times New Roman" w:eastAsia="Times New Roman" w:cs="Times New Roman"/>
        <w:sz w:val="18"/>
        <w:szCs w:val="18"/>
      </w:rPr>
    </w:pPr>
    <w:r>
      <w:pict>
        <v:shape id="_x0000_s304" style="position:absolute;margin-left:80.3pt;margin-top:780.15pt;mso-position-vertical-relative:page;mso-position-horizontal-relative:page;width:433.5pt;height:0.55pt;z-index:25180774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92</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7"/>
      <w:spacing w:before="43" w:line="220" w:lineRule="auto"/>
      <w:rPr>
        <w:rFonts w:ascii="Times New Roman" w:hAnsi="Times New Roman" w:eastAsia="Times New Roman" w:cs="Times New Roman"/>
        <w:sz w:val="18"/>
        <w:szCs w:val="18"/>
      </w:rPr>
    </w:pPr>
    <w:r>
      <w:pict>
        <v:shape id="_x0000_s308" style="position:absolute;margin-left:80.3pt;margin-top:780.15pt;mso-position-vertical-relative:page;mso-position-horizontal-relative:page;width:433.5pt;height:0.55pt;z-index:25180979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93</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2"/>
      <w:spacing w:before="43" w:line="220" w:lineRule="auto"/>
      <w:rPr>
        <w:rFonts w:ascii="Times New Roman" w:hAnsi="Times New Roman" w:eastAsia="Times New Roman" w:cs="Times New Roman"/>
        <w:sz w:val="18"/>
        <w:szCs w:val="18"/>
      </w:rPr>
    </w:pPr>
    <w:r>
      <w:pict>
        <v:shape id="_x0000_s312" style="position:absolute;margin-left:80.3pt;margin-top:780.15pt;mso-position-vertical-relative:page;mso-position-horizontal-relative:page;width:433.5pt;height:0.55pt;z-index:25181184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94</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314" style="position:absolute;margin-left:80.3pt;margin-top:780.15pt;mso-position-vertical-relative:page;mso-position-horizontal-relative:page;width:433.5pt;height:0.55pt;z-index:25181388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95</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7"/>
      <w:spacing w:before="43" w:line="220" w:lineRule="auto"/>
      <w:rPr>
        <w:rFonts w:ascii="Times New Roman" w:hAnsi="Times New Roman" w:eastAsia="Times New Roman" w:cs="Times New Roman"/>
        <w:sz w:val="18"/>
        <w:szCs w:val="18"/>
      </w:rPr>
    </w:pPr>
    <w:r>
      <w:pict>
        <v:shape id="_x0000_s318" style="position:absolute;margin-left:80.3pt;margin-top:780.15pt;mso-position-vertical-relative:page;mso-position-horizontal-relative:page;width:433.5pt;height:0.55pt;z-index:25181593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96</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92"/>
      <w:spacing w:before="43" w:line="220" w:lineRule="auto"/>
      <w:rPr>
        <w:rFonts w:ascii="Times New Roman" w:hAnsi="Times New Roman" w:eastAsia="Times New Roman" w:cs="Times New Roman"/>
        <w:sz w:val="18"/>
        <w:szCs w:val="18"/>
      </w:rPr>
    </w:pPr>
    <w:r>
      <w:pict>
        <v:shape id="_x0000_s322" style="position:absolute;margin-left:80.3pt;margin-top:780.15pt;mso-position-vertical-relative:page;mso-position-horizontal-relative:page;width:433.5pt;height:0.55pt;z-index:25181798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97</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5"/>
      <w:spacing w:before="43" w:line="220" w:lineRule="auto"/>
      <w:rPr>
        <w:rFonts w:ascii="Times New Roman" w:hAnsi="Times New Roman" w:eastAsia="Times New Roman" w:cs="Times New Roman"/>
        <w:sz w:val="18"/>
        <w:szCs w:val="18"/>
      </w:rPr>
    </w:pPr>
    <w:r>
      <w:pict>
        <v:shape id="_x0000_s324" style="position:absolute;margin-left:80.3pt;margin-top:780.15pt;mso-position-vertical-relative:page;mso-position-horizontal-relative:page;width:433.5pt;height:0.55pt;z-index:25182003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98</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56"/>
      <w:spacing w:before="43" w:line="220" w:lineRule="auto"/>
      <w:rPr>
        <w:rFonts w:ascii="Times New Roman" w:hAnsi="Times New Roman" w:eastAsia="Times New Roman" w:cs="Times New Roman"/>
        <w:sz w:val="18"/>
        <w:szCs w:val="18"/>
      </w:rPr>
    </w:pPr>
    <w:r>
      <w:pict>
        <v:shape id="_x0000_s328" style="position:absolute;margin-left:80.3pt;margin-top:533.55pt;mso-position-vertical-relative:page;mso-position-horizontal-relative:page;width:433.5pt;height:0.55pt;z-index:25182208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2"/>
      </w:rPr>
      <w:t>99</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7"/>
      <w:spacing w:before="42" w:line="221" w:lineRule="auto"/>
      <w:rPr>
        <w:rFonts w:ascii="Times New Roman" w:hAnsi="Times New Roman" w:eastAsia="Times New Roman" w:cs="Times New Roman"/>
        <w:sz w:val="18"/>
        <w:szCs w:val="18"/>
      </w:rPr>
    </w:pPr>
    <w:r>
      <w:pict>
        <v:shape id="_x0000_s332" style="position:absolute;margin-left:80.3pt;margin-top:780.15pt;mso-position-vertical-relative:page;mso-position-horizontal-relative:page;width:433.5pt;height:0.55pt;z-index:25182412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100</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before="42" w:line="221" w:lineRule="auto"/>
      <w:rPr>
        <w:rFonts w:ascii="Times New Roman" w:hAnsi="Times New Roman" w:eastAsia="Times New Roman" w:cs="Times New Roman"/>
        <w:sz w:val="18"/>
        <w:szCs w:val="18"/>
      </w:rPr>
    </w:pPr>
    <w:r>
      <w:pict>
        <v:shape id="_x0000_s336" style="position:absolute;margin-left:80.3pt;margin-top:780.15pt;mso-position-vertical-relative:page;mso-position-horizontal-relative:page;width:433.5pt;height:0.55pt;z-index:25182617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101</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3"/>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340" style="position:absolute;margin-left:80.3pt;margin-top:780.15pt;mso-position-vertical-relative:page;mso-position-horizontal-relative:page;width:433.5pt;height:0.55pt;z-index:25182822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102</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344" style="position:absolute;margin-left:80.3pt;margin-top:780.15pt;mso-position-vertical-relative:page;mso-position-horizontal-relative:page;width:433.5pt;height:0.55pt;z-index:25183027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103</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346" style="position:absolute;margin-left:80.3pt;margin-top:780.15pt;mso-position-vertical-relative:page;mso-position-horizontal-relative:page;width:433.5pt;height:0.55pt;z-index:25183232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104</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348" style="position:absolute;margin-left:80.3pt;margin-top:780.15pt;mso-position-vertical-relative:page;mso-position-horizontal-relative:page;width:433.5pt;height:0.55pt;z-index:25183436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105</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2" w:line="221" w:lineRule="auto"/>
      <w:rPr>
        <w:rFonts w:ascii="Times New Roman" w:hAnsi="Times New Roman" w:eastAsia="Times New Roman" w:cs="Times New Roman"/>
        <w:sz w:val="18"/>
        <w:szCs w:val="18"/>
      </w:rPr>
    </w:pPr>
    <w:r>
      <w:pict>
        <v:shape id="_x0000_s350" style="position:absolute;margin-left:80.3pt;margin-top:780.15pt;mso-position-vertical-relative:page;mso-position-horizontal-relative:page;width:433.5pt;height:0.55pt;z-index:25183641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106</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4"/>
      <w:spacing w:before="43" w:line="220" w:lineRule="auto"/>
      <w:rPr>
        <w:rFonts w:ascii="Times New Roman" w:hAnsi="Times New Roman" w:eastAsia="Times New Roman" w:cs="Times New Roman"/>
        <w:sz w:val="18"/>
        <w:szCs w:val="18"/>
      </w:rPr>
    </w:pPr>
    <w:r>
      <w:pict>
        <v:shape id="_x0000_s354" style="position:absolute;margin-left:80.3pt;margin-top:780.15pt;mso-position-vertical-relative:page;mso-position-horizontal-relative:page;width:433.5pt;height:0.55pt;z-index:25183846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107</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before="42" w:line="221" w:lineRule="auto"/>
      <w:rPr>
        <w:rFonts w:ascii="Times New Roman" w:hAnsi="Times New Roman" w:eastAsia="Times New Roman" w:cs="Times New Roman"/>
        <w:sz w:val="18"/>
        <w:szCs w:val="18"/>
      </w:rPr>
    </w:pPr>
    <w:r>
      <w:pict>
        <v:shape id="_x0000_s356" style="position:absolute;margin-left:80.3pt;margin-top:780.15pt;mso-position-vertical-relative:page;mso-position-horizontal-relative:page;width:433.5pt;height:0.55pt;z-index:25184051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108</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before="43" w:line="220" w:lineRule="auto"/>
      <w:rPr>
        <w:rFonts w:ascii="Times New Roman" w:hAnsi="Times New Roman" w:eastAsia="Times New Roman" w:cs="Times New Roman"/>
        <w:sz w:val="18"/>
        <w:szCs w:val="18"/>
      </w:rPr>
    </w:pPr>
    <w:r>
      <w:pict>
        <v:shape id="_x0000_s360" style="position:absolute;margin-left:80.3pt;margin-top:780.15pt;mso-position-vertical-relative:page;mso-position-horizontal-relative:page;width:433.5pt;height:0.55pt;z-index:25184256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109</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2" w:line="221" w:lineRule="auto"/>
      <w:rPr>
        <w:rFonts w:ascii="Times New Roman" w:hAnsi="Times New Roman" w:eastAsia="Times New Roman" w:cs="Times New Roman"/>
        <w:sz w:val="18"/>
        <w:szCs w:val="18"/>
      </w:rPr>
    </w:pPr>
    <w:r>
      <w:pict>
        <v:shape id="_x0000_s364" style="position:absolute;margin-left:80.3pt;margin-top:780.15pt;mso-position-vertical-relative:page;mso-position-horizontal-relative:page;width:433.5pt;height:0.55pt;z-index:25184460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110</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1"/>
      <w:spacing w:before="42" w:line="223" w:lineRule="auto"/>
      <w:rPr>
        <w:rFonts w:ascii="Times New Roman" w:hAnsi="Times New Roman" w:eastAsia="Times New Roman" w:cs="Times New Roman"/>
        <w:sz w:val="18"/>
        <w:szCs w:val="18"/>
      </w:rPr>
    </w:pPr>
    <w:r>
      <w:pict>
        <v:shape id="_x0000_s366" style="position:absolute;margin-left:80.3pt;margin-top:780.15pt;mso-position-vertical-relative:page;mso-position-horizontal-relative:page;width:433.5pt;height:0.55pt;z-index:25184665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8"/>
      </w:rPr>
      <w:t>111</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41"/>
      <w:spacing w:line="22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before="42" w:line="223" w:lineRule="auto"/>
      <w:rPr>
        <w:rFonts w:ascii="Times New Roman" w:hAnsi="Times New Roman" w:eastAsia="Times New Roman" w:cs="Times New Roman"/>
        <w:sz w:val="18"/>
        <w:szCs w:val="18"/>
      </w:rPr>
    </w:pPr>
    <w:r>
      <w:pict>
        <v:shape id="_x0000_s370" style="position:absolute;margin-left:80.3pt;margin-top:780.15pt;mso-position-vertical-relative:page;mso-position-horizontal-relative:page;width:433.5pt;height:0.55pt;z-index:25184870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112</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2" w:line="221" w:lineRule="auto"/>
      <w:rPr>
        <w:rFonts w:ascii="Times New Roman" w:hAnsi="Times New Roman" w:eastAsia="Times New Roman" w:cs="Times New Roman"/>
        <w:sz w:val="18"/>
        <w:szCs w:val="18"/>
      </w:rPr>
    </w:pPr>
    <w:r>
      <w:pict>
        <v:shape id="_x0000_s374" style="position:absolute;margin-left:80.3pt;margin-top:780.15pt;mso-position-vertical-relative:page;mso-position-horizontal-relative:page;width:433.5pt;height:0.55pt;z-index:25185075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113</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2"/>
      <w:spacing w:before="42" w:line="223" w:lineRule="auto"/>
      <w:rPr>
        <w:rFonts w:ascii="Times New Roman" w:hAnsi="Times New Roman" w:eastAsia="Times New Roman" w:cs="Times New Roman"/>
        <w:sz w:val="18"/>
        <w:szCs w:val="18"/>
      </w:rPr>
    </w:pPr>
    <w:r>
      <w:pict>
        <v:shape id="_x0000_s378" style="position:absolute;margin-left:80.3pt;margin-top:780.15pt;mso-position-vertical-relative:page;mso-position-horizontal-relative:page;width:433.5pt;height:0.55pt;z-index:25185280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114</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2" w:line="221" w:lineRule="auto"/>
      <w:rPr>
        <w:rFonts w:ascii="Times New Roman" w:hAnsi="Times New Roman" w:eastAsia="Times New Roman" w:cs="Times New Roman"/>
        <w:sz w:val="18"/>
        <w:szCs w:val="18"/>
      </w:rPr>
    </w:pPr>
    <w:r>
      <w:pict>
        <v:shape id="_x0000_s382" style="position:absolute;margin-left:80.3pt;margin-top:780.15pt;mso-position-vertical-relative:page;mso-position-horizontal-relative:page;width:433.5pt;height:0.55pt;z-index:25185484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115</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2" w:line="221" w:lineRule="auto"/>
      <w:rPr>
        <w:rFonts w:ascii="Times New Roman" w:hAnsi="Times New Roman" w:eastAsia="Times New Roman" w:cs="Times New Roman"/>
        <w:sz w:val="18"/>
        <w:szCs w:val="18"/>
      </w:rPr>
    </w:pPr>
    <w:r>
      <w:pict>
        <v:shape id="_x0000_s384" style="position:absolute;margin-left:80.3pt;margin-top:780.15pt;mso-position-vertical-relative:page;mso-position-horizontal-relative:page;width:433.5pt;height:0.55pt;z-index:25185689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116</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3" w:line="220" w:lineRule="auto"/>
      <w:rPr>
        <w:rFonts w:ascii="Times New Roman" w:hAnsi="Times New Roman" w:eastAsia="Times New Roman" w:cs="Times New Roman"/>
        <w:sz w:val="18"/>
        <w:szCs w:val="18"/>
      </w:rPr>
    </w:pPr>
    <w:r>
      <w:pict>
        <v:shape id="_x0000_s386" style="position:absolute;margin-left:80.3pt;margin-top:780.15pt;mso-position-vertical-relative:page;mso-position-horizontal-relative:page;width:433.5pt;height:0.55pt;z-index:251858944;"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117</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2" w:line="221" w:lineRule="auto"/>
      <w:rPr>
        <w:rFonts w:ascii="Times New Roman" w:hAnsi="Times New Roman" w:eastAsia="Times New Roman" w:cs="Times New Roman"/>
        <w:sz w:val="18"/>
        <w:szCs w:val="18"/>
      </w:rPr>
    </w:pPr>
    <w:r>
      <w:pict>
        <v:shape id="_x0000_s388" style="position:absolute;margin-left:80.3pt;margin-top:780.15pt;mso-position-vertical-relative:page;mso-position-horizontal-relative:page;width:433.5pt;height:0.55pt;z-index:251860992;"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118</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8"/>
      <w:spacing w:before="43" w:line="220" w:lineRule="auto"/>
      <w:rPr>
        <w:rFonts w:ascii="Times New Roman" w:hAnsi="Times New Roman" w:eastAsia="Times New Roman" w:cs="Times New Roman"/>
        <w:sz w:val="18"/>
        <w:szCs w:val="18"/>
      </w:rPr>
    </w:pPr>
    <w:r>
      <w:pict>
        <v:shape id="_x0000_s392" style="position:absolute;margin-left:80.3pt;margin-top:780.15pt;mso-position-vertical-relative:page;mso-position-horizontal-relative:page;width:433.5pt;height:0.55pt;z-index:251863040;"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9"/>
      </w:rPr>
      <w:t>119</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45"/>
      <w:spacing w:before="42" w:line="221" w:lineRule="auto"/>
      <w:rPr>
        <w:rFonts w:ascii="Times New Roman" w:hAnsi="Times New Roman" w:eastAsia="Times New Roman" w:cs="Times New Roman"/>
        <w:sz w:val="18"/>
        <w:szCs w:val="18"/>
      </w:rPr>
    </w:pPr>
    <w:r>
      <w:pict>
        <v:shape id="_x0000_s396" style="position:absolute;margin-left:80.3pt;margin-top:780.15pt;mso-position-vertical-relative:page;mso-position-horizontal-relative:page;width:433.5pt;height:0.55pt;z-index:251865088;"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120</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60"/>
      <w:spacing w:before="42" w:line="223" w:lineRule="auto"/>
      <w:rPr>
        <w:rFonts w:ascii="Times New Roman" w:hAnsi="Times New Roman" w:eastAsia="Times New Roman" w:cs="Times New Roman"/>
        <w:sz w:val="18"/>
        <w:szCs w:val="18"/>
      </w:rPr>
    </w:pPr>
    <w:r>
      <w:pict>
        <v:shape id="_x0000_s400" style="position:absolute;margin-left:80.3pt;margin-top:780.15pt;mso-position-vertical-relative:page;mso-position-horizontal-relative:page;width:433.5pt;height:0.55pt;z-index:251867136;" o:allowincell="f" filled="false" strokecolor="#595959" strokeweight="0.50pt" coordsize="8670,11" coordorigin="0,0" path="m5,5l8664,5e">
          <v:stroke endcap="round" miterlimit="10"/>
        </v:shape>
      </w:pict>
    </w:r>
    <w:r>
      <w:rPr>
        <w:rFonts w:ascii="Times New Roman" w:hAnsi="Times New Roman" w:eastAsia="Times New Roman" w:cs="Times New Roman"/>
        <w:sz w:val="18"/>
        <w:szCs w:val="18"/>
        <w:spacing w:val="-5"/>
      </w:rPr>
      <w:t>121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36" style="position:absolute;margin-left:83.664pt;margin-top:67.5601pt;mso-position-vertical-relative:page;mso-position-horizontal-relative:page;width:428.15pt;height:0.75pt;z-index:251667456;"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44" style="position:absolute;margin-left:83.664pt;margin-top:67.5601pt;mso-position-vertical-relative:page;mso-position-horizontal-relative:page;width:428.15pt;height:0.75pt;z-index:251671552;"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50" style="position:absolute;margin-left:83.664pt;margin-top:67.5601pt;mso-position-vertical-relative:page;mso-position-horizontal-relative:page;width:428.15pt;height:0.75pt;z-index:251673600;"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60" style="position:absolute;margin-left:83.664pt;margin-top:67.5601pt;mso-position-vertical-relative:page;mso-position-horizontal-relative:page;width:428.15pt;height:0.75pt;z-index:251677696;"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66" style="position:absolute;margin-left:83.664pt;margin-top:67.5601pt;mso-position-vertical-relative:page;mso-position-horizontal-relative:page;width:428.15pt;height:0.75pt;z-index:251679744;"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70" style="position:absolute;margin-left:83.664pt;margin-top:67.5601pt;mso-position-vertical-relative:page;mso-position-horizontal-relative:page;width:428.15pt;height:0.75pt;z-index:251680768;"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0"/>
      <w:spacing w:before="56" w:line="220" w:lineRule="auto"/>
      <w:rPr>
        <w:rFonts w:ascii="SimSun" w:hAnsi="SimSun" w:eastAsia="SimSun" w:cs="SimSun"/>
        <w:sz w:val="21"/>
        <w:szCs w:val="21"/>
      </w:rPr>
    </w:pPr>
    <w:r>
      <w:pict>
        <v:shape id="_x0000_s74" style="position:absolute;margin-left:83.664pt;margin-top:67.5601pt;mso-position-vertical-relative:page;mso-position-horizontal-relative:page;width:428.15pt;height:0.75pt;z-index:251681792;"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0"/>
      <w:spacing w:before="56" w:line="220" w:lineRule="auto"/>
      <w:rPr>
        <w:rFonts w:ascii="SimSun" w:hAnsi="SimSun" w:eastAsia="SimSun" w:cs="SimSun"/>
        <w:sz w:val="21"/>
        <w:szCs w:val="21"/>
      </w:rPr>
    </w:pPr>
    <w:r>
      <w:pict>
        <v:shape id="_x0000_s80" style="position:absolute;margin-left:83.664pt;margin-top:67.5601pt;mso-position-vertical-relative:page;mso-position-horizontal-relative:page;width:428.15pt;height:0.75pt;z-index:251683840;"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0"/>
      <w:spacing w:before="56" w:line="220" w:lineRule="auto"/>
      <w:rPr>
        <w:rFonts w:ascii="SimSun" w:hAnsi="SimSun" w:eastAsia="SimSun" w:cs="SimSun"/>
        <w:sz w:val="21"/>
        <w:szCs w:val="21"/>
      </w:rPr>
    </w:pPr>
    <w:r>
      <w:pict>
        <v:shape id="_x0000_s84" style="position:absolute;margin-left:83.664pt;margin-top:67.5601pt;mso-position-vertical-relative:page;mso-position-horizontal-relative:page;width:428.15pt;height:0.75pt;z-index:251684864;"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18" w:lineRule="auto"/>
      <w:rPr>
        <w:rFonts w:ascii="SimSun" w:hAnsi="SimSun" w:eastAsia="SimSun" w:cs="SimSun"/>
        <w:sz w:val="21"/>
        <w:szCs w:val="21"/>
      </w:rPr>
    </w:pPr>
    <w:r>
      <w:pict>
        <v:shape id="_x0000_s88" style="position:absolute;margin-left:83.664pt;margin-top:67.5601pt;mso-position-vertical-relative:page;mso-position-horizontal-relative:page;width:428.15pt;height:0.75pt;z-index:251685888;"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2" style="position:absolute;margin-left:83.664pt;margin-top:67.5601pt;mso-position-vertical-relative:page;mso-position-horizontal-relative:page;width:428.15pt;height:0.75pt;z-index:251658240;"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92" style="position:absolute;margin-left:83.664pt;margin-top:67.5601pt;mso-position-vertical-relative:page;mso-position-horizontal-relative:page;width:428.15pt;height:0.75pt;z-index:251686912;"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96" style="position:absolute;margin-left:83.664pt;margin-top:67.5601pt;mso-position-vertical-relative:page;mso-position-horizontal-relative:page;width:428.15pt;height:0.75pt;z-index:251687936;"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108" style="position:absolute;margin-left:83.664pt;margin-top:67.5601pt;mso-position-vertical-relative:page;mso-position-horizontal-relative:page;width:428.15pt;height:0.75pt;z-index:251689984;"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0"/>
      <w:spacing w:before="56" w:line="220" w:lineRule="auto"/>
      <w:rPr>
        <w:rFonts w:ascii="SimSun" w:hAnsi="SimSun" w:eastAsia="SimSun" w:cs="SimSun"/>
        <w:sz w:val="21"/>
        <w:szCs w:val="21"/>
      </w:rPr>
    </w:pPr>
    <w:r>
      <w:pict>
        <v:shape id="_x0000_s114" style="position:absolute;margin-left:83.664pt;margin-top:67.5601pt;mso-position-vertical-relative:page;mso-position-horizontal-relative:page;width:428.15pt;height:0.75pt;z-index:251691008;"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118" style="position:absolute;margin-left:83.664pt;margin-top:67.5601pt;mso-position-vertical-relative:page;mso-position-horizontal-relative:page;width:428.15pt;height:0.75pt;z-index:251692032;"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130" style="position:absolute;margin-left:83.664pt;margin-top:67.5601pt;mso-position-vertical-relative:page;mso-position-horizontal-relative:page;width:428.15pt;height:0.75pt;z-index:251695104;"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97"/>
      <w:spacing w:before="56" w:line="220" w:lineRule="auto"/>
      <w:rPr>
        <w:rFonts w:ascii="SimSun" w:hAnsi="SimSun" w:eastAsia="SimSun" w:cs="SimSun"/>
        <w:sz w:val="21"/>
        <w:szCs w:val="21"/>
      </w:rPr>
    </w:pPr>
    <w:r>
      <w:pict>
        <v:shape id="_x0000_s134" style="position:absolute;margin-left:83.64pt;margin-top:67.58pt;mso-position-vertical-relative:page;mso-position-horizontal-relative:page;width:674.75pt;height:0.75pt;z-index:251696128;" o:allowincell="f" fillcolor="#000000" filled="true" stroked="false" coordsize="13495,15" coordorigin="0,0" path="m0,14l13494,14l13494,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138" style="position:absolute;margin-left:83.664pt;margin-top:66.6001pt;mso-position-vertical-relative:page;mso-position-horizontal-relative:page;width:428.15pt;height:0.5pt;z-index:251698176;"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4"/>
      <w:spacing w:before="48" w:line="219" w:lineRule="auto"/>
      <w:rPr>
        <w:rFonts w:ascii="SimSun" w:hAnsi="SimSun" w:eastAsia="SimSun" w:cs="SimSun"/>
        <w:sz w:val="18"/>
        <w:szCs w:val="18"/>
      </w:rPr>
    </w:pPr>
    <w:r>
      <w:pict>
        <v:shape id="_x0000_s140" style="position:absolute;margin-left:83.664pt;margin-top:66.6001pt;mso-position-vertical-relative:page;mso-position-horizontal-relative:page;width:428.15pt;height:0.5pt;z-index:251700224;"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142" style="position:absolute;margin-left:83.664pt;margin-top:66.6001pt;mso-position-vertical-relative:page;mso-position-horizontal-relative:page;width:428.15pt;height:0.5pt;z-index:251702272;"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6" style="position:absolute;margin-left:83.664pt;margin-top:67.5601pt;mso-position-vertical-relative:page;mso-position-horizontal-relative:page;width:428.15pt;height:0.75pt;z-index:251659264;"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144" style="position:absolute;margin-left:83.664pt;margin-top:66.6001pt;mso-position-vertical-relative:page;mso-position-horizontal-relative:page;width:428.15pt;height:0.5pt;z-index:251706368;"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05"/>
      <w:spacing w:before="48" w:line="219" w:lineRule="auto"/>
      <w:rPr>
        <w:rFonts w:ascii="SimSun" w:hAnsi="SimSun" w:eastAsia="SimSun" w:cs="SimSun"/>
        <w:sz w:val="18"/>
        <w:szCs w:val="18"/>
      </w:rPr>
    </w:pPr>
    <w:r>
      <w:pict>
        <v:shape id="_x0000_s146" style="position:absolute;margin-left:83.664pt;margin-top:66.6001pt;mso-position-vertical-relative:page;mso-position-horizontal-relative:page;width:428.15pt;height:0.5pt;z-index:251708416;"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176" style="position:absolute;margin-left:83.664pt;margin-top:66.6001pt;mso-position-vertical-relative:page;mso-position-horizontal-relative:page;width:428.15pt;height:0.5pt;z-index:251714560;"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886"/>
      <w:spacing w:before="48" w:line="219" w:lineRule="auto"/>
      <w:rPr>
        <w:rFonts w:ascii="SimSun" w:hAnsi="SimSun" w:eastAsia="SimSun" w:cs="SimSun"/>
        <w:sz w:val="18"/>
        <w:szCs w:val="18"/>
      </w:rPr>
    </w:pPr>
    <w:r>
      <w:pict>
        <v:shape id="_x0000_s178" style="position:absolute;margin-left:83.664pt;margin-top:66.6001pt;mso-position-vertical-relative:page;mso-position-horizontal-relative:page;width:428.15pt;height:0.5pt;z-index:251716608;"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6"/>
      <w:spacing w:before="48" w:line="217" w:lineRule="auto"/>
      <w:rPr>
        <w:rFonts w:ascii="SimSun" w:hAnsi="SimSun" w:eastAsia="SimSun" w:cs="SimSun"/>
        <w:sz w:val="18"/>
        <w:szCs w:val="18"/>
      </w:rPr>
    </w:pPr>
    <w:r>
      <w:pict>
        <v:shape id="_x0000_s180" style="position:absolute;margin-left:83.664pt;margin-top:66.6001pt;mso-position-vertical-relative:page;mso-position-horizontal-relative:page;width:428.15pt;height:0.5pt;z-index:251718656;"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6"/>
      <w:spacing w:before="48" w:line="217" w:lineRule="auto"/>
      <w:rPr>
        <w:rFonts w:ascii="SimSun" w:hAnsi="SimSun" w:eastAsia="SimSun" w:cs="SimSun"/>
        <w:sz w:val="18"/>
        <w:szCs w:val="18"/>
      </w:rPr>
    </w:pPr>
    <w:r>
      <w:pict>
        <v:shape id="_x0000_s182" style="position:absolute;margin-left:83.664pt;margin-top:66.6001pt;mso-position-vertical-relative:page;mso-position-horizontal-relative:page;width:428.15pt;height:0.5pt;z-index:251720704;"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97"/>
      <w:spacing w:before="48" w:line="219" w:lineRule="auto"/>
      <w:rPr>
        <w:rFonts w:ascii="SimSun" w:hAnsi="SimSun" w:eastAsia="SimSun" w:cs="SimSun"/>
        <w:sz w:val="18"/>
        <w:szCs w:val="18"/>
      </w:rPr>
    </w:pPr>
    <w:r>
      <w:pict>
        <v:shape id="_x0000_s184" style="position:absolute;margin-left:70.56pt;margin-top:66.62pt;mso-position-vertical-relative:page;mso-position-horizontal-relative:page;width:700.95pt;height:0.5pt;z-index:251722752;" o:allowincell="f" fillcolor="#000000" filled="true" stroked="false" coordsize="14019,10" coordorigin="0,0" path="m0,9l14018,9l14018,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186" style="position:absolute;margin-left:83.664pt;margin-top:66.6001pt;mso-position-vertical-relative:page;mso-position-horizontal-relative:page;width:428.15pt;height:0.5pt;z-index:251724800;"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7" w:lineRule="auto"/>
      <w:rPr>
        <w:rFonts w:ascii="SimSun" w:hAnsi="SimSun" w:eastAsia="SimSun" w:cs="SimSun"/>
        <w:sz w:val="18"/>
        <w:szCs w:val="18"/>
      </w:rPr>
    </w:pPr>
    <w:r>
      <w:pict>
        <v:shape id="_x0000_s188" style="position:absolute;margin-left:83.664pt;margin-top:66.6001pt;mso-position-vertical-relative:page;mso-position-horizontal-relative:page;width:428.15pt;height:0.5pt;z-index:251726848;"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190" style="position:absolute;margin-left:83.664pt;margin-top:66.6001pt;mso-position-vertical-relative:page;mso-position-horizontal-relative:page;width:428.15pt;height:0.5pt;z-index:251728896;"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10" style="position:absolute;margin-left:83.664pt;margin-top:67.5601pt;mso-position-vertical-relative:page;mso-position-horizontal-relative:page;width:428.15pt;height:0.75pt;z-index:251660288;"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192" style="position:absolute;margin-left:83.664pt;margin-top:66.6001pt;mso-position-vertical-relative:page;mso-position-horizontal-relative:page;width:428.15pt;height:0.5pt;z-index:251730944;"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194" style="position:absolute;margin-left:83.664pt;margin-top:66.6001pt;mso-position-vertical-relative:page;mso-position-horizontal-relative:page;width:428.15pt;height:0.5pt;z-index:251732992;"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196" style="position:absolute;margin-left:83.664pt;margin-top:66.6001pt;mso-position-vertical-relative:page;mso-position-horizontal-relative:page;width:428.15pt;height:0.5pt;z-index:251735040;"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83"/>
      <w:spacing w:before="48" w:line="217" w:lineRule="auto"/>
      <w:rPr>
        <w:rFonts w:ascii="SimSun" w:hAnsi="SimSun" w:eastAsia="SimSun" w:cs="SimSun"/>
        <w:sz w:val="18"/>
        <w:szCs w:val="18"/>
      </w:rPr>
    </w:pPr>
    <w:r>
      <w:pict>
        <v:shape id="_x0000_s198" style="position:absolute;margin-left:70.56pt;margin-top:66.62pt;mso-position-vertical-relative:page;mso-position-horizontal-relative:page;width:700.95pt;height:0.5pt;z-index:251737088;" o:allowincell="f" fillcolor="#000000" filled="true" stroked="false" coordsize="14019,10" coordorigin="0,0" path="m0,9l14018,9l14018,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200" style="position:absolute;margin-left:83.664pt;margin-top:66.6001pt;mso-position-vertical-relative:page;mso-position-horizontal-relative:page;width:428.15pt;height:0.5pt;z-index:251739136;"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202" style="position:absolute;margin-left:83.664pt;margin-top:66.6001pt;mso-position-vertical-relative:page;mso-position-horizontal-relative:page;width:428.15pt;height:0.5pt;z-index:251741184;" o:allowincell="f" fillcolor="#000000" filled="true" stroked="false" coordsize="8562,10" coordorigin="0,0" path="m0,9l8562,9l8562,0l0,0l0,9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204" style="position:absolute;margin-left:83.664pt;margin-top:75.9601pt;mso-position-vertical-relative:page;mso-position-horizontal-relative:page;width:428.15pt;height:0.75pt;z-index:251745280;"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210" style="position:absolute;margin-left:83.664pt;margin-top:75.9601pt;mso-position-vertical-relative:page;mso-position-horizontal-relative:page;width:428.15pt;height:0.75pt;z-index:251749376;"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214" style="position:absolute;margin-left:83.664pt;margin-top:75.9601pt;mso-position-vertical-relative:page;mso-position-horizontal-relative:page;width:428.15pt;height:0.75pt;z-index:251751424;"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218" style="position:absolute;margin-left:83.664pt;margin-top:75.9601pt;mso-position-vertical-relative:page;mso-position-horizontal-relative:page;width:428.15pt;height:0.75pt;z-index:251753472;"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95"/>
      <w:spacing w:before="56" w:line="220" w:lineRule="auto"/>
      <w:rPr>
        <w:rFonts w:ascii="SimSun" w:hAnsi="SimSun" w:eastAsia="SimSun" w:cs="SimSun"/>
        <w:sz w:val="21"/>
        <w:szCs w:val="21"/>
      </w:rPr>
    </w:pPr>
    <w:r>
      <w:pict>
        <v:shape id="_x0000_s14" style="position:absolute;margin-left:83.664pt;margin-top:67.5601pt;mso-position-vertical-relative:page;mso-position-horizontal-relative:page;width:428.15pt;height:0.75pt;z-index:251661312;"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224" style="position:absolute;margin-left:83.664pt;margin-top:75.9601pt;mso-position-vertical-relative:page;mso-position-horizontal-relative:page;width:428.15pt;height:0.75pt;z-index:251757568;"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6"/>
      <w:spacing w:before="48" w:line="219" w:lineRule="auto"/>
      <w:rPr>
        <w:rFonts w:ascii="SimSun" w:hAnsi="SimSun" w:eastAsia="SimSun" w:cs="SimSun"/>
        <w:sz w:val="18"/>
        <w:szCs w:val="18"/>
      </w:rPr>
    </w:pPr>
    <w:r>
      <w:pict>
        <v:shape id="_x0000_s230" style="position:absolute;margin-left:83.664pt;margin-top:75.9601pt;mso-position-vertical-relative:page;mso-position-horizontal-relative:page;width:428.15pt;height:0.75pt;z-index:251761664;"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234" style="position:absolute;margin-left:83.664pt;margin-top:75.9601pt;mso-position-vertical-relative:page;mso-position-horizontal-relative:page;width:428.15pt;height:0.75pt;z-index:251763712;"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246" style="position:absolute;margin-left:83.664pt;margin-top:75.9601pt;mso-position-vertical-relative:page;mso-position-horizontal-relative:page;width:428.15pt;height:0.75pt;z-index:251773952;"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锡林郭勒盟牧林农机服务有限责任公司肉牛育肥养</w:t>
    </w:r>
    <w:r>
      <w:rPr>
        <w:rFonts w:ascii="SimSun" w:hAnsi="SimSun" w:eastAsia="SimSun" w:cs="SimSun"/>
        <w:sz w:val="18"/>
        <w:szCs w:val="18"/>
        <w:spacing w:val="-1"/>
      </w:rPr>
      <w:t>殖基地建设项目</w:t>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258" style="position:absolute;margin-left:84.675pt;margin-top:68.525pt;mso-position-vertical-relative:page;mso-position-horizontal-relative:page;width:423.75pt;height:0.75pt;z-index:251780096;"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262" style="position:absolute;margin-left:84.675pt;margin-top:68.525pt;mso-position-vertical-relative:page;mso-position-horizontal-relative:page;width:423.75pt;height:0.75pt;z-index:251782144;"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266" style="position:absolute;margin-left:84.675pt;margin-top:68.525pt;mso-position-vertical-relative:page;mso-position-horizontal-relative:page;width:423.75pt;height:0.75pt;z-index:251784192;"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270" style="position:absolute;margin-left:84.675pt;margin-top:68.525pt;mso-position-vertical-relative:page;mso-position-horizontal-relative:page;width:423.75pt;height:0.75pt;z-index:251786240;"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274" style="position:absolute;margin-left:84.675pt;margin-top:68.525pt;mso-position-vertical-relative:page;mso-position-horizontal-relative:page;width:423.75pt;height:0.75pt;z-index:251788288;"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282" style="position:absolute;margin-left:84.675pt;margin-top:68.525pt;mso-position-vertical-relative:page;mso-position-horizontal-relative:page;width:423.75pt;height:0.75pt;z-index:251794432;"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20" style="position:absolute;margin-left:83.664pt;margin-top:67.5601pt;mso-position-vertical-relative:page;mso-position-horizontal-relative:page;width:428.15pt;height:0.75pt;z-index:251663360;"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286" style="position:absolute;margin-left:84.675pt;margin-top:68.525pt;mso-position-vertical-relative:page;mso-position-horizontal-relative:page;width:423.75pt;height:0.75pt;z-index:251796480;"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294" style="position:absolute;margin-left:84.675pt;margin-top:68.525pt;mso-position-vertical-relative:page;mso-position-horizontal-relative:page;width:423.75pt;height:0.75pt;z-index:251802624;"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298" style="position:absolute;margin-left:84.675pt;margin-top:68.525pt;mso-position-vertical-relative:page;mso-position-horizontal-relative:page;width:423.75pt;height:0.75pt;z-index:251804672;"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18" w:lineRule="auto"/>
      <w:rPr>
        <w:rFonts w:ascii="SimSun" w:hAnsi="SimSun" w:eastAsia="SimSun" w:cs="SimSun"/>
        <w:sz w:val="21"/>
        <w:szCs w:val="21"/>
      </w:rPr>
    </w:pPr>
    <w:r>
      <w:pict>
        <v:shape id="_x0000_s302" style="position:absolute;margin-left:84.675pt;margin-top:68.525pt;mso-position-vertical-relative:page;mso-position-horizontal-relative:page;width:423.75pt;height:0.75pt;z-index:251806720;"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9"/>
      <w:spacing w:before="56" w:line="218" w:lineRule="auto"/>
      <w:rPr>
        <w:rFonts w:ascii="SimSun" w:hAnsi="SimSun" w:eastAsia="SimSun" w:cs="SimSun"/>
        <w:sz w:val="21"/>
        <w:szCs w:val="21"/>
      </w:rPr>
    </w:pPr>
    <w:r>
      <w:pict>
        <v:shape id="_x0000_s306" style="position:absolute;margin-left:84.675pt;margin-top:68.525pt;mso-position-vertical-relative:page;mso-position-horizontal-relative:page;width:423.75pt;height:0.75pt;z-index:251808768;"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94"/>
      <w:spacing w:before="56" w:line="220" w:lineRule="auto"/>
      <w:rPr>
        <w:rFonts w:ascii="SimSun" w:hAnsi="SimSun" w:eastAsia="SimSun" w:cs="SimSun"/>
        <w:sz w:val="21"/>
        <w:szCs w:val="21"/>
      </w:rPr>
    </w:pPr>
    <w:r>
      <w:pict>
        <v:shape id="_x0000_s310" style="position:absolute;margin-left:84.675pt;margin-top:68.525pt;mso-position-vertical-relative:page;mso-position-horizontal-relative:page;width:423.75pt;height:0.75pt;z-index:251810816;"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20"/>
      <w:spacing w:before="56" w:line="220" w:lineRule="auto"/>
      <w:rPr>
        <w:rFonts w:ascii="SimSun" w:hAnsi="SimSun" w:eastAsia="SimSun" w:cs="SimSun"/>
        <w:sz w:val="21"/>
        <w:szCs w:val="21"/>
      </w:rPr>
    </w:pPr>
    <w:r>
      <w:pict>
        <v:shape id="_x0000_s316" style="position:absolute;margin-left:84.675pt;margin-top:68.525pt;mso-position-vertical-relative:page;mso-position-horizontal-relative:page;width:423.75pt;height:0.75pt;z-index:251814912;"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320" style="position:absolute;margin-left:84.675pt;margin-top:68.525pt;mso-position-vertical-relative:page;mso-position-horizontal-relative:page;width:423.75pt;height:0.75pt;z-index:251816960;"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800"/>
      <w:spacing w:before="56" w:line="220" w:lineRule="auto"/>
      <w:rPr>
        <w:rFonts w:ascii="SimSun" w:hAnsi="SimSun" w:eastAsia="SimSun" w:cs="SimSun"/>
        <w:sz w:val="21"/>
        <w:szCs w:val="21"/>
      </w:rPr>
    </w:pPr>
    <w:r>
      <w:pict>
        <v:shape id="_x0000_s326" style="position:absolute;margin-left:84.675pt;margin-top:68.525pt;mso-position-vertical-relative:page;mso-position-horizontal-relative:page;width:423.75pt;height:0.75pt;z-index:251821056;"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2"/>
      <w:spacing w:before="56" w:line="220" w:lineRule="auto"/>
      <w:rPr>
        <w:rFonts w:ascii="SimSun" w:hAnsi="SimSun" w:eastAsia="SimSun" w:cs="SimSun"/>
        <w:sz w:val="21"/>
        <w:szCs w:val="21"/>
      </w:rPr>
    </w:pPr>
    <w:r>
      <w:pict>
        <v:shape id="_x0000_s330" style="position:absolute;margin-left:84.675pt;margin-top:68.525pt;mso-position-vertical-relative:page;mso-position-horizontal-relative:page;width:423.75pt;height:0.75pt;z-index:251823104;"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40"/>
      <w:spacing w:before="56" w:line="220" w:lineRule="auto"/>
      <w:rPr>
        <w:rFonts w:ascii="SimSun" w:hAnsi="SimSun" w:eastAsia="SimSun" w:cs="SimSun"/>
        <w:sz w:val="21"/>
        <w:szCs w:val="21"/>
      </w:rPr>
    </w:pPr>
    <w:r>
      <w:pict>
        <v:shape id="_x0000_s24" style="position:absolute;margin-left:83.664pt;margin-top:67.5601pt;mso-position-vertical-relative:page;mso-position-horizontal-relative:page;width:428.15pt;height:0.75pt;z-index:251664384;"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334" style="position:absolute;margin-left:84.675pt;margin-top:68.525pt;mso-position-vertical-relative:page;mso-position-horizontal-relative:page;width:423.75pt;height:0.75pt;z-index:251825152;"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338" style="position:absolute;margin-left:84.675pt;margin-top:68.525pt;mso-position-vertical-relative:page;mso-position-horizontal-relative:page;width:423.75pt;height:0.75pt;z-index:251827200;"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342" style="position:absolute;margin-left:84.675pt;margin-top:68.525pt;mso-position-vertical-relative:page;mso-position-horizontal-relative:page;width:423.75pt;height:0.75pt;z-index:251829248;"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08"/>
      <w:spacing w:before="56" w:line="220" w:lineRule="auto"/>
      <w:rPr>
        <w:rFonts w:ascii="SimSun" w:hAnsi="SimSun" w:eastAsia="SimSun" w:cs="SimSun"/>
        <w:sz w:val="21"/>
        <w:szCs w:val="21"/>
      </w:rPr>
    </w:pPr>
    <w:r>
      <w:pict>
        <v:shape id="_x0000_s352" style="position:absolute;margin-left:84.675pt;margin-top:68.525pt;mso-position-vertical-relative:page;mso-position-horizontal-relative:page;width:423.75pt;height:0.75pt;z-index:251837440;"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358" style="position:absolute;margin-left:84.675pt;margin-top:68.525pt;mso-position-vertical-relative:page;mso-position-horizontal-relative:page;width:423.75pt;height:0.75pt;z-index:251841536;" o:allowincell="f" filled="false" strokecolor="#000000" strokeweight="0.75pt" coordsize="8475,15" coordorigin="0,0" path="m7,7l8467,7e">
          <v:stroke endcap="round" miterlimit="10"/>
        </v:shap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362" style="position:absolute;margin-left:83.664pt;margin-top:65.6401pt;mso-position-vertical-relative:page;mso-position-horizontal-relative:page;width:428.15pt;height:0.75pt;z-index:251843584;"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368" style="position:absolute;margin-left:83.664pt;margin-top:65.6401pt;mso-position-vertical-relative:page;mso-position-horizontal-relative:page;width:428.15pt;height:0.75pt;z-index:251847680;"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372" style="position:absolute;margin-left:83.664pt;margin-top:65.6401pt;mso-position-vertical-relative:page;mso-position-horizontal-relative:page;width:428.15pt;height:0.75pt;z-index:251849728;"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376" style="position:absolute;margin-left:83.664pt;margin-top:65.6401pt;mso-position-vertical-relative:page;mso-position-horizontal-relative:page;width:428.15pt;height:0.75pt;z-index:251851776;"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380" style="position:absolute;margin-left:83.664pt;margin-top:65.6401pt;mso-position-vertical-relative:page;mso-position-horizontal-relative:page;width:428.15pt;height:0.75pt;z-index:251853824;"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28" style="position:absolute;margin-left:83.664pt;margin-top:67.5601pt;mso-position-vertical-relative:page;mso-position-horizontal-relative:page;width:428.15pt;height:0.75pt;z-index:251665408;"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6"/>
      <w:spacing w:before="48" w:line="219" w:lineRule="auto"/>
      <w:rPr>
        <w:rFonts w:ascii="SimSun" w:hAnsi="SimSun" w:eastAsia="SimSun" w:cs="SimSun"/>
        <w:sz w:val="18"/>
        <w:szCs w:val="18"/>
      </w:rPr>
    </w:pPr>
    <w:r>
      <w:pict>
        <v:shape id="_x0000_s390" style="position:absolute;margin-left:83.664pt;margin-top:65.6401pt;mso-position-vertical-relative:page;mso-position-horizontal-relative:page;width:428.15pt;height:0.75pt;z-index:251862016;"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56"/>
      <w:spacing w:before="48" w:line="217" w:lineRule="auto"/>
      <w:rPr>
        <w:rFonts w:ascii="SimSun" w:hAnsi="SimSun" w:eastAsia="SimSun" w:cs="SimSun"/>
        <w:sz w:val="18"/>
        <w:szCs w:val="18"/>
      </w:rPr>
    </w:pPr>
    <w:r>
      <w:pict>
        <v:shape id="_x0000_s394" style="position:absolute;margin-left:83.664pt;margin-top:65.6401pt;mso-position-vertical-relative:page;mso-position-horizontal-relative:page;width:428.15pt;height:0.75pt;z-index:251864064;"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70"/>
      <w:spacing w:before="48" w:line="219" w:lineRule="auto"/>
      <w:rPr>
        <w:rFonts w:ascii="SimSun" w:hAnsi="SimSun" w:eastAsia="SimSun" w:cs="SimSun"/>
        <w:sz w:val="18"/>
        <w:szCs w:val="18"/>
      </w:rPr>
    </w:pPr>
    <w:r>
      <w:pict>
        <v:shape id="_x0000_s398" style="position:absolute;margin-left:83.664pt;margin-top:65.6401pt;mso-position-vertical-relative:page;mso-position-horizontal-relative:page;width:428.15pt;height:0.75pt;z-index:251866112;"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09"/>
      <w:spacing w:before="48" w:line="219" w:lineRule="auto"/>
      <w:rPr>
        <w:rFonts w:ascii="SimSun" w:hAnsi="SimSun" w:eastAsia="SimSun" w:cs="SimSun"/>
        <w:sz w:val="18"/>
        <w:szCs w:val="18"/>
      </w:rPr>
    </w:pPr>
    <w:r>
      <w:pict>
        <v:shape id="_x0000_s402" style="position:absolute;margin-left:83.64pt;margin-top:65.66pt;mso-position-vertical-relative:page;mso-position-horizontal-relative:page;width:674.75pt;height:0.75pt;z-index:251868160;" o:allowincell="f" fillcolor="#000000" filled="true" stroked="false" coordsize="13495,15" coordorigin="0,0" path="m0,14l13494,14l13494,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36"/>
      <w:spacing w:before="48" w:line="217" w:lineRule="auto"/>
      <w:rPr>
        <w:rFonts w:ascii="SimSun" w:hAnsi="SimSun" w:eastAsia="SimSun" w:cs="SimSun"/>
        <w:sz w:val="18"/>
        <w:szCs w:val="18"/>
      </w:rPr>
    </w:pPr>
    <w:r>
      <w:pict>
        <v:shape id="_x0000_s418" style="position:absolute;margin-left:83.64pt;margin-top:75.98pt;mso-position-vertical-relative:page;mso-position-horizontal-relative:page;width:674.75pt;height:0.75pt;z-index:251882496;" o:allowincell="f" fillcolor="#000000" filled="true" stroked="false" coordsize="13495,15" coordorigin="0,0" path="m0,14l13494,14l13494,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1"/>
      <w:spacing w:before="48" w:line="217" w:lineRule="auto"/>
      <w:rPr>
        <w:rFonts w:ascii="SimSun" w:hAnsi="SimSun" w:eastAsia="SimSun" w:cs="SimSun"/>
        <w:sz w:val="18"/>
        <w:szCs w:val="18"/>
      </w:rPr>
    </w:pPr>
    <w:r>
      <w:pict>
        <v:shape id="_x0000_s422" style="position:absolute;margin-left:83.64pt;margin-top:75.98pt;mso-position-vertical-relative:page;mso-position-horizontal-relative:page;width:674.75pt;height:0.75pt;z-index:251884544;" o:allowincell="f" fillcolor="#000000" filled="true" stroked="false" coordsize="13495,15" coordorigin="0,0" path="m0,14l13494,14l13494,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984"/>
      <w:spacing w:before="48" w:line="219" w:lineRule="auto"/>
      <w:rPr>
        <w:rFonts w:ascii="SimSun" w:hAnsi="SimSun" w:eastAsia="SimSun" w:cs="SimSun"/>
        <w:sz w:val="18"/>
        <w:szCs w:val="18"/>
      </w:rPr>
    </w:pPr>
    <w:r>
      <w:pict>
        <v:shape id="_x0000_s426" style="position:absolute;margin-left:83.664pt;margin-top:75.9601pt;mso-position-vertical-relative:page;mso-position-horizontal-relative:page;width:428.15pt;height:0.75pt;z-index:251886592;"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44"/>
      <w:spacing w:before="48" w:line="219" w:lineRule="auto"/>
      <w:rPr>
        <w:rFonts w:ascii="SimSun" w:hAnsi="SimSun" w:eastAsia="SimSun" w:cs="SimSun"/>
        <w:sz w:val="18"/>
        <w:szCs w:val="18"/>
      </w:rPr>
    </w:pPr>
    <w:r>
      <w:pict>
        <v:shape id="_x0000_s430" style="position:absolute;margin-left:83.664pt;margin-top:75.9601pt;mso-position-vertical-relative:page;mso-position-horizontal-relative:page;width:428.15pt;height:0.75pt;z-index:251888640;"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436" style="position:absolute;margin-left:83.664pt;margin-top:75.9601pt;mso-position-vertical-relative:page;mso-position-horizontal-relative:page;width:428.15pt;height:0.75pt;z-index:251893760;"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440" style="position:absolute;margin-left:83.664pt;margin-top:75.9601pt;mso-position-vertical-relative:page;mso-position-horizontal-relative:page;width:428.15pt;height:0.75pt;z-index:251895808;"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334"/>
      <w:spacing w:before="56" w:line="220" w:lineRule="auto"/>
      <w:rPr>
        <w:rFonts w:ascii="SimSun" w:hAnsi="SimSun" w:eastAsia="SimSun" w:cs="SimSun"/>
        <w:sz w:val="21"/>
        <w:szCs w:val="21"/>
      </w:rPr>
    </w:pPr>
    <w:r>
      <w:pict>
        <v:shape id="_x0000_s32" style="position:absolute;margin-left:83.664pt;margin-top:67.5601pt;mso-position-vertical-relative:page;mso-position-horizontal-relative:page;width:428.15pt;height:0.75pt;z-index:251666432;" o:allowincell="f" fillcolor="#000000" filled="true" stroked="false" coordsize="8562,15" coordorigin="0,0" path="m0,14l8562,14l8562,0l0,0l0,14xe"/>
      </w:pict>
    </w:r>
    <w:r>
      <w:rPr>
        <w:rFonts w:ascii="SimSun" w:hAnsi="SimSun" w:eastAsia="SimSun" w:cs="SimSun"/>
        <w:sz w:val="21"/>
        <w:szCs w:val="21"/>
      </w:rPr>
      <w:t>锡林郭勒盟牧林农机服务有限责任公司肉牛育肥养殖基地建设</w:t>
    </w:r>
    <w:r>
      <w:rPr>
        <w:rFonts w:ascii="SimSun" w:hAnsi="SimSun" w:eastAsia="SimSun" w:cs="SimSun"/>
        <w:sz w:val="21"/>
        <w:szCs w:val="21"/>
        <w:spacing w:val="-1"/>
      </w:rPr>
      <w:t>项目</w:t>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444" style="position:absolute;margin-left:83.664pt;margin-top:75.9601pt;mso-position-vertical-relative:page;mso-position-horizontal-relative:page;width:428.15pt;height:0.75pt;z-index:251897856;"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448" style="position:absolute;margin-left:83.664pt;margin-top:75.9601pt;mso-position-vertical-relative:page;mso-position-horizontal-relative:page;width:428.15pt;height:0.75pt;z-index:251899904;"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454" style="position:absolute;margin-left:83.664pt;margin-top:75.9601pt;mso-position-vertical-relative:page;mso-position-horizontal-relative:page;width:428.15pt;height:0.75pt;z-index:251904000;"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77"/>
      <w:spacing w:before="48" w:line="219" w:lineRule="auto"/>
      <w:rPr>
        <w:rFonts w:ascii="SimSun" w:hAnsi="SimSun" w:eastAsia="SimSun" w:cs="SimSun"/>
        <w:sz w:val="18"/>
        <w:szCs w:val="18"/>
      </w:rPr>
    </w:pPr>
    <w:r>
      <w:pict>
        <v:shape id="_x0000_s458" style="position:absolute;margin-left:83.664pt;margin-top:75.9601pt;mso-position-vertical-relative:page;mso-position-horizontal-relative:page;width:428.15pt;height:0.75pt;z-index:251906048;" o:allowincell="f" fillcolor="#000000" filled="true" stroked="false" coordsize="8562,15" coordorigin="0,0" path="m0,14l8562,14l8562,0l0,0l0,14xe"/>
      </w:pict>
    </w:r>
    <w:r>
      <w:rPr>
        <w:rFonts w:ascii="SimSun" w:hAnsi="SimSun" w:eastAsia="SimSun" w:cs="SimSun"/>
        <w:sz w:val="18"/>
        <w:szCs w:val="18"/>
      </w:rPr>
      <w:t>锡林郭勒盟牧林农机服务有限责任公司肉牛育肥</w:t>
    </w:r>
    <w:r>
      <w:rPr>
        <w:rFonts w:ascii="SimSun" w:hAnsi="SimSun" w:eastAsia="SimSun" w:cs="SimSun"/>
        <w:sz w:val="18"/>
        <w:szCs w:val="18"/>
        <w:spacing w:val="-1"/>
      </w:rPr>
      <w:t>养殖基地建设项目</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45.xml"/><Relationship Id="rId98" Type="http://schemas.openxmlformats.org/officeDocument/2006/relationships/footer" Target="footer44.xml"/><Relationship Id="rId97" Type="http://schemas.openxmlformats.org/officeDocument/2006/relationships/header" Target="header49.xml"/><Relationship Id="rId96" Type="http://schemas.openxmlformats.org/officeDocument/2006/relationships/footer" Target="footer43.xml"/><Relationship Id="rId95" Type="http://schemas.openxmlformats.org/officeDocument/2006/relationships/header" Target="header48.xml"/><Relationship Id="rId94" Type="http://schemas.openxmlformats.org/officeDocument/2006/relationships/footer" Target="footer42.xml"/><Relationship Id="rId93" Type="http://schemas.openxmlformats.org/officeDocument/2006/relationships/header" Target="header47.xml"/><Relationship Id="rId92" Type="http://schemas.openxmlformats.org/officeDocument/2006/relationships/footer" Target="footer41.xml"/><Relationship Id="rId91" Type="http://schemas.openxmlformats.org/officeDocument/2006/relationships/footer" Target="footer40.xml"/><Relationship Id="rId90" Type="http://schemas.openxmlformats.org/officeDocument/2006/relationships/header" Target="header46.xml"/><Relationship Id="rId9" Type="http://schemas.openxmlformats.org/officeDocument/2006/relationships/image" Target="media/image1.jpeg"/><Relationship Id="rId89" Type="http://schemas.openxmlformats.org/officeDocument/2006/relationships/header" Target="header45.xml"/><Relationship Id="rId88" Type="http://schemas.openxmlformats.org/officeDocument/2006/relationships/header" Target="header44.xml"/><Relationship Id="rId87" Type="http://schemas.openxmlformats.org/officeDocument/2006/relationships/header" Target="header43.xml"/><Relationship Id="rId86" Type="http://schemas.openxmlformats.org/officeDocument/2006/relationships/header" Target="header42.xml"/><Relationship Id="rId85" Type="http://schemas.openxmlformats.org/officeDocument/2006/relationships/header" Target="header41.xml"/><Relationship Id="rId84" Type="http://schemas.openxmlformats.org/officeDocument/2006/relationships/header" Target="header40.xml"/><Relationship Id="rId83" Type="http://schemas.openxmlformats.org/officeDocument/2006/relationships/image" Target="media/image4.jpeg"/><Relationship Id="rId82" Type="http://schemas.openxmlformats.org/officeDocument/2006/relationships/header" Target="header39.xml"/><Relationship Id="rId81" Type="http://schemas.openxmlformats.org/officeDocument/2006/relationships/header" Target="header38.xml"/><Relationship Id="rId80" Type="http://schemas.openxmlformats.org/officeDocument/2006/relationships/header" Target="header37.xml"/><Relationship Id="rId8" Type="http://schemas.openxmlformats.org/officeDocument/2006/relationships/footer" Target="footer4.xml"/><Relationship Id="rId79" Type="http://schemas.openxmlformats.org/officeDocument/2006/relationships/header" Target="header36.xml"/><Relationship Id="rId78" Type="http://schemas.openxmlformats.org/officeDocument/2006/relationships/header" Target="header35.xml"/><Relationship Id="rId77" Type="http://schemas.openxmlformats.org/officeDocument/2006/relationships/header" Target="header34.xml"/><Relationship Id="rId76" Type="http://schemas.openxmlformats.org/officeDocument/2006/relationships/header" Target="header33.xml"/><Relationship Id="rId75" Type="http://schemas.openxmlformats.org/officeDocument/2006/relationships/header" Target="header32.xml"/><Relationship Id="rId74" Type="http://schemas.openxmlformats.org/officeDocument/2006/relationships/footer" Target="footer39.xml"/><Relationship Id="rId73" Type="http://schemas.openxmlformats.org/officeDocument/2006/relationships/image" Target="media/image3.png"/><Relationship Id="rId72" Type="http://schemas.openxmlformats.org/officeDocument/2006/relationships/header" Target="header31.xml"/><Relationship Id="rId71" Type="http://schemas.openxmlformats.org/officeDocument/2006/relationships/header" Target="header30.xml"/><Relationship Id="rId70" Type="http://schemas.openxmlformats.org/officeDocument/2006/relationships/header" Target="header29.xml"/><Relationship Id="rId7" Type="http://schemas.openxmlformats.org/officeDocument/2006/relationships/header" Target="header4.xml"/><Relationship Id="rId69" Type="http://schemas.openxmlformats.org/officeDocument/2006/relationships/header" Target="header28.xml"/><Relationship Id="rId68" Type="http://schemas.openxmlformats.org/officeDocument/2006/relationships/header" Target="header27.xml"/><Relationship Id="rId67" Type="http://schemas.openxmlformats.org/officeDocument/2006/relationships/footer" Target="footer38.xml"/><Relationship Id="rId66" Type="http://schemas.openxmlformats.org/officeDocument/2006/relationships/header" Target="header26.xml"/><Relationship Id="rId65" Type="http://schemas.openxmlformats.org/officeDocument/2006/relationships/footer" Target="footer37.xml"/><Relationship Id="rId64" Type="http://schemas.openxmlformats.org/officeDocument/2006/relationships/header" Target="header25.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header" Target="header24.xml"/><Relationship Id="rId6" Type="http://schemas.openxmlformats.org/officeDocument/2006/relationships/footer" Target="footer3.xml"/><Relationship Id="rId59" Type="http://schemas.openxmlformats.org/officeDocument/2006/relationships/footer" Target="footer33.xml"/><Relationship Id="rId58" Type="http://schemas.openxmlformats.org/officeDocument/2006/relationships/header" Target="header23.xml"/><Relationship Id="rId57" Type="http://schemas.openxmlformats.org/officeDocument/2006/relationships/image" Target="media/image2.png"/><Relationship Id="rId56" Type="http://schemas.openxmlformats.org/officeDocument/2006/relationships/footer" Target="footer32.xml"/><Relationship Id="rId55" Type="http://schemas.openxmlformats.org/officeDocument/2006/relationships/header" Target="header22.xml"/><Relationship Id="rId54" Type="http://schemas.openxmlformats.org/officeDocument/2006/relationships/footer" Target="footer31.xml"/><Relationship Id="rId53" Type="http://schemas.openxmlformats.org/officeDocument/2006/relationships/footer" Target="footer30.xml"/><Relationship Id="rId52" Type="http://schemas.openxmlformats.org/officeDocument/2006/relationships/header" Target="header21.xml"/><Relationship Id="rId51" Type="http://schemas.openxmlformats.org/officeDocument/2006/relationships/footer" Target="footer29.xml"/><Relationship Id="rId50" Type="http://schemas.openxmlformats.org/officeDocument/2006/relationships/header" Target="header20.xml"/><Relationship Id="rId5" Type="http://schemas.openxmlformats.org/officeDocument/2006/relationships/header" Target="header3.xml"/><Relationship Id="rId49" Type="http://schemas.openxmlformats.org/officeDocument/2006/relationships/footer" Target="footer28.xml"/><Relationship Id="rId48" Type="http://schemas.openxmlformats.org/officeDocument/2006/relationships/header" Target="header19.xml"/><Relationship Id="rId47" Type="http://schemas.openxmlformats.org/officeDocument/2006/relationships/hyperlink" Target="8.3.1.1" TargetMode="External"/><Relationship Id="rId46" Type="http://schemas.openxmlformats.org/officeDocument/2006/relationships/footer" Target="footer27.xml"/><Relationship Id="rId45" Type="http://schemas.openxmlformats.org/officeDocument/2006/relationships/header" Target="header18.xml"/><Relationship Id="rId44" Type="http://schemas.openxmlformats.org/officeDocument/2006/relationships/footer" Target="footer26.xml"/><Relationship Id="rId43" Type="http://schemas.openxmlformats.org/officeDocument/2006/relationships/header" Target="header17.xml"/><Relationship Id="rId42" Type="http://schemas.openxmlformats.org/officeDocument/2006/relationships/footer" Target="footer25.xml"/><Relationship Id="rId41" Type="http://schemas.openxmlformats.org/officeDocument/2006/relationships/footer" Target="footer24.xml"/><Relationship Id="rId40" Type="http://schemas.openxmlformats.org/officeDocument/2006/relationships/header" Target="header16.xml"/><Relationship Id="rId4" Type="http://schemas.openxmlformats.org/officeDocument/2006/relationships/footer" Target="footer2.xml"/><Relationship Id="rId39" Type="http://schemas.openxmlformats.org/officeDocument/2006/relationships/footer" Target="footer23.xml"/><Relationship Id="rId38" Type="http://schemas.openxmlformats.org/officeDocument/2006/relationships/header" Target="header15.xml"/><Relationship Id="rId37" Type="http://schemas.openxmlformats.org/officeDocument/2006/relationships/footer" Target="footer22.xml"/><Relationship Id="rId36" Type="http://schemas.openxmlformats.org/officeDocument/2006/relationships/header" Target="header14.xml"/><Relationship Id="rId35" Type="http://schemas.openxmlformats.org/officeDocument/2006/relationships/footer" Target="footer21.xml"/><Relationship Id="rId34" Type="http://schemas.openxmlformats.org/officeDocument/2006/relationships/footer" Target="footer20.xml"/><Relationship Id="rId33" Type="http://schemas.openxmlformats.org/officeDocument/2006/relationships/header" Target="header13.xml"/><Relationship Id="rId32" Type="http://schemas.openxmlformats.org/officeDocument/2006/relationships/footer" Target="footer19.xml"/><Relationship Id="rId31" Type="http://schemas.openxmlformats.org/officeDocument/2006/relationships/footer" Target="footer18.xml"/><Relationship Id="rId30" Type="http://schemas.openxmlformats.org/officeDocument/2006/relationships/footer" Target="footer17.xml"/><Relationship Id="rId3" Type="http://schemas.openxmlformats.org/officeDocument/2006/relationships/header" Target="header2.xml"/><Relationship Id="rId29" Type="http://schemas.openxmlformats.org/officeDocument/2006/relationships/footer" Target="footer16.xml"/><Relationship Id="rId28" Type="http://schemas.openxmlformats.org/officeDocument/2006/relationships/header" Target="header12.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1.xml"/><Relationship Id="rId24" Type="http://schemas.openxmlformats.org/officeDocument/2006/relationships/footer" Target="footer13.xml"/><Relationship Id="rId233" Type="http://schemas.openxmlformats.org/officeDocument/2006/relationships/fontTable" Target="fontTable.xml"/><Relationship Id="rId232" Type="http://schemas.openxmlformats.org/officeDocument/2006/relationships/styles" Target="styles.xml"/><Relationship Id="rId231" Type="http://schemas.openxmlformats.org/officeDocument/2006/relationships/settings" Target="settings.xml"/><Relationship Id="rId230" Type="http://schemas.openxmlformats.org/officeDocument/2006/relationships/footer" Target="footer118.xml"/><Relationship Id="rId23" Type="http://schemas.openxmlformats.org/officeDocument/2006/relationships/footer" Target="footer12.xml"/><Relationship Id="rId229" Type="http://schemas.openxmlformats.org/officeDocument/2006/relationships/header" Target="header93.xml"/><Relationship Id="rId228" Type="http://schemas.openxmlformats.org/officeDocument/2006/relationships/footer" Target="footer117.xml"/><Relationship Id="rId227" Type="http://schemas.openxmlformats.org/officeDocument/2006/relationships/header" Target="header92.xml"/><Relationship Id="rId226" Type="http://schemas.openxmlformats.org/officeDocument/2006/relationships/hyperlink" Target="http://www.eiafans.com/thread-1439947-1-1.html" TargetMode="External"/><Relationship Id="rId225" Type="http://schemas.openxmlformats.org/officeDocument/2006/relationships/hyperlink" Target="http://www.eiafans.com/thread-1439287-1-1.html" TargetMode="External"/><Relationship Id="rId224" Type="http://schemas.openxmlformats.org/officeDocument/2006/relationships/footer" Target="footer116.xml"/><Relationship Id="rId223" Type="http://schemas.openxmlformats.org/officeDocument/2006/relationships/footer" Target="footer115.xml"/><Relationship Id="rId222" Type="http://schemas.openxmlformats.org/officeDocument/2006/relationships/header" Target="header91.xml"/><Relationship Id="rId221" Type="http://schemas.openxmlformats.org/officeDocument/2006/relationships/footer" Target="footer114.xml"/><Relationship Id="rId220" Type="http://schemas.openxmlformats.org/officeDocument/2006/relationships/header" Target="header90.xml"/><Relationship Id="rId22" Type="http://schemas.openxmlformats.org/officeDocument/2006/relationships/footer" Target="footer11.xml"/><Relationship Id="rId219" Type="http://schemas.openxmlformats.org/officeDocument/2006/relationships/footer" Target="footer113.xml"/><Relationship Id="rId218" Type="http://schemas.openxmlformats.org/officeDocument/2006/relationships/header" Target="header89.xml"/><Relationship Id="rId217" Type="http://schemas.openxmlformats.org/officeDocument/2006/relationships/footer" Target="footer112.xml"/><Relationship Id="rId216" Type="http://schemas.openxmlformats.org/officeDocument/2006/relationships/header" Target="header88.xml"/><Relationship Id="rId215" Type="http://schemas.openxmlformats.org/officeDocument/2006/relationships/footer" Target="footer111.xml"/><Relationship Id="rId214" Type="http://schemas.openxmlformats.org/officeDocument/2006/relationships/image" Target="media/image14.png"/><Relationship Id="rId213" Type="http://schemas.openxmlformats.org/officeDocument/2006/relationships/footer" Target="footer110.xml"/><Relationship Id="rId212" Type="http://schemas.openxmlformats.org/officeDocument/2006/relationships/header" Target="header87.xml"/><Relationship Id="rId211" Type="http://schemas.openxmlformats.org/officeDocument/2006/relationships/footer" Target="footer109.xml"/><Relationship Id="rId210" Type="http://schemas.openxmlformats.org/officeDocument/2006/relationships/header" Target="header86.xml"/><Relationship Id="rId21" Type="http://schemas.openxmlformats.org/officeDocument/2006/relationships/header" Target="header10.xml"/><Relationship Id="rId209" Type="http://schemas.openxmlformats.org/officeDocument/2006/relationships/footer" Target="footer108.xml"/><Relationship Id="rId208" Type="http://schemas.openxmlformats.org/officeDocument/2006/relationships/header" Target="header85.xml"/><Relationship Id="rId207" Type="http://schemas.openxmlformats.org/officeDocument/2006/relationships/footer" Target="footer107.xml"/><Relationship Id="rId206" Type="http://schemas.openxmlformats.org/officeDocument/2006/relationships/header" Target="header84.xml"/><Relationship Id="rId205" Type="http://schemas.openxmlformats.org/officeDocument/2006/relationships/footer" Target="footer106.xml"/><Relationship Id="rId204" Type="http://schemas.openxmlformats.org/officeDocument/2006/relationships/footer" Target="footer105.xml"/><Relationship Id="rId203" Type="http://schemas.openxmlformats.org/officeDocument/2006/relationships/footer" Target="footer104.xml"/><Relationship Id="rId202" Type="http://schemas.openxmlformats.org/officeDocument/2006/relationships/footer" Target="footer103.xml"/><Relationship Id="rId201" Type="http://schemas.openxmlformats.org/officeDocument/2006/relationships/footer" Target="footer102.xml"/><Relationship Id="rId200" Type="http://schemas.openxmlformats.org/officeDocument/2006/relationships/footer" Target="footer101.xml"/><Relationship Id="rId20" Type="http://schemas.openxmlformats.org/officeDocument/2006/relationships/footer" Target="footer10.xml"/><Relationship Id="rId2" Type="http://schemas.openxmlformats.org/officeDocument/2006/relationships/footer" Target="footer1.xml"/><Relationship Id="rId199" Type="http://schemas.openxmlformats.org/officeDocument/2006/relationships/footer" Target="footer100.xml"/><Relationship Id="rId198" Type="http://schemas.openxmlformats.org/officeDocument/2006/relationships/header" Target="header83.xml"/><Relationship Id="rId197" Type="http://schemas.openxmlformats.org/officeDocument/2006/relationships/footer" Target="footer99.xml"/><Relationship Id="rId196" Type="http://schemas.openxmlformats.org/officeDocument/2006/relationships/header" Target="header82.xml"/><Relationship Id="rId195" Type="http://schemas.openxmlformats.org/officeDocument/2006/relationships/footer" Target="footer98.xml"/><Relationship Id="rId194" Type="http://schemas.openxmlformats.org/officeDocument/2006/relationships/header" Target="header81.xml"/><Relationship Id="rId193" Type="http://schemas.openxmlformats.org/officeDocument/2006/relationships/footer" Target="footer97.xml"/><Relationship Id="rId192" Type="http://schemas.openxmlformats.org/officeDocument/2006/relationships/header" Target="header80.xml"/><Relationship Id="rId191" Type="http://schemas.openxmlformats.org/officeDocument/2006/relationships/footer" Target="footer96.xml"/><Relationship Id="rId190" Type="http://schemas.openxmlformats.org/officeDocument/2006/relationships/footer" Target="footer95.xml"/><Relationship Id="rId19" Type="http://schemas.openxmlformats.org/officeDocument/2006/relationships/header" Target="header9.xml"/><Relationship Id="rId189" Type="http://schemas.openxmlformats.org/officeDocument/2006/relationships/footer" Target="footer94.xml"/><Relationship Id="rId188" Type="http://schemas.openxmlformats.org/officeDocument/2006/relationships/footer" Target="footer93.xml"/><Relationship Id="rId187" Type="http://schemas.openxmlformats.org/officeDocument/2006/relationships/header" Target="header79.xml"/><Relationship Id="rId186" Type="http://schemas.openxmlformats.org/officeDocument/2006/relationships/hyperlink" Target="https://baike.sogou.com/lemma/ShowInnerLink.htm?lemmaId=679566&amp;ss_c=ssc.citiao.link" TargetMode="External"/><Relationship Id="rId185" Type="http://schemas.openxmlformats.org/officeDocument/2006/relationships/footer" Target="footer92.xml"/><Relationship Id="rId184" Type="http://schemas.openxmlformats.org/officeDocument/2006/relationships/header" Target="header78.xml"/><Relationship Id="rId183" Type="http://schemas.openxmlformats.org/officeDocument/2006/relationships/footer" Target="footer91.xml"/><Relationship Id="rId182" Type="http://schemas.openxmlformats.org/officeDocument/2006/relationships/header" Target="header77.xml"/><Relationship Id="rId181" Type="http://schemas.openxmlformats.org/officeDocument/2006/relationships/footer" Target="footer90.xml"/><Relationship Id="rId180" Type="http://schemas.openxmlformats.org/officeDocument/2006/relationships/header" Target="header76.xml"/><Relationship Id="rId18" Type="http://schemas.openxmlformats.org/officeDocument/2006/relationships/footer" Target="footer9.xml"/><Relationship Id="rId179" Type="http://schemas.openxmlformats.org/officeDocument/2006/relationships/footer" Target="footer89.xml"/><Relationship Id="rId178" Type="http://schemas.openxmlformats.org/officeDocument/2006/relationships/footer" Target="footer88.xml"/><Relationship Id="rId177" Type="http://schemas.openxmlformats.org/officeDocument/2006/relationships/header" Target="header75.xml"/><Relationship Id="rId176" Type="http://schemas.openxmlformats.org/officeDocument/2006/relationships/footer" Target="footer87.xml"/><Relationship Id="rId175" Type="http://schemas.openxmlformats.org/officeDocument/2006/relationships/header" Target="header74.xml"/><Relationship Id="rId174" Type="http://schemas.openxmlformats.org/officeDocument/2006/relationships/footer" Target="footer86.xml"/><Relationship Id="rId173" Type="http://schemas.openxmlformats.org/officeDocument/2006/relationships/footer" Target="footer85.xml"/><Relationship Id="rId172" Type="http://schemas.openxmlformats.org/officeDocument/2006/relationships/header" Target="header73.xml"/><Relationship Id="rId171" Type="http://schemas.openxmlformats.org/officeDocument/2006/relationships/footer" Target="footer84.xml"/><Relationship Id="rId170" Type="http://schemas.openxmlformats.org/officeDocument/2006/relationships/footer" Target="footer83.xml"/><Relationship Id="rId17" Type="http://schemas.openxmlformats.org/officeDocument/2006/relationships/header" Target="header8.xml"/><Relationship Id="rId169" Type="http://schemas.openxmlformats.org/officeDocument/2006/relationships/footer" Target="footer82.xml"/><Relationship Id="rId168" Type="http://schemas.openxmlformats.org/officeDocument/2006/relationships/hyperlink" Target="http://www.soilinfo.cn/MAP/index.aspx" TargetMode="External"/><Relationship Id="rId167" Type="http://schemas.openxmlformats.org/officeDocument/2006/relationships/footer" Target="footer81.xml"/><Relationship Id="rId166" Type="http://schemas.openxmlformats.org/officeDocument/2006/relationships/header" Target="header72.xml"/><Relationship Id="rId165" Type="http://schemas.openxmlformats.org/officeDocument/2006/relationships/footer" Target="footer80.xml"/><Relationship Id="rId164" Type="http://schemas.openxmlformats.org/officeDocument/2006/relationships/header" Target="header71.xml"/><Relationship Id="rId163" Type="http://schemas.openxmlformats.org/officeDocument/2006/relationships/footer" Target="footer79.xml"/><Relationship Id="rId162" Type="http://schemas.openxmlformats.org/officeDocument/2006/relationships/header" Target="header70.xml"/><Relationship Id="rId161" Type="http://schemas.openxmlformats.org/officeDocument/2006/relationships/image" Target="media/image13.png"/><Relationship Id="rId160" Type="http://schemas.openxmlformats.org/officeDocument/2006/relationships/footer" Target="footer78.xml"/><Relationship Id="rId16" Type="http://schemas.openxmlformats.org/officeDocument/2006/relationships/footer" Target="footer8.xml"/><Relationship Id="rId159" Type="http://schemas.openxmlformats.org/officeDocument/2006/relationships/header" Target="header69.xml"/><Relationship Id="rId158" Type="http://schemas.openxmlformats.org/officeDocument/2006/relationships/footer" Target="footer77.xml"/><Relationship Id="rId157" Type="http://schemas.openxmlformats.org/officeDocument/2006/relationships/header" Target="header68.xml"/><Relationship Id="rId156" Type="http://schemas.openxmlformats.org/officeDocument/2006/relationships/footer" Target="footer76.xml"/><Relationship Id="rId155" Type="http://schemas.openxmlformats.org/officeDocument/2006/relationships/footer" Target="footer75.xml"/><Relationship Id="rId154" Type="http://schemas.openxmlformats.org/officeDocument/2006/relationships/header" Target="header67.xml"/><Relationship Id="rId153" Type="http://schemas.openxmlformats.org/officeDocument/2006/relationships/footer" Target="footer74.xml"/><Relationship Id="rId152" Type="http://schemas.openxmlformats.org/officeDocument/2006/relationships/header" Target="header66.xml"/><Relationship Id="rId151" Type="http://schemas.openxmlformats.org/officeDocument/2006/relationships/image" Target="media/image12.jpeg"/><Relationship Id="rId150" Type="http://schemas.openxmlformats.org/officeDocument/2006/relationships/footer" Target="footer73.xml"/><Relationship Id="rId15" Type="http://schemas.openxmlformats.org/officeDocument/2006/relationships/header" Target="header7.xml"/><Relationship Id="rId149" Type="http://schemas.openxmlformats.org/officeDocument/2006/relationships/image" Target="media/image11.jpeg"/><Relationship Id="rId148" Type="http://schemas.openxmlformats.org/officeDocument/2006/relationships/footer" Target="footer72.xml"/><Relationship Id="rId147" Type="http://schemas.openxmlformats.org/officeDocument/2006/relationships/header" Target="header65.xml"/><Relationship Id="rId146" Type="http://schemas.openxmlformats.org/officeDocument/2006/relationships/image" Target="media/image10.jpeg"/><Relationship Id="rId145" Type="http://schemas.openxmlformats.org/officeDocument/2006/relationships/image" Target="media/image9.jpeg"/><Relationship Id="rId144" Type="http://schemas.openxmlformats.org/officeDocument/2006/relationships/footer" Target="footer71.xml"/><Relationship Id="rId143" Type="http://schemas.openxmlformats.org/officeDocument/2006/relationships/header" Target="header64.xml"/><Relationship Id="rId142" Type="http://schemas.openxmlformats.org/officeDocument/2006/relationships/footer" Target="footer70.xml"/><Relationship Id="rId141" Type="http://schemas.openxmlformats.org/officeDocument/2006/relationships/header" Target="header63.xml"/><Relationship Id="rId140" Type="http://schemas.openxmlformats.org/officeDocument/2006/relationships/footer" Target="footer69.xml"/><Relationship Id="rId14" Type="http://schemas.openxmlformats.org/officeDocument/2006/relationships/footer" Target="footer7.xml"/><Relationship Id="rId139" Type="http://schemas.openxmlformats.org/officeDocument/2006/relationships/header" Target="header62.xml"/><Relationship Id="rId138" Type="http://schemas.openxmlformats.org/officeDocument/2006/relationships/image" Target="media/image8.jpeg"/><Relationship Id="rId137" Type="http://schemas.openxmlformats.org/officeDocument/2006/relationships/footer" Target="footer68.xml"/><Relationship Id="rId136" Type="http://schemas.openxmlformats.org/officeDocument/2006/relationships/header" Target="header61.xml"/><Relationship Id="rId135" Type="http://schemas.openxmlformats.org/officeDocument/2006/relationships/footer" Target="footer67.xml"/><Relationship Id="rId134" Type="http://schemas.openxmlformats.org/officeDocument/2006/relationships/footer" Target="footer66.xml"/><Relationship Id="rId133" Type="http://schemas.openxmlformats.org/officeDocument/2006/relationships/footer" Target="footer65.xml"/><Relationship Id="rId132" Type="http://schemas.openxmlformats.org/officeDocument/2006/relationships/header" Target="header60.xml"/><Relationship Id="rId131" Type="http://schemas.openxmlformats.org/officeDocument/2006/relationships/footer" Target="footer64.xml"/><Relationship Id="rId130" Type="http://schemas.openxmlformats.org/officeDocument/2006/relationships/header" Target="header59.xml"/><Relationship Id="rId13" Type="http://schemas.openxmlformats.org/officeDocument/2006/relationships/header" Target="header6.xml"/><Relationship Id="rId129" Type="http://schemas.openxmlformats.org/officeDocument/2006/relationships/footer" Target="footer63.xml"/><Relationship Id="rId128" Type="http://schemas.openxmlformats.org/officeDocument/2006/relationships/footer" Target="footer62.xml"/><Relationship Id="rId127" Type="http://schemas.openxmlformats.org/officeDocument/2006/relationships/footer" Target="footer61.xml"/><Relationship Id="rId126" Type="http://schemas.openxmlformats.org/officeDocument/2006/relationships/header" Target="header58.xml"/><Relationship Id="rId125" Type="http://schemas.openxmlformats.org/officeDocument/2006/relationships/footer" Target="footer60.xml"/><Relationship Id="rId124" Type="http://schemas.openxmlformats.org/officeDocument/2006/relationships/header" Target="header57.xml"/><Relationship Id="rId123" Type="http://schemas.openxmlformats.org/officeDocument/2006/relationships/footer" Target="footer59.xml"/><Relationship Id="rId122" Type="http://schemas.openxmlformats.org/officeDocument/2006/relationships/header" Target="header56.xml"/><Relationship Id="rId121" Type="http://schemas.openxmlformats.org/officeDocument/2006/relationships/footer" Target="footer58.xml"/><Relationship Id="rId120" Type="http://schemas.openxmlformats.org/officeDocument/2006/relationships/header" Target="header55.xml"/><Relationship Id="rId12" Type="http://schemas.openxmlformats.org/officeDocument/2006/relationships/footer" Target="footer6.xml"/><Relationship Id="rId119" Type="http://schemas.openxmlformats.org/officeDocument/2006/relationships/footer" Target="footer57.xml"/><Relationship Id="rId118" Type="http://schemas.openxmlformats.org/officeDocument/2006/relationships/header" Target="header54.xml"/><Relationship Id="rId117" Type="http://schemas.openxmlformats.org/officeDocument/2006/relationships/footer" Target="footer56.xml"/><Relationship Id="rId116" Type="http://schemas.openxmlformats.org/officeDocument/2006/relationships/footer" Target="footer55.xml"/><Relationship Id="rId115" Type="http://schemas.openxmlformats.org/officeDocument/2006/relationships/footer" Target="footer54.xml"/><Relationship Id="rId114" Type="http://schemas.openxmlformats.org/officeDocument/2006/relationships/header" Target="header53.xml"/><Relationship Id="rId113" Type="http://schemas.openxmlformats.org/officeDocument/2006/relationships/footer" Target="footer53.xml"/><Relationship Id="rId112" Type="http://schemas.openxmlformats.org/officeDocument/2006/relationships/footer" Target="footer52.xml"/><Relationship Id="rId111" Type="http://schemas.openxmlformats.org/officeDocument/2006/relationships/footer" Target="footer51.xml"/><Relationship Id="rId110" Type="http://schemas.openxmlformats.org/officeDocument/2006/relationships/footer" Target="footer50.xml"/><Relationship Id="rId11" Type="http://schemas.openxmlformats.org/officeDocument/2006/relationships/footer" Target="footer5.xml"/><Relationship Id="rId109" Type="http://schemas.openxmlformats.org/officeDocument/2006/relationships/footer" Target="footer49.xml"/><Relationship Id="rId108" Type="http://schemas.openxmlformats.org/officeDocument/2006/relationships/header" Target="header52.xml"/><Relationship Id="rId107" Type="http://schemas.openxmlformats.org/officeDocument/2006/relationships/footer" Target="footer48.xml"/><Relationship Id="rId106" Type="http://schemas.openxmlformats.org/officeDocument/2006/relationships/header" Target="header51.xml"/><Relationship Id="rId105" Type="http://schemas.openxmlformats.org/officeDocument/2006/relationships/footer" Target="footer47.xml"/><Relationship Id="rId104" Type="http://schemas.openxmlformats.org/officeDocument/2006/relationships/image" Target="media/image7.png"/><Relationship Id="rId103" Type="http://schemas.openxmlformats.org/officeDocument/2006/relationships/image" Target="media/image6.png"/><Relationship Id="rId102" Type="http://schemas.openxmlformats.org/officeDocument/2006/relationships/image" Target="media/image5.png"/><Relationship Id="rId101" Type="http://schemas.openxmlformats.org/officeDocument/2006/relationships/footer" Target="footer46.xml"/><Relationship Id="rId100" Type="http://schemas.openxmlformats.org/officeDocument/2006/relationships/header" Target="header50.xml"/><Relationship Id="rId10" Type="http://schemas.openxmlformats.org/officeDocument/2006/relationships/header" Target="head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Microsoft® Word 2010</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dc:creator>
  <dcterms:created xsi:type="dcterms:W3CDTF">2025-11-05T14:02:55Z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2025-11-28T15:51:44</vt:filetime>
  </property>
</Properties>
</file>